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1278890</wp:posOffset>
            </wp:positionH>
            <wp:positionV relativeFrom="page">
              <wp:posOffset>196850</wp:posOffset>
            </wp:positionV>
            <wp:extent cx="4990465" cy="247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990465" cy="24765"/>
                    </a:xfrm>
                    <a:prstGeom prst="rect">
                      <a:avLst/>
                    </a:prstGeom>
                    <a:noFill/>
                  </pic:spPr>
                </pic:pic>
              </a:graphicData>
            </a:graphic>
          </wp:anchor>
        </w:drawing>
        <w:drawing>
          <wp:anchor simplePos="0" relativeHeight="251657728" behindDoc="1" locked="0" layoutInCell="0" allowOverlap="1">
            <wp:simplePos x="0" y="0"/>
            <wp:positionH relativeFrom="page">
              <wp:posOffset>1278890</wp:posOffset>
            </wp:positionH>
            <wp:positionV relativeFrom="page">
              <wp:posOffset>238760</wp:posOffset>
            </wp:positionV>
            <wp:extent cx="4990465" cy="24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990465" cy="24765"/>
                    </a:xfrm>
                    <a:prstGeom prst="rect">
                      <a:avLst/>
                    </a:prstGeom>
                    <a:noFill/>
                  </pic:spPr>
                </pic:pic>
              </a:graphicData>
            </a:graphic>
          </wp:anchor>
        </w:drawing>
        <w:t>UNITED STATES</w:t>
      </w:r>
    </w:p>
    <w:p>
      <w:pPr>
        <w:spacing w:after="0" w:line="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SECURITIES AND EXCHANGE COMMISSION</w:t>
      </w:r>
    </w:p>
    <w:p>
      <w:pPr>
        <w:spacing w:after="0" w:line="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125"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17"/>
          <w:szCs w:val="17"/>
          <w:b w:val="1"/>
          <w:bCs w:val="1"/>
          <w:color w:val="auto"/>
        </w:rPr>
        <w:t>________________</w:t>
      </w:r>
    </w:p>
    <w:p>
      <w:pPr>
        <w:spacing w:after="0" w:line="1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SCHEDULE 14A INFORMATION</w:t>
      </w:r>
    </w:p>
    <w:p>
      <w:pPr>
        <w:spacing w:after="0" w:line="34"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17"/>
          <w:szCs w:val="17"/>
          <w:b w:val="1"/>
          <w:bCs w:val="1"/>
          <w:color w:val="auto"/>
        </w:rPr>
        <w:t>________________</w:t>
      </w:r>
    </w:p>
    <w:p>
      <w:pPr>
        <w:spacing w:after="0" w:line="177" w:lineRule="exact"/>
        <w:rPr>
          <w:sz w:val="24"/>
          <w:szCs w:val="24"/>
          <w:color w:val="auto"/>
        </w:rPr>
      </w:pPr>
    </w:p>
    <w:p>
      <w:pPr>
        <w:jc w:val="center"/>
        <w:ind w:left="2020" w:right="2039"/>
        <w:spacing w:after="0" w:line="290" w:lineRule="auto"/>
        <w:rPr>
          <w:sz w:val="20"/>
          <w:szCs w:val="20"/>
          <w:color w:val="auto"/>
        </w:rPr>
      </w:pPr>
      <w:r>
        <w:rPr>
          <w:rFonts w:ascii="Times New Roman" w:cs="Times New Roman" w:eastAsia="Times New Roman" w:hAnsi="Times New Roman"/>
          <w:sz w:val="17"/>
          <w:szCs w:val="17"/>
          <w:b w:val="1"/>
          <w:bCs w:val="1"/>
          <w:color w:val="auto"/>
        </w:rPr>
        <w:t>PROXY STATEMENT PURSUANT TO SECTION 14(a) OF THE SECURITIES EXCHANGE ACT OF 1934 (AMENDMENT NO.  )</w:t>
      </w:r>
    </w:p>
    <w:p>
      <w:pPr>
        <w:sectPr>
          <w:pgSz w:w="11900" w:h="16838" w:orient="portrait"/>
          <w:cols w:equalWidth="0" w:num="1">
            <w:col w:w="9019"/>
          </w:cols>
          <w:pgMar w:left="1440" w:top="578" w:right="1440" w:bottom="1440" w:gutter="0" w:footer="0" w:header="0"/>
        </w:sectPr>
      </w:pPr>
    </w:p>
    <w:p>
      <w:pPr>
        <w:spacing w:after="0" w:line="342" w:lineRule="exact"/>
        <w:rPr>
          <w:sz w:val="24"/>
          <w:szCs w:val="24"/>
          <w:color w:val="auto"/>
        </w:rPr>
      </w:pPr>
    </w:p>
    <w:p>
      <w:pPr>
        <w:ind w:left="580"/>
        <w:spacing w:after="0"/>
        <w:rPr>
          <w:sz w:val="20"/>
          <w:szCs w:val="20"/>
          <w:color w:val="auto"/>
        </w:rPr>
      </w:pPr>
      <w:r>
        <w:rPr>
          <w:rFonts w:ascii="Times New Roman" w:cs="Times New Roman" w:eastAsia="Times New Roman" w:hAnsi="Times New Roman"/>
          <w:sz w:val="17"/>
          <w:szCs w:val="17"/>
          <w:color w:val="auto"/>
        </w:rPr>
        <w:t>Filed by the Registrant</w:t>
      </w:r>
    </w:p>
    <w:p>
      <w:pPr>
        <w:spacing w:after="0" w:line="20" w:lineRule="exact"/>
        <w:rPr>
          <w:sz w:val="24"/>
          <w:szCs w:val="24"/>
          <w:color w:val="auto"/>
        </w:rPr>
      </w:pPr>
      <w:r>
        <w:rPr>
          <w:sz w:val="24"/>
          <w:szCs w:val="24"/>
          <w:color w:val="auto"/>
        </w:rPr>
        <w:br w:type="column"/>
      </w:r>
    </w:p>
    <w:p>
      <w:pPr>
        <w:spacing w:after="0" w:line="28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33" w:lineRule="exact"/>
        <w:rPr>
          <w:sz w:val="24"/>
          <w:szCs w:val="24"/>
          <w:color w:val="auto"/>
        </w:rPr>
      </w:pPr>
    </w:p>
    <w:p>
      <w:pPr>
        <w:sectPr>
          <w:pgSz w:w="11900" w:h="16838" w:orient="portrait"/>
          <w:cols w:equalWidth="0" w:num="2">
            <w:col w:w="2960" w:space="720"/>
            <w:col w:w="5339"/>
          </w:cols>
          <w:pgMar w:left="1440" w:top="578" w:right="1440" w:bottom="1440" w:gutter="0" w:footer="0" w:header="0"/>
          <w:type w:val="continuous"/>
        </w:sectPr>
      </w:pPr>
    </w:p>
    <w:p>
      <w:pPr>
        <w:spacing w:after="0" w:line="20" w:lineRule="exact"/>
        <w:rPr>
          <w:sz w:val="24"/>
          <w:szCs w:val="24"/>
          <w:color w:val="auto"/>
        </w:rPr>
      </w:pPr>
    </w:p>
    <w:p>
      <w:pPr>
        <w:ind w:left="580"/>
        <w:spacing w:after="0"/>
        <w:rPr>
          <w:sz w:val="20"/>
          <w:szCs w:val="20"/>
          <w:color w:val="auto"/>
        </w:rPr>
      </w:pPr>
      <w:r>
        <w:rPr>
          <w:rFonts w:ascii="Times New Roman" w:cs="Times New Roman" w:eastAsia="Times New Roman" w:hAnsi="Times New Roman"/>
          <w:sz w:val="17"/>
          <w:szCs w:val="17"/>
          <w:color w:val="auto"/>
        </w:rPr>
        <w:t>Filed by a Party other than the Registrant</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54" w:lineRule="exact"/>
        <w:rPr>
          <w:sz w:val="24"/>
          <w:szCs w:val="24"/>
          <w:color w:val="auto"/>
        </w:rPr>
      </w:pPr>
    </w:p>
    <w:p>
      <w:pPr>
        <w:sectPr>
          <w:pgSz w:w="11900" w:h="16838" w:orient="portrait"/>
          <w:cols w:equalWidth="0" w:num="2">
            <w:col w:w="3440" w:space="240"/>
            <w:col w:w="5339"/>
          </w:cols>
          <w:pgMar w:left="1440" w:top="578" w:right="1440" w:bottom="1440" w:gutter="0" w:footer="0" w:header="0"/>
          <w:type w:val="continuous"/>
        </w:sectPr>
      </w:pPr>
    </w:p>
    <w:p>
      <w:pPr>
        <w:spacing w:after="0" w:line="50" w:lineRule="exact"/>
        <w:rPr>
          <w:sz w:val="24"/>
          <w:szCs w:val="24"/>
          <w:color w:val="auto"/>
        </w:rPr>
      </w:pPr>
    </w:p>
    <w:p>
      <w:pPr>
        <w:ind w:left="580"/>
        <w:spacing w:after="0"/>
        <w:rPr>
          <w:sz w:val="20"/>
          <w:szCs w:val="20"/>
          <w:color w:val="auto"/>
        </w:rPr>
      </w:pPr>
      <w:r>
        <w:rPr>
          <w:rFonts w:ascii="Times New Roman" w:cs="Times New Roman" w:eastAsia="Times New Roman" w:hAnsi="Times New Roman"/>
          <w:sz w:val="17"/>
          <w:szCs w:val="17"/>
          <w:color w:val="auto"/>
        </w:rPr>
        <w:t>Check the appropriate box:</w:t>
      </w:r>
    </w:p>
    <w:p>
      <w:pPr>
        <w:sectPr>
          <w:pgSz w:w="11900" w:h="16838" w:orient="portrait"/>
          <w:cols w:equalWidth="0" w:num="1">
            <w:col w:w="9019"/>
          </w:cols>
          <w:pgMar w:left="1440" w:top="578" w:right="1440" w:bottom="1440" w:gutter="0" w:footer="0" w:header="0"/>
          <w:type w:val="continuous"/>
        </w:sectPr>
      </w:pPr>
    </w:p>
    <w:p>
      <w:pPr>
        <w:spacing w:after="0" w:line="184" w:lineRule="exact"/>
        <w:rPr>
          <w:sz w:val="24"/>
          <w:szCs w:val="24"/>
          <w:color w:val="auto"/>
        </w:rPr>
      </w:pPr>
    </w:p>
    <w:p>
      <w:pPr>
        <w:ind w:left="1000" w:hanging="426"/>
        <w:spacing w:after="0"/>
        <w:tabs>
          <w:tab w:leader="none" w:pos="100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Preliminary Proxy Statement</w:t>
      </w:r>
    </w:p>
    <w:p>
      <w:pPr>
        <w:spacing w:after="0" w:line="77" w:lineRule="exact"/>
        <w:rPr>
          <w:rFonts w:ascii="MS PGothic" w:cs="MS PGothic" w:eastAsia="MS PGothic" w:hAnsi="MS PGothic"/>
          <w:sz w:val="17"/>
          <w:szCs w:val="17"/>
          <w:color w:val="auto"/>
        </w:rPr>
      </w:pPr>
    </w:p>
    <w:p>
      <w:pPr>
        <w:ind w:left="1000" w:hanging="426"/>
        <w:spacing w:after="0"/>
        <w:tabs>
          <w:tab w:leader="none" w:pos="100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Confidential, for Use of the Commission Only (as permitted by Rule 14a-6(e)(2))</w:t>
      </w:r>
    </w:p>
    <w:p>
      <w:pPr>
        <w:spacing w:after="0" w:line="62" w:lineRule="exact"/>
        <w:rPr>
          <w:rFonts w:ascii="MS PGothic" w:cs="MS PGothic" w:eastAsia="MS PGothic" w:hAnsi="MS PGothic"/>
          <w:sz w:val="17"/>
          <w:szCs w:val="17"/>
          <w:color w:val="auto"/>
        </w:rPr>
      </w:pPr>
    </w:p>
    <w:p>
      <w:pPr>
        <w:ind w:left="580"/>
        <w:spacing w:after="0" w:line="196" w:lineRule="exact"/>
        <w:rPr>
          <w:rFonts w:ascii="MS PGothic" w:cs="MS PGothic" w:eastAsia="MS PGothic" w:hAnsi="MS PGothic"/>
          <w:sz w:val="17"/>
          <w:szCs w:val="17"/>
          <w:color w:val="auto"/>
        </w:rPr>
      </w:pP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Definitive Proxy Statement</w:t>
      </w:r>
    </w:p>
    <w:p>
      <w:pPr>
        <w:spacing w:after="0" w:line="99" w:lineRule="exact"/>
        <w:rPr>
          <w:rFonts w:ascii="MS PGothic" w:cs="MS PGothic" w:eastAsia="MS PGothic" w:hAnsi="MS PGothic"/>
          <w:sz w:val="17"/>
          <w:szCs w:val="17"/>
          <w:color w:val="auto"/>
        </w:rPr>
      </w:pPr>
    </w:p>
    <w:p>
      <w:pPr>
        <w:ind w:left="1000" w:hanging="426"/>
        <w:spacing w:after="0"/>
        <w:tabs>
          <w:tab w:leader="none" w:pos="100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Definitive Additional Materials</w:t>
      </w:r>
    </w:p>
    <w:p>
      <w:pPr>
        <w:spacing w:after="0" w:line="79" w:lineRule="exact"/>
        <w:rPr>
          <w:rFonts w:ascii="MS PGothic" w:cs="MS PGothic" w:eastAsia="MS PGothic" w:hAnsi="MS PGothic"/>
          <w:sz w:val="17"/>
          <w:szCs w:val="17"/>
          <w:color w:val="auto"/>
        </w:rPr>
      </w:pPr>
    </w:p>
    <w:p>
      <w:pPr>
        <w:ind w:left="1000" w:hanging="426"/>
        <w:spacing w:after="0"/>
        <w:tabs>
          <w:tab w:leader="none" w:pos="100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Soliciting Material Pursuant to §240.14a-12</w:t>
      </w:r>
    </w:p>
    <w:p>
      <w:pPr>
        <w:spacing w:after="0" w:line="27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8"/>
          <w:szCs w:val="28"/>
          <w:b w:val="1"/>
          <w:bCs w:val="1"/>
          <w:color w:val="auto"/>
        </w:rPr>
        <w:t>FORTINET, INC.</w:t>
      </w:r>
    </w:p>
    <w:p>
      <w:pPr>
        <w:spacing w:after="0" w:line="4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(Name of Registrant as Specified in Its Charter)</w:t>
      </w:r>
    </w:p>
    <w:p>
      <w:pPr>
        <w:spacing w:after="0" w:line="136" w:lineRule="exact"/>
        <w:rPr>
          <w:sz w:val="24"/>
          <w:szCs w:val="24"/>
          <w:color w:val="auto"/>
        </w:rPr>
      </w:pPr>
    </w:p>
    <w:p>
      <w:pPr>
        <w:ind w:left="1760"/>
        <w:spacing w:after="0"/>
        <w:rPr>
          <w:sz w:val="20"/>
          <w:szCs w:val="20"/>
          <w:color w:val="auto"/>
        </w:rPr>
      </w:pPr>
      <w:r>
        <w:rPr>
          <w:rFonts w:ascii="Times New Roman" w:cs="Times New Roman" w:eastAsia="Times New Roman" w:hAnsi="Times New Roman"/>
          <w:sz w:val="17"/>
          <w:szCs w:val="17"/>
          <w:b w:val="1"/>
          <w:bCs w:val="1"/>
          <w:color w:val="auto"/>
        </w:rPr>
        <w:t>_______________________________________________________________</w:t>
      </w:r>
    </w:p>
    <w:p>
      <w:pPr>
        <w:spacing w:after="0" w:line="34" w:lineRule="exact"/>
        <w:rPr>
          <w:sz w:val="24"/>
          <w:szCs w:val="24"/>
          <w:color w:val="auto"/>
        </w:rPr>
      </w:pPr>
    </w:p>
    <w:p>
      <w:pPr>
        <w:ind w:left="1980"/>
        <w:spacing w:after="0"/>
        <w:rPr>
          <w:sz w:val="20"/>
          <w:szCs w:val="20"/>
          <w:color w:val="auto"/>
        </w:rPr>
      </w:pPr>
      <w:r>
        <w:rPr>
          <w:rFonts w:ascii="Times New Roman" w:cs="Times New Roman" w:eastAsia="Times New Roman" w:hAnsi="Times New Roman"/>
          <w:sz w:val="17"/>
          <w:szCs w:val="17"/>
          <w:color w:val="auto"/>
        </w:rPr>
        <w:t>(Name of Person(s) Filing Proxy Statement, if other than the Registrant)</w:t>
      </w:r>
    </w:p>
    <w:p>
      <w:pPr>
        <w:spacing w:after="0" w:line="140" w:lineRule="exact"/>
        <w:rPr>
          <w:sz w:val="24"/>
          <w:szCs w:val="24"/>
          <w:color w:val="auto"/>
        </w:rPr>
      </w:pPr>
    </w:p>
    <w:p>
      <w:pPr>
        <w:ind w:left="580"/>
        <w:spacing w:after="0"/>
        <w:rPr>
          <w:sz w:val="20"/>
          <w:szCs w:val="20"/>
          <w:color w:val="auto"/>
        </w:rPr>
      </w:pPr>
      <w:r>
        <w:rPr>
          <w:rFonts w:ascii="Times New Roman" w:cs="Times New Roman" w:eastAsia="Times New Roman" w:hAnsi="Times New Roman"/>
          <w:sz w:val="17"/>
          <w:szCs w:val="17"/>
          <w:color w:val="auto"/>
        </w:rPr>
        <w:t>Payment of Filing Fee (Check all boxes that apply):</w:t>
      </w:r>
    </w:p>
    <w:p>
      <w:pPr>
        <w:spacing w:after="0" w:line="184" w:lineRule="exact"/>
        <w:rPr>
          <w:sz w:val="24"/>
          <w:szCs w:val="24"/>
          <w:color w:val="auto"/>
        </w:rPr>
      </w:pPr>
    </w:p>
    <w:p>
      <w:pPr>
        <w:ind w:left="1000" w:hanging="426"/>
        <w:spacing w:after="0"/>
        <w:tabs>
          <w:tab w:leader="none" w:pos="100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No fee required.</w:t>
      </w:r>
    </w:p>
    <w:p>
      <w:pPr>
        <w:spacing w:after="0" w:line="224" w:lineRule="exact"/>
        <w:rPr>
          <w:sz w:val="24"/>
          <w:szCs w:val="24"/>
          <w:color w:val="auto"/>
        </w:rPr>
      </w:pPr>
    </w:p>
    <w:p>
      <w:pPr>
        <w:ind w:left="1000" w:hanging="426"/>
        <w:spacing w:after="0"/>
        <w:tabs>
          <w:tab w:leader="none" w:pos="1000" w:val="left"/>
        </w:tabs>
        <w:numPr>
          <w:ilvl w:val="0"/>
          <w:numId w:val="3"/>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Fee paid previously with preliminary materials.</w:t>
      </w:r>
    </w:p>
    <w:p>
      <w:pPr>
        <w:spacing w:after="0" w:line="197" w:lineRule="exact"/>
        <w:rPr>
          <w:rFonts w:ascii="MS PGothic" w:cs="MS PGothic" w:eastAsia="MS PGothic" w:hAnsi="MS PGothic"/>
          <w:sz w:val="17"/>
          <w:szCs w:val="17"/>
          <w:color w:val="auto"/>
        </w:rPr>
      </w:pPr>
    </w:p>
    <w:p>
      <w:pPr>
        <w:ind w:left="1000" w:hanging="426"/>
        <w:spacing w:after="0"/>
        <w:tabs>
          <w:tab w:leader="none" w:pos="1000" w:val="left"/>
        </w:tabs>
        <w:numPr>
          <w:ilvl w:val="0"/>
          <w:numId w:val="3"/>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364490</wp:posOffset>
            </wp:positionH>
            <wp:positionV relativeFrom="paragraph">
              <wp:posOffset>203835</wp:posOffset>
            </wp:positionV>
            <wp:extent cx="4990465" cy="24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990465" cy="24765"/>
                    </a:xfrm>
                    <a:prstGeom prst="rect">
                      <a:avLst/>
                    </a:prstGeom>
                    <a:noFill/>
                  </pic:spPr>
                </pic:pic>
              </a:graphicData>
            </a:graphic>
          </wp:anchor>
        </w:drawing>
        <w:drawing>
          <wp:anchor simplePos="0" relativeHeight="251657728" behindDoc="1" locked="0" layoutInCell="0" allowOverlap="1">
            <wp:simplePos x="0" y="0"/>
            <wp:positionH relativeFrom="column">
              <wp:posOffset>364490</wp:posOffset>
            </wp:positionH>
            <wp:positionV relativeFrom="paragraph">
              <wp:posOffset>245110</wp:posOffset>
            </wp:positionV>
            <wp:extent cx="4990465" cy="24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990465" cy="24765"/>
                    </a:xfrm>
                    <a:prstGeom prst="rect">
                      <a:avLst/>
                    </a:prstGeom>
                    <a:noFill/>
                  </pic:spPr>
                </pic:pic>
              </a:graphicData>
            </a:graphic>
          </wp:anchor>
        </w:drawing>
        <w:drawing>
          <wp:anchor simplePos="0" relativeHeight="251657728" behindDoc="1" locked="0" layoutInCell="0" allowOverlap="1">
            <wp:simplePos x="0" y="0"/>
            <wp:positionH relativeFrom="column">
              <wp:posOffset>364490</wp:posOffset>
            </wp:positionH>
            <wp:positionV relativeFrom="paragraph">
              <wp:posOffset>511175</wp:posOffset>
            </wp:positionV>
            <wp:extent cx="49904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578" w:right="1440" w:bottom="1440" w:gutter="0" w:footer="0" w:header="0"/>
          <w:type w:val="continuous"/>
        </w:sectPr>
      </w:pPr>
    </w:p>
    <w:bookmarkStart w:id="1" w:name="page2"/>
    <w:bookmarkEnd w:id="1"/>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1554480</wp:posOffset>
            </wp:positionH>
            <wp:positionV relativeFrom="paragraph">
              <wp:posOffset>153670</wp:posOffset>
            </wp:positionV>
            <wp:extent cx="2611755" cy="2997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611755" cy="299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580" w:right="2099" w:firstLine="1511"/>
        <w:spacing w:after="0" w:line="427" w:lineRule="auto"/>
        <w:rPr>
          <w:sz w:val="20"/>
          <w:szCs w:val="20"/>
          <w:color w:val="auto"/>
        </w:rPr>
      </w:pPr>
      <w:r>
        <w:rPr>
          <w:rFonts w:ascii="Times New Roman" w:cs="Times New Roman" w:eastAsia="Times New Roman" w:hAnsi="Times New Roman"/>
          <w:sz w:val="17"/>
          <w:szCs w:val="17"/>
          <w:b w:val="1"/>
          <w:bCs w:val="1"/>
          <w:color w:val="auto"/>
        </w:rPr>
        <w:t xml:space="preserve">NOTICE OF 2026 ANNUAL MEETING OF STOCKHOLDERS </w:t>
      </w:r>
      <w:r>
        <w:rPr>
          <w:rFonts w:ascii="Times New Roman" w:cs="Times New Roman" w:eastAsia="Times New Roman" w:hAnsi="Times New Roman"/>
          <w:sz w:val="17"/>
          <w:szCs w:val="17"/>
          <w:color w:val="auto"/>
        </w:rPr>
        <w:t>Dear Fortinet Stockholder:</w:t>
      </w:r>
    </w:p>
    <w:p>
      <w:pPr>
        <w:spacing w:after="0" w:line="1" w:lineRule="exact"/>
        <w:rPr>
          <w:sz w:val="20"/>
          <w:szCs w:val="20"/>
          <w:color w:val="auto"/>
        </w:rPr>
      </w:pPr>
    </w:p>
    <w:p>
      <w:pPr>
        <w:ind w:left="580" w:right="759" w:firstLine="349"/>
        <w:spacing w:after="0" w:line="276" w:lineRule="auto"/>
        <w:rPr>
          <w:sz w:val="20"/>
          <w:szCs w:val="20"/>
          <w:color w:val="auto"/>
        </w:rPr>
      </w:pPr>
      <w:r>
        <w:rPr>
          <w:rFonts w:ascii="Times New Roman" w:cs="Times New Roman" w:eastAsia="Times New Roman" w:hAnsi="Times New Roman"/>
          <w:sz w:val="17"/>
          <w:szCs w:val="17"/>
          <w:color w:val="auto"/>
        </w:rPr>
        <w:t>Notice is hereby given that the 2026 Annual Meeting of Stockholders (the “2026 Annual Meeting”) of Fortinet, Inc., a Delaware corporation (“Fortinet,” “we,” “us” or “our”), will be held on Friday, June 12, 2026, at 10:00 a.m. Pacific time, in a virtual-only format, for the following purposes:</w:t>
      </w:r>
    </w:p>
    <w:p>
      <w:pPr>
        <w:spacing w:after="0" w:line="98" w:lineRule="exact"/>
        <w:rPr>
          <w:sz w:val="20"/>
          <w:szCs w:val="20"/>
          <w:color w:val="auto"/>
        </w:rPr>
      </w:pPr>
    </w:p>
    <w:p>
      <w:pPr>
        <w:jc w:val="both"/>
        <w:ind w:left="1280" w:right="639" w:hanging="356"/>
        <w:spacing w:after="0" w:line="276" w:lineRule="auto"/>
        <w:tabs>
          <w:tab w:leader="none" w:pos="1232"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elect the nine director nominees listed in the accompanying proxy statement to serve for a one-year term expiring at Fortinet’s 2027 Annual Meeting of Stockholders and until their respective successors have been duly elected and qualified.</w:t>
      </w:r>
    </w:p>
    <w:p>
      <w:pPr>
        <w:spacing w:after="0" w:line="85" w:lineRule="exact"/>
        <w:rPr>
          <w:rFonts w:ascii="Times New Roman" w:cs="Times New Roman" w:eastAsia="Times New Roman" w:hAnsi="Times New Roman"/>
          <w:sz w:val="17"/>
          <w:szCs w:val="17"/>
          <w:color w:val="auto"/>
        </w:rPr>
      </w:pPr>
    </w:p>
    <w:p>
      <w:pPr>
        <w:ind w:left="1280" w:right="1119" w:hanging="356"/>
        <w:spacing w:after="0" w:line="296" w:lineRule="auto"/>
        <w:tabs>
          <w:tab w:leader="none" w:pos="1232"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ratify the appointment of Deloitte &amp; Touche LLP as Fortinet’s independent registered public accounting firm for the fiscal year ending December 31, 2026.</w:t>
      </w:r>
    </w:p>
    <w:p>
      <w:pPr>
        <w:spacing w:after="0" w:line="81" w:lineRule="exact"/>
        <w:rPr>
          <w:rFonts w:ascii="Times New Roman" w:cs="Times New Roman" w:eastAsia="Times New Roman" w:hAnsi="Times New Roman"/>
          <w:sz w:val="17"/>
          <w:szCs w:val="17"/>
          <w:color w:val="auto"/>
        </w:rPr>
      </w:pPr>
    </w:p>
    <w:p>
      <w:pPr>
        <w:ind w:left="1220" w:hanging="296"/>
        <w:spacing w:after="0"/>
        <w:tabs>
          <w:tab w:leader="none" w:pos="12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advisory vote to approve named executive officer compensation.</w:t>
      </w:r>
    </w:p>
    <w:p>
      <w:pPr>
        <w:spacing w:after="0" w:line="158" w:lineRule="exact"/>
        <w:rPr>
          <w:rFonts w:ascii="Times New Roman" w:cs="Times New Roman" w:eastAsia="Times New Roman" w:hAnsi="Times New Roman"/>
          <w:sz w:val="17"/>
          <w:szCs w:val="17"/>
          <w:color w:val="auto"/>
        </w:rPr>
      </w:pPr>
    </w:p>
    <w:p>
      <w:pPr>
        <w:ind w:left="1220" w:hanging="296"/>
        <w:spacing w:after="0"/>
        <w:tabs>
          <w:tab w:leader="none" w:pos="12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transact such other business proposals, if properly presented before the meeting.</w:t>
      </w:r>
    </w:p>
    <w:p>
      <w:pPr>
        <w:spacing w:after="0" w:line="145" w:lineRule="exact"/>
        <w:rPr>
          <w:sz w:val="20"/>
          <w:szCs w:val="20"/>
          <w:color w:val="auto"/>
        </w:rPr>
      </w:pPr>
    </w:p>
    <w:p>
      <w:pPr>
        <w:ind w:left="580" w:right="579" w:firstLine="349"/>
        <w:spacing w:after="0" w:line="270" w:lineRule="auto"/>
        <w:rPr>
          <w:sz w:val="20"/>
          <w:szCs w:val="20"/>
          <w:color w:val="auto"/>
        </w:rPr>
      </w:pPr>
      <w:r>
        <w:rPr>
          <w:rFonts w:ascii="Times New Roman" w:cs="Times New Roman" w:eastAsia="Times New Roman" w:hAnsi="Times New Roman"/>
          <w:sz w:val="17"/>
          <w:szCs w:val="17"/>
          <w:color w:val="auto"/>
        </w:rPr>
        <w:t>We believe that a virtual stockholder meeting allows better access to those who may want to attend by providing for greater stockholder attendance and participation from any location around the world, and therefore we have chosen this over an in-person meeting. This approach also lowers costs and aligns with our broader sustainability goals.</w:t>
      </w:r>
    </w:p>
    <w:p>
      <w:pPr>
        <w:spacing w:after="0" w:line="103" w:lineRule="exact"/>
        <w:rPr>
          <w:sz w:val="20"/>
          <w:szCs w:val="20"/>
          <w:color w:val="auto"/>
        </w:rPr>
      </w:pPr>
    </w:p>
    <w:p>
      <w:pPr>
        <w:ind w:left="580" w:right="639" w:firstLine="349"/>
        <w:spacing w:after="0" w:line="267" w:lineRule="auto"/>
        <w:rPr>
          <w:sz w:val="20"/>
          <w:szCs w:val="20"/>
          <w:color w:val="auto"/>
        </w:rPr>
      </w:pPr>
      <w:r>
        <w:rPr>
          <w:rFonts w:ascii="Times New Roman" w:cs="Times New Roman" w:eastAsia="Times New Roman" w:hAnsi="Times New Roman"/>
          <w:sz w:val="17"/>
          <w:szCs w:val="17"/>
          <w:color w:val="auto"/>
        </w:rPr>
        <w:t>The preceding items of business are more fully described in the proxy statement accompanying this notice. Any action on the items of business described above may be considered at the 2026 Annual Meeting at the time and on the date specified above or at any time and date to which the 2026 Annual Meeting may be properly adjourned or postponed. Only stockholders of record at the close of business on April 17, 2026 are entitled to notice of, and to vote at, the 2026 Annual Meeting.</w:t>
      </w:r>
    </w:p>
    <w:p>
      <w:pPr>
        <w:spacing w:after="0" w:line="105" w:lineRule="exact"/>
        <w:rPr>
          <w:sz w:val="20"/>
          <w:szCs w:val="20"/>
          <w:color w:val="auto"/>
        </w:rPr>
      </w:pPr>
    </w:p>
    <w:p>
      <w:pPr>
        <w:ind w:left="580" w:right="819" w:firstLine="349"/>
        <w:spacing w:after="0" w:line="267" w:lineRule="auto"/>
        <w:rPr>
          <w:sz w:val="20"/>
          <w:szCs w:val="20"/>
          <w:color w:val="auto"/>
        </w:rPr>
      </w:pPr>
      <w:r>
        <w:rPr>
          <w:rFonts w:ascii="Times New Roman" w:cs="Times New Roman" w:eastAsia="Times New Roman" w:hAnsi="Times New Roman"/>
          <w:sz w:val="17"/>
          <w:szCs w:val="17"/>
          <w:color w:val="auto"/>
        </w:rPr>
        <w:t>We have elected to provide access to our proxy materials over the internet. Accordingly, stockholders of record at the close of business on April 17, 2026 will receive a Notice of Internet Availability of Proxy Materials and may vote at the 2026 Annual Meeting and any meetings pursuant to postponements or adjournments of the 2026 Annual Meeting. We expect to mail the Notice of Internet Availability of Proxy Materials on or about April 30, 2026.</w:t>
      </w:r>
    </w:p>
    <w:p>
      <w:pPr>
        <w:spacing w:after="0" w:line="89" w:lineRule="exact"/>
        <w:rPr>
          <w:sz w:val="20"/>
          <w:szCs w:val="20"/>
          <w:color w:val="auto"/>
        </w:rPr>
      </w:pPr>
    </w:p>
    <w:p>
      <w:pPr>
        <w:ind w:left="580" w:right="639" w:firstLine="349"/>
        <w:spacing w:after="0" w:line="263" w:lineRule="auto"/>
        <w:rPr>
          <w:sz w:val="20"/>
          <w:szCs w:val="20"/>
          <w:color w:val="auto"/>
        </w:rPr>
      </w:pPr>
      <w:r>
        <w:rPr>
          <w:rFonts w:ascii="Times New Roman" w:cs="Times New Roman" w:eastAsia="Times New Roman" w:hAnsi="Times New Roman"/>
          <w:sz w:val="17"/>
          <w:szCs w:val="17"/>
          <w:b w:val="1"/>
          <w:bCs w:val="1"/>
          <w:color w:val="auto"/>
        </w:rPr>
        <w:t>Your vote is very important. Whether or not you plan to attend the 2026 Annual Meeting, we encourage you to read the proxy statement and vote as instructed in the Notice of Internet Availability of Proxy Materials or vote on the internet or by telephone as soon as possible. Alternatively, you may follow the procedures outlined in the Notice of Internet Availability of Proxy Materials to request a paper copy of the proxy materials, which include a proxy card to submit your vote by mail. For specific instructions on how to vote your shares, please refer to the section entitled “Questions and Answers About the 2026 Annual Meeting and Procedural Matters” and the instructions on the Notice of Internet Availability of Proxy Materials.</w:t>
      </w:r>
    </w:p>
    <w:p>
      <w:pPr>
        <w:spacing w:after="0" w:line="10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7"/>
          <w:szCs w:val="17"/>
          <w:color w:val="auto"/>
        </w:rPr>
        <w:t>Thank you for your ongoing support of Fortinet.</w:t>
      </w:r>
    </w:p>
    <w:p>
      <w:pPr>
        <w:spacing w:after="0" w:line="184"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7"/>
          <w:szCs w:val="17"/>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2427605</wp:posOffset>
            </wp:positionH>
            <wp:positionV relativeFrom="paragraph">
              <wp:posOffset>153670</wp:posOffset>
            </wp:positionV>
            <wp:extent cx="1022985" cy="1828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22985" cy="182880"/>
                    </a:xfrm>
                    <a:prstGeom prst="rect">
                      <a:avLst/>
                    </a:prstGeom>
                    <a:noFill/>
                  </pic:spPr>
                </pic:pic>
              </a:graphicData>
            </a:graphic>
          </wp:anchor>
        </w:drawing>
      </w:r>
    </w:p>
    <w:p>
      <w:pPr>
        <w:spacing w:after="0" w:line="200" w:lineRule="exact"/>
        <w:rPr>
          <w:sz w:val="20"/>
          <w:szCs w:val="20"/>
          <w:color w:val="auto"/>
        </w:rPr>
      </w:pPr>
    </w:p>
    <w:p>
      <w:pPr>
        <w:spacing w:after="0" w:line="331"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7"/>
          <w:szCs w:val="17"/>
          <w:color w:val="auto"/>
        </w:rPr>
        <w:t>Ken Xie</w:t>
      </w:r>
    </w:p>
    <w:p>
      <w:pPr>
        <w:spacing w:after="0" w:line="78"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7"/>
          <w:szCs w:val="17"/>
          <w:i w:val="1"/>
          <w:iCs w:val="1"/>
          <w:color w:val="auto"/>
        </w:rPr>
        <w:t>Chief Executive Officer and Chairman of the Board of Directors</w:t>
      </w:r>
    </w:p>
    <w:p>
      <w:pPr>
        <w:spacing w:after="0" w:line="226"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7"/>
          <w:szCs w:val="17"/>
          <w:color w:val="auto"/>
        </w:rPr>
        <w:t>Sunnyvale, California</w:t>
      </w:r>
    </w:p>
    <w:p>
      <w:pPr>
        <w:spacing w:after="0" w:line="53"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7"/>
          <w:szCs w:val="17"/>
          <w:color w:val="auto"/>
        </w:rPr>
        <w:t>April 28,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303530</wp:posOffset>
            </wp:positionV>
            <wp:extent cx="49904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 w:name="page3"/>
    <w:bookmarkEnd w:id="2"/>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PROXY STATEMENT</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 THE 2026 ANNUAL MEETING OF STOCKHOLDERS</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TABLE OF CONTENTS</w:t>
      </w:r>
    </w:p>
    <w:p>
      <w:pPr>
        <w:spacing w:after="0" w:line="272" w:lineRule="exact"/>
        <w:rPr>
          <w:sz w:val="20"/>
          <w:szCs w:val="20"/>
          <w:color w:val="auto"/>
        </w:rPr>
      </w:pPr>
    </w:p>
    <w:tbl>
      <w:tblPr>
        <w:tblLayout w:type="fixed"/>
        <w:tblInd w:w="58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1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300" w:type="dxa"/>
            <w:vAlign w:val="bottom"/>
            <w:tcBorders>
              <w:top w:val="single" w:sz="8" w:color="CDE9F6"/>
            </w:tcBorders>
            <w:gridSpan w:val="42"/>
            <w:shd w:val="clear" w:color="auto" w:fill="CDE9F6"/>
          </w:tcPr>
          <w:p>
            <w:pPr>
              <w:spacing w:after="0" w:line="176" w:lineRule="exact"/>
              <w:rPr>
                <w:sz w:val="20"/>
                <w:szCs w:val="20"/>
                <w:color w:val="auto"/>
              </w:rPr>
            </w:pPr>
            <w:r>
              <w:rPr>
                <w:rFonts w:ascii="Times New Roman" w:cs="Times New Roman" w:eastAsia="Times New Roman" w:hAnsi="Times New Roman"/>
                <w:sz w:val="17"/>
                <w:szCs w:val="17"/>
                <w:color w:val="0000EE"/>
              </w:rPr>
              <w:t>PROXY SUMMARY</w:t>
            </w:r>
          </w:p>
        </w:tc>
        <w:tc>
          <w:tcPr>
            <w:tcW w:w="540" w:type="dxa"/>
            <w:vAlign w:val="bottom"/>
            <w:tcBorders>
              <w:top w:val="single" w:sz="8" w:color="auto"/>
            </w:tcBorders>
            <w:shd w:val="clear" w:color="auto" w:fill="CDE9F6"/>
          </w:tcPr>
          <w:p>
            <w:pPr>
              <w:jc w:val="center"/>
              <w:spacing w:after="0" w:line="176" w:lineRule="exact"/>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59"/>
        </w:trPr>
        <w:tc>
          <w:tcPr>
            <w:tcW w:w="20" w:type="dxa"/>
            <w:vAlign w:val="bottom"/>
            <w:vMerge w:val="restart"/>
          </w:tcPr>
          <w:p>
            <w:pPr>
              <w:spacing w:after="0"/>
              <w:rPr>
                <w:sz w:val="5"/>
                <w:szCs w:val="5"/>
                <w:color w:val="auto"/>
              </w:rPr>
            </w:pPr>
          </w:p>
        </w:tc>
        <w:tc>
          <w:tcPr>
            <w:tcW w:w="140" w:type="dxa"/>
            <w:vAlign w:val="bottom"/>
            <w:tcBorders>
              <w:top w:val="single" w:sz="8" w:color="0000EE"/>
            </w:tcBorders>
            <w:shd w:val="clear" w:color="auto" w:fill="CDE9F6"/>
          </w:tcPr>
          <w:p>
            <w:pPr>
              <w:spacing w:after="0"/>
              <w:rPr>
                <w:sz w:val="5"/>
                <w:szCs w:val="5"/>
                <w:color w:val="auto"/>
              </w:rPr>
            </w:pPr>
          </w:p>
        </w:tc>
        <w:tc>
          <w:tcPr>
            <w:tcW w:w="180" w:type="dxa"/>
            <w:vAlign w:val="bottom"/>
            <w:tcBorders>
              <w:top w:val="single" w:sz="8" w:color="0000EE"/>
            </w:tcBorders>
            <w:shd w:val="clear" w:color="auto" w:fill="CDE9F6"/>
          </w:tcPr>
          <w:p>
            <w:pPr>
              <w:spacing w:after="0"/>
              <w:rPr>
                <w:sz w:val="5"/>
                <w:szCs w:val="5"/>
                <w:color w:val="auto"/>
              </w:rPr>
            </w:pPr>
          </w:p>
        </w:tc>
        <w:tc>
          <w:tcPr>
            <w:tcW w:w="380" w:type="dxa"/>
            <w:vAlign w:val="bottom"/>
            <w:tcBorders>
              <w:top w:val="single" w:sz="8" w:color="0000EE"/>
            </w:tcBorders>
            <w:shd w:val="clear" w:color="auto" w:fill="CDE9F6"/>
          </w:tcPr>
          <w:p>
            <w:pPr>
              <w:spacing w:after="0"/>
              <w:rPr>
                <w:sz w:val="5"/>
                <w:szCs w:val="5"/>
                <w:color w:val="auto"/>
              </w:rPr>
            </w:pPr>
          </w:p>
        </w:tc>
        <w:tc>
          <w:tcPr>
            <w:tcW w:w="160" w:type="dxa"/>
            <w:vAlign w:val="bottom"/>
            <w:tcBorders>
              <w:top w:val="single" w:sz="8" w:color="0000EE"/>
            </w:tcBorders>
            <w:shd w:val="clear" w:color="auto" w:fill="CDE9F6"/>
          </w:tcPr>
          <w:p>
            <w:pPr>
              <w:spacing w:after="0"/>
              <w:rPr>
                <w:sz w:val="5"/>
                <w:szCs w:val="5"/>
                <w:color w:val="auto"/>
              </w:rPr>
            </w:pPr>
          </w:p>
        </w:tc>
        <w:tc>
          <w:tcPr>
            <w:tcW w:w="80" w:type="dxa"/>
            <w:vAlign w:val="bottom"/>
            <w:tcBorders>
              <w:top w:val="single" w:sz="8" w:color="0000EE"/>
            </w:tcBorders>
            <w:shd w:val="clear" w:color="auto" w:fill="CDE9F6"/>
          </w:tcPr>
          <w:p>
            <w:pPr>
              <w:spacing w:after="0"/>
              <w:rPr>
                <w:sz w:val="5"/>
                <w:szCs w:val="5"/>
                <w:color w:val="auto"/>
              </w:rPr>
            </w:pPr>
          </w:p>
        </w:tc>
        <w:tc>
          <w:tcPr>
            <w:tcW w:w="500" w:type="dxa"/>
            <w:vAlign w:val="bottom"/>
            <w:tcBorders>
              <w:top w:val="single" w:sz="8" w:color="0000EE"/>
            </w:tcBorders>
            <w:shd w:val="clear" w:color="auto" w:fill="CDE9F6"/>
          </w:tcPr>
          <w:p>
            <w:pPr>
              <w:spacing w:after="0"/>
              <w:rPr>
                <w:sz w:val="5"/>
                <w:szCs w:val="5"/>
                <w:color w:val="auto"/>
              </w:rPr>
            </w:pPr>
          </w:p>
        </w:tc>
        <w:tc>
          <w:tcPr>
            <w:tcW w:w="60" w:type="dxa"/>
            <w:vAlign w:val="bottom"/>
            <w:tcBorders>
              <w:top w:val="single" w:sz="8" w:color="0000EE"/>
            </w:tcBorders>
            <w:shd w:val="clear" w:color="auto" w:fill="CDE9F6"/>
          </w:tcPr>
          <w:p>
            <w:pPr>
              <w:spacing w:after="0"/>
              <w:rPr>
                <w:sz w:val="5"/>
                <w:szCs w:val="5"/>
                <w:color w:val="auto"/>
              </w:rPr>
            </w:pPr>
          </w:p>
        </w:tc>
        <w:tc>
          <w:tcPr>
            <w:tcW w:w="260" w:type="dxa"/>
            <w:vAlign w:val="bottom"/>
            <w:tcBorders>
              <w:top w:val="single" w:sz="8" w:color="CDE9F6"/>
            </w:tcBorders>
            <w:shd w:val="clear" w:color="auto" w:fill="CDE9F6"/>
          </w:tcPr>
          <w:p>
            <w:pPr>
              <w:spacing w:after="0"/>
              <w:rPr>
                <w:sz w:val="5"/>
                <w:szCs w:val="5"/>
                <w:color w:val="auto"/>
              </w:rPr>
            </w:pPr>
          </w:p>
        </w:tc>
        <w:tc>
          <w:tcPr>
            <w:tcW w:w="80" w:type="dxa"/>
            <w:vAlign w:val="bottom"/>
            <w:tcBorders>
              <w:top w:val="single" w:sz="8" w:color="CDE9F6"/>
            </w:tcBorders>
            <w:shd w:val="clear" w:color="auto" w:fill="CDE9F6"/>
          </w:tcPr>
          <w:p>
            <w:pPr>
              <w:spacing w:after="0"/>
              <w:rPr>
                <w:sz w:val="5"/>
                <w:szCs w:val="5"/>
                <w:color w:val="auto"/>
              </w:rPr>
            </w:pPr>
          </w:p>
        </w:tc>
        <w:tc>
          <w:tcPr>
            <w:tcW w:w="600" w:type="dxa"/>
            <w:vAlign w:val="bottom"/>
            <w:tcBorders>
              <w:top w:val="single" w:sz="8" w:color="CDE9F6"/>
            </w:tcBorders>
            <w:shd w:val="clear" w:color="auto" w:fill="CDE9F6"/>
          </w:tcPr>
          <w:p>
            <w:pPr>
              <w:spacing w:after="0"/>
              <w:rPr>
                <w:sz w:val="5"/>
                <w:szCs w:val="5"/>
                <w:color w:val="auto"/>
              </w:rPr>
            </w:pPr>
          </w:p>
        </w:tc>
        <w:tc>
          <w:tcPr>
            <w:tcW w:w="120" w:type="dxa"/>
            <w:vAlign w:val="bottom"/>
            <w:tcBorders>
              <w:top w:val="single" w:sz="8" w:color="CDE9F6"/>
            </w:tcBorders>
            <w:shd w:val="clear" w:color="auto" w:fill="CDE9F6"/>
          </w:tcPr>
          <w:p>
            <w:pPr>
              <w:spacing w:after="0"/>
              <w:rPr>
                <w:sz w:val="5"/>
                <w:szCs w:val="5"/>
                <w:color w:val="auto"/>
              </w:rPr>
            </w:pPr>
          </w:p>
        </w:tc>
        <w:tc>
          <w:tcPr>
            <w:tcW w:w="140" w:type="dxa"/>
            <w:vAlign w:val="bottom"/>
            <w:tcBorders>
              <w:top w:val="single" w:sz="8" w:color="CDE9F6"/>
            </w:tcBorders>
            <w:shd w:val="clear" w:color="auto" w:fill="CDE9F6"/>
          </w:tcPr>
          <w:p>
            <w:pPr>
              <w:spacing w:after="0"/>
              <w:rPr>
                <w:sz w:val="5"/>
                <w:szCs w:val="5"/>
                <w:color w:val="auto"/>
              </w:rPr>
            </w:pPr>
          </w:p>
        </w:tc>
        <w:tc>
          <w:tcPr>
            <w:tcW w:w="80" w:type="dxa"/>
            <w:vAlign w:val="bottom"/>
            <w:tcBorders>
              <w:top w:val="single" w:sz="8" w:color="CDE9F6"/>
            </w:tcBorders>
            <w:shd w:val="clear" w:color="auto" w:fill="CDE9F6"/>
          </w:tcPr>
          <w:p>
            <w:pPr>
              <w:spacing w:after="0"/>
              <w:rPr>
                <w:sz w:val="5"/>
                <w:szCs w:val="5"/>
                <w:color w:val="auto"/>
              </w:rPr>
            </w:pPr>
          </w:p>
        </w:tc>
        <w:tc>
          <w:tcPr>
            <w:tcW w:w="140" w:type="dxa"/>
            <w:vAlign w:val="bottom"/>
            <w:tcBorders>
              <w:top w:val="single" w:sz="8" w:color="CDE9F6"/>
            </w:tcBorders>
            <w:shd w:val="clear" w:color="auto" w:fill="CDE9F6"/>
          </w:tcPr>
          <w:p>
            <w:pPr>
              <w:spacing w:after="0"/>
              <w:rPr>
                <w:sz w:val="5"/>
                <w:szCs w:val="5"/>
                <w:color w:val="auto"/>
              </w:rPr>
            </w:pPr>
          </w:p>
        </w:tc>
        <w:tc>
          <w:tcPr>
            <w:tcW w:w="20" w:type="dxa"/>
            <w:vAlign w:val="bottom"/>
            <w:tcBorders>
              <w:top w:val="single" w:sz="8" w:color="CDE9F6"/>
            </w:tcBorders>
            <w:shd w:val="clear" w:color="auto" w:fill="CDE9F6"/>
          </w:tcPr>
          <w:p>
            <w:pPr>
              <w:spacing w:after="0"/>
              <w:rPr>
                <w:sz w:val="5"/>
                <w:szCs w:val="5"/>
                <w:color w:val="auto"/>
              </w:rPr>
            </w:pPr>
          </w:p>
        </w:tc>
        <w:tc>
          <w:tcPr>
            <w:tcW w:w="20" w:type="dxa"/>
            <w:vAlign w:val="bottom"/>
            <w:tcBorders>
              <w:top w:val="single" w:sz="8" w:color="CDE9F6"/>
            </w:tcBorders>
            <w:shd w:val="clear" w:color="auto" w:fill="CDE9F6"/>
          </w:tcPr>
          <w:p>
            <w:pPr>
              <w:spacing w:after="0"/>
              <w:rPr>
                <w:sz w:val="5"/>
                <w:szCs w:val="5"/>
                <w:color w:val="auto"/>
              </w:rPr>
            </w:pPr>
          </w:p>
        </w:tc>
        <w:tc>
          <w:tcPr>
            <w:tcW w:w="140" w:type="dxa"/>
            <w:vAlign w:val="bottom"/>
            <w:tcBorders>
              <w:top w:val="single" w:sz="8" w:color="CDE9F6"/>
            </w:tcBorders>
            <w:shd w:val="clear" w:color="auto" w:fill="CDE9F6"/>
          </w:tcPr>
          <w:p>
            <w:pPr>
              <w:spacing w:after="0"/>
              <w:rPr>
                <w:sz w:val="5"/>
                <w:szCs w:val="5"/>
                <w:color w:val="auto"/>
              </w:rPr>
            </w:pPr>
          </w:p>
        </w:tc>
        <w:tc>
          <w:tcPr>
            <w:tcW w:w="60" w:type="dxa"/>
            <w:vAlign w:val="bottom"/>
            <w:tcBorders>
              <w:top w:val="single" w:sz="8" w:color="CDE9F6"/>
            </w:tcBorders>
            <w:shd w:val="clear" w:color="auto" w:fill="CDE9F6"/>
          </w:tcPr>
          <w:p>
            <w:pPr>
              <w:spacing w:after="0"/>
              <w:rPr>
                <w:sz w:val="5"/>
                <w:szCs w:val="5"/>
                <w:color w:val="auto"/>
              </w:rPr>
            </w:pPr>
          </w:p>
        </w:tc>
        <w:tc>
          <w:tcPr>
            <w:tcW w:w="500" w:type="dxa"/>
            <w:vAlign w:val="bottom"/>
            <w:tcBorders>
              <w:top w:val="single" w:sz="8" w:color="CDE9F6"/>
            </w:tcBorders>
            <w:shd w:val="clear" w:color="auto" w:fill="CDE9F6"/>
          </w:tcPr>
          <w:p>
            <w:pPr>
              <w:spacing w:after="0"/>
              <w:rPr>
                <w:sz w:val="5"/>
                <w:szCs w:val="5"/>
                <w:color w:val="auto"/>
              </w:rPr>
            </w:pPr>
          </w:p>
        </w:tc>
        <w:tc>
          <w:tcPr>
            <w:tcW w:w="80" w:type="dxa"/>
            <w:vAlign w:val="bottom"/>
            <w:tcBorders>
              <w:top w:val="single" w:sz="8" w:color="CDE9F6"/>
            </w:tcBorders>
            <w:shd w:val="clear" w:color="auto" w:fill="CDE9F6"/>
          </w:tcPr>
          <w:p>
            <w:pPr>
              <w:spacing w:after="0"/>
              <w:rPr>
                <w:sz w:val="5"/>
                <w:szCs w:val="5"/>
                <w:color w:val="auto"/>
              </w:rPr>
            </w:pPr>
          </w:p>
        </w:tc>
        <w:tc>
          <w:tcPr>
            <w:tcW w:w="80" w:type="dxa"/>
            <w:vAlign w:val="bottom"/>
            <w:tcBorders>
              <w:top w:val="single" w:sz="8" w:color="CDE9F6"/>
            </w:tcBorders>
            <w:shd w:val="clear" w:color="auto" w:fill="CDE9F6"/>
          </w:tcPr>
          <w:p>
            <w:pPr>
              <w:spacing w:after="0"/>
              <w:rPr>
                <w:sz w:val="5"/>
                <w:szCs w:val="5"/>
                <w:color w:val="auto"/>
              </w:rPr>
            </w:pPr>
          </w:p>
        </w:tc>
        <w:tc>
          <w:tcPr>
            <w:tcW w:w="120" w:type="dxa"/>
            <w:vAlign w:val="bottom"/>
            <w:tcBorders>
              <w:top w:val="single" w:sz="8" w:color="CDE9F6"/>
            </w:tcBorders>
            <w:shd w:val="clear" w:color="auto" w:fill="CDE9F6"/>
          </w:tcPr>
          <w:p>
            <w:pPr>
              <w:spacing w:after="0"/>
              <w:rPr>
                <w:sz w:val="5"/>
                <w:szCs w:val="5"/>
                <w:color w:val="auto"/>
              </w:rPr>
            </w:pPr>
          </w:p>
        </w:tc>
        <w:tc>
          <w:tcPr>
            <w:tcW w:w="60" w:type="dxa"/>
            <w:vAlign w:val="bottom"/>
            <w:tcBorders>
              <w:top w:val="single" w:sz="8" w:color="CDE9F6"/>
            </w:tcBorders>
            <w:shd w:val="clear" w:color="auto" w:fill="CDE9F6"/>
          </w:tcPr>
          <w:p>
            <w:pPr>
              <w:spacing w:after="0"/>
              <w:rPr>
                <w:sz w:val="5"/>
                <w:szCs w:val="5"/>
                <w:color w:val="auto"/>
              </w:rPr>
            </w:pPr>
          </w:p>
        </w:tc>
        <w:tc>
          <w:tcPr>
            <w:tcW w:w="160" w:type="dxa"/>
            <w:vAlign w:val="bottom"/>
            <w:tcBorders>
              <w:top w:val="single" w:sz="8" w:color="CDE9F6"/>
            </w:tcBorders>
            <w:shd w:val="clear" w:color="auto" w:fill="CDE9F6"/>
          </w:tcPr>
          <w:p>
            <w:pPr>
              <w:spacing w:after="0"/>
              <w:rPr>
                <w:sz w:val="5"/>
                <w:szCs w:val="5"/>
                <w:color w:val="auto"/>
              </w:rPr>
            </w:pPr>
          </w:p>
        </w:tc>
        <w:tc>
          <w:tcPr>
            <w:tcW w:w="340" w:type="dxa"/>
            <w:vAlign w:val="bottom"/>
            <w:tcBorders>
              <w:top w:val="single" w:sz="8" w:color="CDE9F6"/>
            </w:tcBorders>
            <w:shd w:val="clear" w:color="auto" w:fill="CDE9F6"/>
          </w:tcPr>
          <w:p>
            <w:pPr>
              <w:spacing w:after="0"/>
              <w:rPr>
                <w:sz w:val="5"/>
                <w:szCs w:val="5"/>
                <w:color w:val="auto"/>
              </w:rPr>
            </w:pPr>
          </w:p>
        </w:tc>
        <w:tc>
          <w:tcPr>
            <w:tcW w:w="100" w:type="dxa"/>
            <w:vAlign w:val="bottom"/>
            <w:tcBorders>
              <w:top w:val="single" w:sz="8" w:color="CDE9F6"/>
            </w:tcBorders>
            <w:shd w:val="clear" w:color="auto" w:fill="CDE9F6"/>
          </w:tcPr>
          <w:p>
            <w:pPr>
              <w:spacing w:after="0"/>
              <w:rPr>
                <w:sz w:val="5"/>
                <w:szCs w:val="5"/>
                <w:color w:val="auto"/>
              </w:rPr>
            </w:pPr>
          </w:p>
        </w:tc>
        <w:tc>
          <w:tcPr>
            <w:tcW w:w="80" w:type="dxa"/>
            <w:vAlign w:val="bottom"/>
            <w:tcBorders>
              <w:top w:val="single" w:sz="8" w:color="CDE9F6"/>
            </w:tcBorders>
            <w:shd w:val="clear" w:color="auto" w:fill="CDE9F6"/>
          </w:tcPr>
          <w:p>
            <w:pPr>
              <w:spacing w:after="0"/>
              <w:rPr>
                <w:sz w:val="5"/>
                <w:szCs w:val="5"/>
                <w:color w:val="auto"/>
              </w:rPr>
            </w:pPr>
          </w:p>
        </w:tc>
        <w:tc>
          <w:tcPr>
            <w:tcW w:w="20" w:type="dxa"/>
            <w:vAlign w:val="bottom"/>
            <w:tcBorders>
              <w:top w:val="single" w:sz="8" w:color="CDE9F6"/>
            </w:tcBorders>
            <w:shd w:val="clear" w:color="auto" w:fill="CDE9F6"/>
          </w:tcPr>
          <w:p>
            <w:pPr>
              <w:spacing w:after="0"/>
              <w:rPr>
                <w:sz w:val="5"/>
                <w:szCs w:val="5"/>
                <w:color w:val="auto"/>
              </w:rPr>
            </w:pPr>
          </w:p>
        </w:tc>
        <w:tc>
          <w:tcPr>
            <w:tcW w:w="180" w:type="dxa"/>
            <w:vAlign w:val="bottom"/>
            <w:tcBorders>
              <w:top w:val="single" w:sz="8" w:color="CDE9F6"/>
            </w:tcBorders>
            <w:shd w:val="clear" w:color="auto" w:fill="CDE9F6"/>
          </w:tcPr>
          <w:p>
            <w:pPr>
              <w:spacing w:after="0"/>
              <w:rPr>
                <w:sz w:val="5"/>
                <w:szCs w:val="5"/>
                <w:color w:val="auto"/>
              </w:rPr>
            </w:pPr>
          </w:p>
        </w:tc>
        <w:tc>
          <w:tcPr>
            <w:tcW w:w="160" w:type="dxa"/>
            <w:vAlign w:val="bottom"/>
            <w:tcBorders>
              <w:top w:val="single" w:sz="8" w:color="CDE9F6"/>
            </w:tcBorders>
            <w:shd w:val="clear" w:color="auto" w:fill="CDE9F6"/>
          </w:tcPr>
          <w:p>
            <w:pPr>
              <w:spacing w:after="0"/>
              <w:rPr>
                <w:sz w:val="5"/>
                <w:szCs w:val="5"/>
                <w:color w:val="auto"/>
              </w:rPr>
            </w:pPr>
          </w:p>
        </w:tc>
        <w:tc>
          <w:tcPr>
            <w:tcW w:w="100" w:type="dxa"/>
            <w:vAlign w:val="bottom"/>
            <w:tcBorders>
              <w:top w:val="single" w:sz="8" w:color="CDE9F6"/>
            </w:tcBorders>
            <w:shd w:val="clear" w:color="auto" w:fill="CDE9F6"/>
          </w:tcPr>
          <w:p>
            <w:pPr>
              <w:spacing w:after="0"/>
              <w:rPr>
                <w:sz w:val="5"/>
                <w:szCs w:val="5"/>
                <w:color w:val="auto"/>
              </w:rPr>
            </w:pPr>
          </w:p>
        </w:tc>
        <w:tc>
          <w:tcPr>
            <w:tcW w:w="40" w:type="dxa"/>
            <w:vAlign w:val="bottom"/>
            <w:tcBorders>
              <w:top w:val="single" w:sz="8" w:color="CDE9F6"/>
            </w:tcBorders>
            <w:shd w:val="clear" w:color="auto" w:fill="CDE9F6"/>
          </w:tcPr>
          <w:p>
            <w:pPr>
              <w:spacing w:after="0"/>
              <w:rPr>
                <w:sz w:val="5"/>
                <w:szCs w:val="5"/>
                <w:color w:val="auto"/>
              </w:rPr>
            </w:pPr>
          </w:p>
        </w:tc>
        <w:tc>
          <w:tcPr>
            <w:tcW w:w="460" w:type="dxa"/>
            <w:vAlign w:val="bottom"/>
            <w:tcBorders>
              <w:top w:val="single" w:sz="8" w:color="CDE9F6"/>
            </w:tcBorders>
            <w:shd w:val="clear" w:color="auto" w:fill="CDE9F6"/>
          </w:tcPr>
          <w:p>
            <w:pPr>
              <w:spacing w:after="0"/>
              <w:rPr>
                <w:sz w:val="5"/>
                <w:szCs w:val="5"/>
                <w:color w:val="auto"/>
              </w:rPr>
            </w:pPr>
          </w:p>
        </w:tc>
        <w:tc>
          <w:tcPr>
            <w:tcW w:w="60" w:type="dxa"/>
            <w:vAlign w:val="bottom"/>
            <w:tcBorders>
              <w:top w:val="single" w:sz="8" w:color="CDE9F6"/>
            </w:tcBorders>
            <w:shd w:val="clear" w:color="auto" w:fill="CDE9F6"/>
          </w:tcPr>
          <w:p>
            <w:pPr>
              <w:spacing w:after="0"/>
              <w:rPr>
                <w:sz w:val="5"/>
                <w:szCs w:val="5"/>
                <w:color w:val="auto"/>
              </w:rPr>
            </w:pPr>
          </w:p>
        </w:tc>
        <w:tc>
          <w:tcPr>
            <w:tcW w:w="700" w:type="dxa"/>
            <w:vAlign w:val="bottom"/>
            <w:tcBorders>
              <w:top w:val="single" w:sz="8" w:color="CDE9F6"/>
            </w:tcBorders>
            <w:shd w:val="clear" w:color="auto" w:fill="CDE9F6"/>
          </w:tcPr>
          <w:p>
            <w:pPr>
              <w:spacing w:after="0"/>
              <w:rPr>
                <w:sz w:val="5"/>
                <w:szCs w:val="5"/>
                <w:color w:val="auto"/>
              </w:rPr>
            </w:pPr>
          </w:p>
        </w:tc>
        <w:tc>
          <w:tcPr>
            <w:tcW w:w="80" w:type="dxa"/>
            <w:vAlign w:val="bottom"/>
            <w:tcBorders>
              <w:top w:val="single" w:sz="8" w:color="CDE9F6"/>
            </w:tcBorders>
            <w:shd w:val="clear" w:color="auto" w:fill="CDE9F6"/>
          </w:tcPr>
          <w:p>
            <w:pPr>
              <w:spacing w:after="0"/>
              <w:rPr>
                <w:sz w:val="5"/>
                <w:szCs w:val="5"/>
                <w:color w:val="auto"/>
              </w:rPr>
            </w:pPr>
          </w:p>
        </w:tc>
        <w:tc>
          <w:tcPr>
            <w:tcW w:w="220" w:type="dxa"/>
            <w:vAlign w:val="bottom"/>
            <w:tcBorders>
              <w:top w:val="single" w:sz="8" w:color="CDE9F6"/>
            </w:tcBorders>
            <w:shd w:val="clear" w:color="auto" w:fill="CDE9F6"/>
          </w:tcPr>
          <w:p>
            <w:pPr>
              <w:spacing w:after="0"/>
              <w:rPr>
                <w:sz w:val="5"/>
                <w:szCs w:val="5"/>
                <w:color w:val="auto"/>
              </w:rPr>
            </w:pPr>
          </w:p>
        </w:tc>
        <w:tc>
          <w:tcPr>
            <w:tcW w:w="200" w:type="dxa"/>
            <w:vAlign w:val="bottom"/>
            <w:tcBorders>
              <w:top w:val="single" w:sz="8" w:color="CDE9F6"/>
            </w:tcBorders>
            <w:shd w:val="clear" w:color="auto" w:fill="CDE9F6"/>
          </w:tcPr>
          <w:p>
            <w:pPr>
              <w:spacing w:after="0"/>
              <w:rPr>
                <w:sz w:val="5"/>
                <w:szCs w:val="5"/>
                <w:color w:val="auto"/>
              </w:rPr>
            </w:pPr>
          </w:p>
        </w:tc>
        <w:tc>
          <w:tcPr>
            <w:tcW w:w="20" w:type="dxa"/>
            <w:vAlign w:val="bottom"/>
            <w:tcBorders>
              <w:top w:val="single" w:sz="8" w:color="CDE9F6"/>
            </w:tcBorders>
            <w:shd w:val="clear" w:color="auto" w:fill="CDE9F6"/>
          </w:tcPr>
          <w:p>
            <w:pPr>
              <w:spacing w:after="0"/>
              <w:rPr>
                <w:sz w:val="5"/>
                <w:szCs w:val="5"/>
                <w:color w:val="auto"/>
              </w:rPr>
            </w:pPr>
          </w:p>
        </w:tc>
        <w:tc>
          <w:tcPr>
            <w:tcW w:w="80" w:type="dxa"/>
            <w:vAlign w:val="bottom"/>
            <w:tcBorders>
              <w:top w:val="single" w:sz="8" w:color="CDE9F6"/>
            </w:tcBorders>
            <w:shd w:val="clear" w:color="auto" w:fill="CDE9F6"/>
          </w:tcPr>
          <w:p>
            <w:pPr>
              <w:spacing w:after="0"/>
              <w:rPr>
                <w:sz w:val="5"/>
                <w:szCs w:val="5"/>
                <w:color w:val="auto"/>
              </w:rPr>
            </w:pPr>
          </w:p>
        </w:tc>
        <w:tc>
          <w:tcPr>
            <w:tcW w:w="60" w:type="dxa"/>
            <w:vAlign w:val="bottom"/>
            <w:tcBorders>
              <w:top w:val="single" w:sz="8" w:color="CDE9F6"/>
            </w:tcBorders>
            <w:shd w:val="clear" w:color="auto" w:fill="CDE9F6"/>
          </w:tcPr>
          <w:p>
            <w:pPr>
              <w:spacing w:after="0"/>
              <w:rPr>
                <w:sz w:val="5"/>
                <w:szCs w:val="5"/>
                <w:color w:val="auto"/>
              </w:rPr>
            </w:pPr>
          </w:p>
        </w:tc>
        <w:tc>
          <w:tcPr>
            <w:tcW w:w="240" w:type="dxa"/>
            <w:vAlign w:val="bottom"/>
            <w:tcBorders>
              <w:top w:val="single" w:sz="8" w:color="CDE9F6"/>
            </w:tcBorders>
            <w:shd w:val="clear" w:color="auto" w:fill="CDE9F6"/>
          </w:tcPr>
          <w:p>
            <w:pPr>
              <w:spacing w:after="0"/>
              <w:rPr>
                <w:sz w:val="5"/>
                <w:szCs w:val="5"/>
                <w:color w:val="auto"/>
              </w:rPr>
            </w:pPr>
          </w:p>
        </w:tc>
        <w:tc>
          <w:tcPr>
            <w:tcW w:w="540" w:type="dxa"/>
            <w:vAlign w:val="bottom"/>
            <w:tcBorders>
              <w:top w:val="single" w:sz="8" w:color="CDE9F6"/>
            </w:tcBorders>
            <w:shd w:val="clear" w:color="auto" w:fill="CDE9F6"/>
          </w:tcPr>
          <w:p>
            <w:pPr>
              <w:spacing w:after="0"/>
              <w:rPr>
                <w:sz w:val="5"/>
                <w:szCs w:val="5"/>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7300" w:type="dxa"/>
            <w:vAlign w:val="bottom"/>
            <w:gridSpan w:val="42"/>
          </w:tcPr>
          <w:p>
            <w:pPr>
              <w:spacing w:after="0" w:line="171" w:lineRule="exact"/>
              <w:rPr>
                <w:sz w:val="20"/>
                <w:szCs w:val="20"/>
                <w:color w:val="auto"/>
              </w:rPr>
            </w:pPr>
            <w:r>
              <w:rPr>
                <w:rFonts w:ascii="Times New Roman" w:cs="Times New Roman" w:eastAsia="Times New Roman" w:hAnsi="Times New Roman"/>
                <w:sz w:val="17"/>
                <w:szCs w:val="17"/>
                <w:color w:val="0000EE"/>
              </w:rPr>
              <w:t>QUESTIONS AND ANSWERS ABOUT THE 2026 ANNUAL MEETING AND PROCEDURAL</w:t>
            </w: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900" w:type="dxa"/>
            <w:vAlign w:val="bottom"/>
            <w:tcBorders>
              <w:top w:val="single" w:sz="8" w:color="0000EE"/>
            </w:tcBorders>
            <w:gridSpan w:val="38"/>
          </w:tcPr>
          <w:p>
            <w:pPr>
              <w:ind w:left="140"/>
              <w:spacing w:after="0" w:line="189" w:lineRule="exact"/>
              <w:rPr>
                <w:sz w:val="20"/>
                <w:szCs w:val="20"/>
                <w:color w:val="auto"/>
              </w:rPr>
            </w:pPr>
            <w:r>
              <w:rPr>
                <w:rFonts w:ascii="Times New Roman" w:cs="Times New Roman" w:eastAsia="Times New Roman" w:hAnsi="Times New Roman"/>
                <w:sz w:val="17"/>
                <w:szCs w:val="17"/>
                <w:color w:val="0000EE"/>
              </w:rPr>
              <w:t>MATTERS</w:t>
            </w:r>
          </w:p>
        </w:tc>
        <w:tc>
          <w:tcPr>
            <w:tcW w:w="400" w:type="dxa"/>
            <w:vAlign w:val="bottom"/>
            <w:gridSpan w:val="4"/>
          </w:tcPr>
          <w:p>
            <w:pPr>
              <w:spacing w:after="0"/>
              <w:rPr>
                <w:sz w:val="16"/>
                <w:szCs w:val="16"/>
                <w:color w:val="auto"/>
              </w:rPr>
            </w:pPr>
          </w:p>
        </w:tc>
        <w:tc>
          <w:tcPr>
            <w:tcW w:w="540" w:type="dxa"/>
            <w:vAlign w:val="bottom"/>
          </w:tcPr>
          <w:p>
            <w:pPr>
              <w:jc w:val="center"/>
              <w:spacing w:after="0" w:line="189" w:lineRule="exact"/>
              <w:rPr>
                <w:sz w:val="20"/>
                <w:szCs w:val="20"/>
                <w:color w:val="auto"/>
              </w:rPr>
            </w:pPr>
            <w:r>
              <w:rPr>
                <w:rFonts w:ascii="Times New Roman" w:cs="Times New Roman" w:eastAsia="Times New Roman" w:hAnsi="Times New Roman"/>
                <w:sz w:val="17"/>
                <w:szCs w:val="17"/>
                <w:color w:val="auto"/>
              </w:rPr>
              <w:t>4</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500" w:type="dxa"/>
            <w:vAlign w:val="bottom"/>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5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0" w:type="dxa"/>
            <w:vAlign w:val="bottom"/>
            <w:shd w:val="clear" w:color="auto" w:fill="CDE9F6"/>
          </w:tcPr>
          <w:p>
            <w:pPr>
              <w:spacing w:after="0"/>
              <w:rPr>
                <w:sz w:val="17"/>
                <w:szCs w:val="17"/>
                <w:color w:val="auto"/>
              </w:rPr>
            </w:pPr>
          </w:p>
        </w:tc>
        <w:tc>
          <w:tcPr>
            <w:tcW w:w="7160" w:type="dxa"/>
            <w:vAlign w:val="bottom"/>
            <w:gridSpan w:val="41"/>
            <w:shd w:val="clear" w:color="auto" w:fill="CDE9F6"/>
          </w:tcPr>
          <w:p>
            <w:pPr>
              <w:spacing w:after="0"/>
              <w:rPr>
                <w:sz w:val="20"/>
                <w:szCs w:val="20"/>
                <w:color w:val="auto"/>
              </w:rPr>
            </w:pPr>
            <w:r>
              <w:rPr>
                <w:rFonts w:ascii="Times New Roman" w:cs="Times New Roman" w:eastAsia="Times New Roman" w:hAnsi="Times New Roman"/>
                <w:sz w:val="17"/>
                <w:szCs w:val="17"/>
                <w:color w:val="0000EE"/>
              </w:rPr>
              <w:t>Why am I receiving these materials?</w:t>
            </w:r>
          </w:p>
        </w:tc>
        <w:tc>
          <w:tcPr>
            <w:tcW w:w="540" w:type="dxa"/>
            <w:vAlign w:val="bottom"/>
            <w:shd w:val="clear" w:color="auto" w:fill="CDE9F6"/>
          </w:tcPr>
          <w:p>
            <w:pPr>
              <w:jc w:val="center"/>
              <w:spacing w:after="0"/>
              <w:rPr>
                <w:sz w:val="20"/>
                <w:szCs w:val="20"/>
                <w:color w:val="auto"/>
              </w:rPr>
            </w:pPr>
            <w:r>
              <w:rPr>
                <w:rFonts w:ascii="Times New Roman" w:cs="Times New Roman" w:eastAsia="Times New Roman" w:hAnsi="Times New Roman"/>
                <w:sz w:val="17"/>
                <w:szCs w:val="17"/>
                <w:color w:val="auto"/>
              </w:rPr>
              <w:t>4</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Borders>
              <w:top w:val="single" w:sz="8" w:color="CDE9F6"/>
            </w:tcBorders>
            <w:shd w:val="clear" w:color="auto" w:fill="CDE9F6"/>
          </w:tcPr>
          <w:p>
            <w:pPr>
              <w:spacing w:after="0"/>
              <w:rPr>
                <w:sz w:val="5"/>
                <w:szCs w:val="5"/>
                <w:color w:val="auto"/>
              </w:rPr>
            </w:pPr>
          </w:p>
        </w:tc>
        <w:tc>
          <w:tcPr>
            <w:tcW w:w="180" w:type="dxa"/>
            <w:vAlign w:val="bottom"/>
            <w:tcBorders>
              <w:top w:val="single" w:sz="8" w:color="0000EE"/>
            </w:tcBorders>
            <w:shd w:val="clear" w:color="auto" w:fill="CDE9F6"/>
          </w:tcPr>
          <w:p>
            <w:pPr>
              <w:spacing w:after="0"/>
              <w:rPr>
                <w:sz w:val="5"/>
                <w:szCs w:val="5"/>
                <w:color w:val="auto"/>
              </w:rPr>
            </w:pPr>
          </w:p>
        </w:tc>
        <w:tc>
          <w:tcPr>
            <w:tcW w:w="380" w:type="dxa"/>
            <w:vAlign w:val="bottom"/>
            <w:tcBorders>
              <w:top w:val="single" w:sz="8" w:color="0000EE"/>
            </w:tcBorders>
            <w:shd w:val="clear" w:color="auto" w:fill="CDE9F6"/>
          </w:tcPr>
          <w:p>
            <w:pPr>
              <w:spacing w:after="0"/>
              <w:rPr>
                <w:sz w:val="5"/>
                <w:szCs w:val="5"/>
                <w:color w:val="auto"/>
              </w:rPr>
            </w:pPr>
          </w:p>
        </w:tc>
        <w:tc>
          <w:tcPr>
            <w:tcW w:w="160" w:type="dxa"/>
            <w:vAlign w:val="bottom"/>
            <w:tcBorders>
              <w:top w:val="single" w:sz="8" w:color="0000EE"/>
            </w:tcBorders>
            <w:shd w:val="clear" w:color="auto" w:fill="CDE9F6"/>
          </w:tcPr>
          <w:p>
            <w:pPr>
              <w:spacing w:after="0"/>
              <w:rPr>
                <w:sz w:val="5"/>
                <w:szCs w:val="5"/>
                <w:color w:val="auto"/>
              </w:rPr>
            </w:pPr>
          </w:p>
        </w:tc>
        <w:tc>
          <w:tcPr>
            <w:tcW w:w="80" w:type="dxa"/>
            <w:vAlign w:val="bottom"/>
            <w:tcBorders>
              <w:top w:val="single" w:sz="8" w:color="0000EE"/>
            </w:tcBorders>
            <w:shd w:val="clear" w:color="auto" w:fill="CDE9F6"/>
          </w:tcPr>
          <w:p>
            <w:pPr>
              <w:spacing w:after="0"/>
              <w:rPr>
                <w:sz w:val="5"/>
                <w:szCs w:val="5"/>
                <w:color w:val="auto"/>
              </w:rPr>
            </w:pPr>
          </w:p>
        </w:tc>
        <w:tc>
          <w:tcPr>
            <w:tcW w:w="500" w:type="dxa"/>
            <w:vAlign w:val="bottom"/>
            <w:tcBorders>
              <w:top w:val="single" w:sz="8" w:color="0000EE"/>
            </w:tcBorders>
            <w:shd w:val="clear" w:color="auto" w:fill="CDE9F6"/>
          </w:tcPr>
          <w:p>
            <w:pPr>
              <w:spacing w:after="0"/>
              <w:rPr>
                <w:sz w:val="5"/>
                <w:szCs w:val="5"/>
                <w:color w:val="auto"/>
              </w:rPr>
            </w:pPr>
          </w:p>
        </w:tc>
        <w:tc>
          <w:tcPr>
            <w:tcW w:w="60" w:type="dxa"/>
            <w:vAlign w:val="bottom"/>
            <w:tcBorders>
              <w:top w:val="single" w:sz="8" w:color="0000EE"/>
            </w:tcBorders>
            <w:shd w:val="clear" w:color="auto" w:fill="CDE9F6"/>
          </w:tcPr>
          <w:p>
            <w:pPr>
              <w:spacing w:after="0"/>
              <w:rPr>
                <w:sz w:val="5"/>
                <w:szCs w:val="5"/>
                <w:color w:val="auto"/>
              </w:rPr>
            </w:pPr>
          </w:p>
        </w:tc>
        <w:tc>
          <w:tcPr>
            <w:tcW w:w="260" w:type="dxa"/>
            <w:vAlign w:val="bottom"/>
            <w:tcBorders>
              <w:top w:val="single" w:sz="8" w:color="0000EE"/>
            </w:tcBorders>
            <w:shd w:val="clear" w:color="auto" w:fill="CDE9F6"/>
          </w:tcPr>
          <w:p>
            <w:pPr>
              <w:spacing w:after="0"/>
              <w:rPr>
                <w:sz w:val="5"/>
                <w:szCs w:val="5"/>
                <w:color w:val="auto"/>
              </w:rPr>
            </w:pPr>
          </w:p>
        </w:tc>
        <w:tc>
          <w:tcPr>
            <w:tcW w:w="80" w:type="dxa"/>
            <w:vAlign w:val="bottom"/>
            <w:tcBorders>
              <w:top w:val="single" w:sz="8" w:color="0000EE"/>
            </w:tcBorders>
            <w:shd w:val="clear" w:color="auto" w:fill="CDE9F6"/>
          </w:tcPr>
          <w:p>
            <w:pPr>
              <w:spacing w:after="0"/>
              <w:rPr>
                <w:sz w:val="5"/>
                <w:szCs w:val="5"/>
                <w:color w:val="auto"/>
              </w:rPr>
            </w:pPr>
          </w:p>
        </w:tc>
        <w:tc>
          <w:tcPr>
            <w:tcW w:w="600" w:type="dxa"/>
            <w:vAlign w:val="bottom"/>
            <w:tcBorders>
              <w:top w:val="single" w:sz="8" w:color="0000EE"/>
            </w:tcBorders>
            <w:shd w:val="clear" w:color="auto" w:fill="CDE9F6"/>
          </w:tcPr>
          <w:p>
            <w:pPr>
              <w:spacing w:after="0"/>
              <w:rPr>
                <w:sz w:val="5"/>
                <w:szCs w:val="5"/>
                <w:color w:val="auto"/>
              </w:rPr>
            </w:pPr>
          </w:p>
        </w:tc>
        <w:tc>
          <w:tcPr>
            <w:tcW w:w="120" w:type="dxa"/>
            <w:vAlign w:val="bottom"/>
            <w:tcBorders>
              <w:top w:val="single" w:sz="8" w:color="0000EE"/>
            </w:tcBorders>
            <w:shd w:val="clear" w:color="auto" w:fill="CDE9F6"/>
          </w:tcPr>
          <w:p>
            <w:pPr>
              <w:spacing w:after="0"/>
              <w:rPr>
                <w:sz w:val="5"/>
                <w:szCs w:val="5"/>
                <w:color w:val="auto"/>
              </w:rPr>
            </w:pPr>
          </w:p>
        </w:tc>
        <w:tc>
          <w:tcPr>
            <w:tcW w:w="140" w:type="dxa"/>
            <w:vAlign w:val="bottom"/>
            <w:tcBorders>
              <w:top w:val="single" w:sz="8" w:color="0000EE"/>
            </w:tcBorders>
            <w:shd w:val="clear" w:color="auto" w:fill="CDE9F6"/>
          </w:tcPr>
          <w:p>
            <w:pPr>
              <w:spacing w:after="0"/>
              <w:rPr>
                <w:sz w:val="5"/>
                <w:szCs w:val="5"/>
                <w:color w:val="auto"/>
              </w:rPr>
            </w:pPr>
          </w:p>
        </w:tc>
        <w:tc>
          <w:tcPr>
            <w:tcW w:w="80" w:type="dxa"/>
            <w:vAlign w:val="bottom"/>
            <w:tcBorders>
              <w:top w:val="single" w:sz="8" w:color="CDE9F6"/>
            </w:tcBorders>
            <w:shd w:val="clear" w:color="auto" w:fill="CDE9F6"/>
          </w:tcPr>
          <w:p>
            <w:pPr>
              <w:spacing w:after="0"/>
              <w:rPr>
                <w:sz w:val="5"/>
                <w:szCs w:val="5"/>
                <w:color w:val="auto"/>
              </w:rPr>
            </w:pPr>
          </w:p>
        </w:tc>
        <w:tc>
          <w:tcPr>
            <w:tcW w:w="140" w:type="dxa"/>
            <w:vAlign w:val="bottom"/>
            <w:tcBorders>
              <w:top w:val="single" w:sz="8" w:color="CDE9F6"/>
            </w:tcBorders>
            <w:shd w:val="clear" w:color="auto" w:fill="CDE9F6"/>
          </w:tcPr>
          <w:p>
            <w:pPr>
              <w:spacing w:after="0"/>
              <w:rPr>
                <w:sz w:val="5"/>
                <w:szCs w:val="5"/>
                <w:color w:val="auto"/>
              </w:rPr>
            </w:pPr>
          </w:p>
        </w:tc>
        <w:tc>
          <w:tcPr>
            <w:tcW w:w="20" w:type="dxa"/>
            <w:vAlign w:val="bottom"/>
            <w:tcBorders>
              <w:top w:val="single" w:sz="8" w:color="CDE9F6"/>
            </w:tcBorders>
            <w:shd w:val="clear" w:color="auto" w:fill="CDE9F6"/>
          </w:tcPr>
          <w:p>
            <w:pPr>
              <w:spacing w:after="0"/>
              <w:rPr>
                <w:sz w:val="5"/>
                <w:szCs w:val="5"/>
                <w:color w:val="auto"/>
              </w:rPr>
            </w:pPr>
          </w:p>
        </w:tc>
        <w:tc>
          <w:tcPr>
            <w:tcW w:w="20" w:type="dxa"/>
            <w:vAlign w:val="bottom"/>
            <w:tcBorders>
              <w:top w:val="single" w:sz="8" w:color="CDE9F6"/>
            </w:tcBorders>
            <w:shd w:val="clear" w:color="auto" w:fill="CDE9F6"/>
          </w:tcPr>
          <w:p>
            <w:pPr>
              <w:spacing w:after="0"/>
              <w:rPr>
                <w:sz w:val="5"/>
                <w:szCs w:val="5"/>
                <w:color w:val="auto"/>
              </w:rPr>
            </w:pPr>
          </w:p>
        </w:tc>
        <w:tc>
          <w:tcPr>
            <w:tcW w:w="140" w:type="dxa"/>
            <w:vAlign w:val="bottom"/>
            <w:tcBorders>
              <w:top w:val="single" w:sz="8" w:color="CDE9F6"/>
            </w:tcBorders>
            <w:shd w:val="clear" w:color="auto" w:fill="CDE9F6"/>
          </w:tcPr>
          <w:p>
            <w:pPr>
              <w:spacing w:after="0"/>
              <w:rPr>
                <w:sz w:val="5"/>
                <w:szCs w:val="5"/>
                <w:color w:val="auto"/>
              </w:rPr>
            </w:pPr>
          </w:p>
        </w:tc>
        <w:tc>
          <w:tcPr>
            <w:tcW w:w="60" w:type="dxa"/>
            <w:vAlign w:val="bottom"/>
            <w:tcBorders>
              <w:top w:val="single" w:sz="8" w:color="CDE9F6"/>
            </w:tcBorders>
            <w:shd w:val="clear" w:color="auto" w:fill="CDE9F6"/>
          </w:tcPr>
          <w:p>
            <w:pPr>
              <w:spacing w:after="0"/>
              <w:rPr>
                <w:sz w:val="5"/>
                <w:szCs w:val="5"/>
                <w:color w:val="auto"/>
              </w:rPr>
            </w:pPr>
          </w:p>
        </w:tc>
        <w:tc>
          <w:tcPr>
            <w:tcW w:w="500" w:type="dxa"/>
            <w:vAlign w:val="bottom"/>
            <w:tcBorders>
              <w:top w:val="single" w:sz="8" w:color="CDE9F6"/>
            </w:tcBorders>
            <w:shd w:val="clear" w:color="auto" w:fill="CDE9F6"/>
          </w:tcPr>
          <w:p>
            <w:pPr>
              <w:spacing w:after="0"/>
              <w:rPr>
                <w:sz w:val="5"/>
                <w:szCs w:val="5"/>
                <w:color w:val="auto"/>
              </w:rPr>
            </w:pPr>
          </w:p>
        </w:tc>
        <w:tc>
          <w:tcPr>
            <w:tcW w:w="80" w:type="dxa"/>
            <w:vAlign w:val="bottom"/>
            <w:tcBorders>
              <w:top w:val="single" w:sz="8" w:color="CDE9F6"/>
            </w:tcBorders>
            <w:shd w:val="clear" w:color="auto" w:fill="CDE9F6"/>
          </w:tcPr>
          <w:p>
            <w:pPr>
              <w:spacing w:after="0"/>
              <w:rPr>
                <w:sz w:val="5"/>
                <w:szCs w:val="5"/>
                <w:color w:val="auto"/>
              </w:rPr>
            </w:pPr>
          </w:p>
        </w:tc>
        <w:tc>
          <w:tcPr>
            <w:tcW w:w="80" w:type="dxa"/>
            <w:vAlign w:val="bottom"/>
            <w:tcBorders>
              <w:top w:val="single" w:sz="8" w:color="CDE9F6"/>
            </w:tcBorders>
            <w:shd w:val="clear" w:color="auto" w:fill="CDE9F6"/>
          </w:tcPr>
          <w:p>
            <w:pPr>
              <w:spacing w:after="0"/>
              <w:rPr>
                <w:sz w:val="5"/>
                <w:szCs w:val="5"/>
                <w:color w:val="auto"/>
              </w:rPr>
            </w:pPr>
          </w:p>
        </w:tc>
        <w:tc>
          <w:tcPr>
            <w:tcW w:w="120" w:type="dxa"/>
            <w:vAlign w:val="bottom"/>
            <w:tcBorders>
              <w:top w:val="single" w:sz="8" w:color="CDE9F6"/>
            </w:tcBorders>
            <w:shd w:val="clear" w:color="auto" w:fill="CDE9F6"/>
          </w:tcPr>
          <w:p>
            <w:pPr>
              <w:spacing w:after="0"/>
              <w:rPr>
                <w:sz w:val="5"/>
                <w:szCs w:val="5"/>
                <w:color w:val="auto"/>
              </w:rPr>
            </w:pPr>
          </w:p>
        </w:tc>
        <w:tc>
          <w:tcPr>
            <w:tcW w:w="60" w:type="dxa"/>
            <w:vAlign w:val="bottom"/>
            <w:tcBorders>
              <w:top w:val="single" w:sz="8" w:color="CDE9F6"/>
            </w:tcBorders>
            <w:shd w:val="clear" w:color="auto" w:fill="CDE9F6"/>
          </w:tcPr>
          <w:p>
            <w:pPr>
              <w:spacing w:after="0"/>
              <w:rPr>
                <w:sz w:val="5"/>
                <w:szCs w:val="5"/>
                <w:color w:val="auto"/>
              </w:rPr>
            </w:pPr>
          </w:p>
        </w:tc>
        <w:tc>
          <w:tcPr>
            <w:tcW w:w="160" w:type="dxa"/>
            <w:vAlign w:val="bottom"/>
            <w:tcBorders>
              <w:top w:val="single" w:sz="8" w:color="CDE9F6"/>
            </w:tcBorders>
            <w:shd w:val="clear" w:color="auto" w:fill="CDE9F6"/>
          </w:tcPr>
          <w:p>
            <w:pPr>
              <w:spacing w:after="0"/>
              <w:rPr>
                <w:sz w:val="5"/>
                <w:szCs w:val="5"/>
                <w:color w:val="auto"/>
              </w:rPr>
            </w:pPr>
          </w:p>
        </w:tc>
        <w:tc>
          <w:tcPr>
            <w:tcW w:w="340" w:type="dxa"/>
            <w:vAlign w:val="bottom"/>
            <w:tcBorders>
              <w:top w:val="single" w:sz="8" w:color="CDE9F6"/>
            </w:tcBorders>
            <w:shd w:val="clear" w:color="auto" w:fill="CDE9F6"/>
          </w:tcPr>
          <w:p>
            <w:pPr>
              <w:spacing w:after="0"/>
              <w:rPr>
                <w:sz w:val="5"/>
                <w:szCs w:val="5"/>
                <w:color w:val="auto"/>
              </w:rPr>
            </w:pPr>
          </w:p>
        </w:tc>
        <w:tc>
          <w:tcPr>
            <w:tcW w:w="100" w:type="dxa"/>
            <w:vAlign w:val="bottom"/>
            <w:tcBorders>
              <w:top w:val="single" w:sz="8" w:color="CDE9F6"/>
            </w:tcBorders>
            <w:shd w:val="clear" w:color="auto" w:fill="CDE9F6"/>
          </w:tcPr>
          <w:p>
            <w:pPr>
              <w:spacing w:after="0"/>
              <w:rPr>
                <w:sz w:val="5"/>
                <w:szCs w:val="5"/>
                <w:color w:val="auto"/>
              </w:rPr>
            </w:pPr>
          </w:p>
        </w:tc>
        <w:tc>
          <w:tcPr>
            <w:tcW w:w="80" w:type="dxa"/>
            <w:vAlign w:val="bottom"/>
            <w:tcBorders>
              <w:top w:val="single" w:sz="8" w:color="CDE9F6"/>
            </w:tcBorders>
            <w:shd w:val="clear" w:color="auto" w:fill="CDE9F6"/>
          </w:tcPr>
          <w:p>
            <w:pPr>
              <w:spacing w:after="0"/>
              <w:rPr>
                <w:sz w:val="5"/>
                <w:szCs w:val="5"/>
                <w:color w:val="auto"/>
              </w:rPr>
            </w:pPr>
          </w:p>
        </w:tc>
        <w:tc>
          <w:tcPr>
            <w:tcW w:w="20" w:type="dxa"/>
            <w:vAlign w:val="bottom"/>
            <w:tcBorders>
              <w:top w:val="single" w:sz="8" w:color="CDE9F6"/>
            </w:tcBorders>
            <w:shd w:val="clear" w:color="auto" w:fill="CDE9F6"/>
          </w:tcPr>
          <w:p>
            <w:pPr>
              <w:spacing w:after="0"/>
              <w:rPr>
                <w:sz w:val="5"/>
                <w:szCs w:val="5"/>
                <w:color w:val="auto"/>
              </w:rPr>
            </w:pPr>
          </w:p>
        </w:tc>
        <w:tc>
          <w:tcPr>
            <w:tcW w:w="180" w:type="dxa"/>
            <w:vAlign w:val="bottom"/>
            <w:tcBorders>
              <w:top w:val="single" w:sz="8" w:color="CDE9F6"/>
            </w:tcBorders>
            <w:shd w:val="clear" w:color="auto" w:fill="CDE9F6"/>
          </w:tcPr>
          <w:p>
            <w:pPr>
              <w:spacing w:after="0"/>
              <w:rPr>
                <w:sz w:val="5"/>
                <w:szCs w:val="5"/>
                <w:color w:val="auto"/>
              </w:rPr>
            </w:pPr>
          </w:p>
        </w:tc>
        <w:tc>
          <w:tcPr>
            <w:tcW w:w="160" w:type="dxa"/>
            <w:vAlign w:val="bottom"/>
            <w:tcBorders>
              <w:top w:val="single" w:sz="8" w:color="CDE9F6"/>
            </w:tcBorders>
            <w:shd w:val="clear" w:color="auto" w:fill="CDE9F6"/>
          </w:tcPr>
          <w:p>
            <w:pPr>
              <w:spacing w:after="0"/>
              <w:rPr>
                <w:sz w:val="5"/>
                <w:szCs w:val="5"/>
                <w:color w:val="auto"/>
              </w:rPr>
            </w:pPr>
          </w:p>
        </w:tc>
        <w:tc>
          <w:tcPr>
            <w:tcW w:w="100" w:type="dxa"/>
            <w:vAlign w:val="bottom"/>
            <w:tcBorders>
              <w:top w:val="single" w:sz="8" w:color="CDE9F6"/>
            </w:tcBorders>
            <w:shd w:val="clear" w:color="auto" w:fill="CDE9F6"/>
          </w:tcPr>
          <w:p>
            <w:pPr>
              <w:spacing w:after="0"/>
              <w:rPr>
                <w:sz w:val="5"/>
                <w:szCs w:val="5"/>
                <w:color w:val="auto"/>
              </w:rPr>
            </w:pPr>
          </w:p>
        </w:tc>
        <w:tc>
          <w:tcPr>
            <w:tcW w:w="40" w:type="dxa"/>
            <w:vAlign w:val="bottom"/>
            <w:tcBorders>
              <w:top w:val="single" w:sz="8" w:color="CDE9F6"/>
            </w:tcBorders>
            <w:shd w:val="clear" w:color="auto" w:fill="CDE9F6"/>
          </w:tcPr>
          <w:p>
            <w:pPr>
              <w:spacing w:after="0"/>
              <w:rPr>
                <w:sz w:val="5"/>
                <w:szCs w:val="5"/>
                <w:color w:val="auto"/>
              </w:rPr>
            </w:pPr>
          </w:p>
        </w:tc>
        <w:tc>
          <w:tcPr>
            <w:tcW w:w="460" w:type="dxa"/>
            <w:vAlign w:val="bottom"/>
            <w:tcBorders>
              <w:top w:val="single" w:sz="8" w:color="CDE9F6"/>
            </w:tcBorders>
            <w:shd w:val="clear" w:color="auto" w:fill="CDE9F6"/>
          </w:tcPr>
          <w:p>
            <w:pPr>
              <w:spacing w:after="0"/>
              <w:rPr>
                <w:sz w:val="5"/>
                <w:szCs w:val="5"/>
                <w:color w:val="auto"/>
              </w:rPr>
            </w:pPr>
          </w:p>
        </w:tc>
        <w:tc>
          <w:tcPr>
            <w:tcW w:w="60" w:type="dxa"/>
            <w:vAlign w:val="bottom"/>
            <w:tcBorders>
              <w:top w:val="single" w:sz="8" w:color="CDE9F6"/>
            </w:tcBorders>
            <w:shd w:val="clear" w:color="auto" w:fill="CDE9F6"/>
          </w:tcPr>
          <w:p>
            <w:pPr>
              <w:spacing w:after="0"/>
              <w:rPr>
                <w:sz w:val="5"/>
                <w:szCs w:val="5"/>
                <w:color w:val="auto"/>
              </w:rPr>
            </w:pPr>
          </w:p>
        </w:tc>
        <w:tc>
          <w:tcPr>
            <w:tcW w:w="700" w:type="dxa"/>
            <w:vAlign w:val="bottom"/>
            <w:tcBorders>
              <w:top w:val="single" w:sz="8" w:color="CDE9F6"/>
            </w:tcBorders>
            <w:shd w:val="clear" w:color="auto" w:fill="CDE9F6"/>
          </w:tcPr>
          <w:p>
            <w:pPr>
              <w:spacing w:after="0"/>
              <w:rPr>
                <w:sz w:val="5"/>
                <w:szCs w:val="5"/>
                <w:color w:val="auto"/>
              </w:rPr>
            </w:pPr>
          </w:p>
        </w:tc>
        <w:tc>
          <w:tcPr>
            <w:tcW w:w="80" w:type="dxa"/>
            <w:vAlign w:val="bottom"/>
            <w:tcBorders>
              <w:top w:val="single" w:sz="8" w:color="CDE9F6"/>
            </w:tcBorders>
            <w:shd w:val="clear" w:color="auto" w:fill="CDE9F6"/>
          </w:tcPr>
          <w:p>
            <w:pPr>
              <w:spacing w:after="0"/>
              <w:rPr>
                <w:sz w:val="5"/>
                <w:szCs w:val="5"/>
                <w:color w:val="auto"/>
              </w:rPr>
            </w:pPr>
          </w:p>
        </w:tc>
        <w:tc>
          <w:tcPr>
            <w:tcW w:w="220" w:type="dxa"/>
            <w:vAlign w:val="bottom"/>
            <w:tcBorders>
              <w:top w:val="single" w:sz="8" w:color="CDE9F6"/>
            </w:tcBorders>
            <w:shd w:val="clear" w:color="auto" w:fill="CDE9F6"/>
          </w:tcPr>
          <w:p>
            <w:pPr>
              <w:spacing w:after="0"/>
              <w:rPr>
                <w:sz w:val="5"/>
                <w:szCs w:val="5"/>
                <w:color w:val="auto"/>
              </w:rPr>
            </w:pPr>
          </w:p>
        </w:tc>
        <w:tc>
          <w:tcPr>
            <w:tcW w:w="200" w:type="dxa"/>
            <w:vAlign w:val="bottom"/>
            <w:tcBorders>
              <w:top w:val="single" w:sz="8" w:color="CDE9F6"/>
            </w:tcBorders>
            <w:shd w:val="clear" w:color="auto" w:fill="CDE9F6"/>
          </w:tcPr>
          <w:p>
            <w:pPr>
              <w:spacing w:after="0"/>
              <w:rPr>
                <w:sz w:val="5"/>
                <w:szCs w:val="5"/>
                <w:color w:val="auto"/>
              </w:rPr>
            </w:pPr>
          </w:p>
        </w:tc>
        <w:tc>
          <w:tcPr>
            <w:tcW w:w="20" w:type="dxa"/>
            <w:vAlign w:val="bottom"/>
            <w:tcBorders>
              <w:top w:val="single" w:sz="8" w:color="CDE9F6"/>
            </w:tcBorders>
            <w:shd w:val="clear" w:color="auto" w:fill="CDE9F6"/>
          </w:tcPr>
          <w:p>
            <w:pPr>
              <w:spacing w:after="0"/>
              <w:rPr>
                <w:sz w:val="5"/>
                <w:szCs w:val="5"/>
                <w:color w:val="auto"/>
              </w:rPr>
            </w:pPr>
          </w:p>
        </w:tc>
        <w:tc>
          <w:tcPr>
            <w:tcW w:w="80" w:type="dxa"/>
            <w:vAlign w:val="bottom"/>
            <w:tcBorders>
              <w:top w:val="single" w:sz="8" w:color="CDE9F6"/>
            </w:tcBorders>
            <w:shd w:val="clear" w:color="auto" w:fill="CDE9F6"/>
          </w:tcPr>
          <w:p>
            <w:pPr>
              <w:spacing w:after="0"/>
              <w:rPr>
                <w:sz w:val="5"/>
                <w:szCs w:val="5"/>
                <w:color w:val="auto"/>
              </w:rPr>
            </w:pPr>
          </w:p>
        </w:tc>
        <w:tc>
          <w:tcPr>
            <w:tcW w:w="60" w:type="dxa"/>
            <w:vAlign w:val="bottom"/>
            <w:tcBorders>
              <w:top w:val="single" w:sz="8" w:color="CDE9F6"/>
            </w:tcBorders>
            <w:shd w:val="clear" w:color="auto" w:fill="CDE9F6"/>
          </w:tcPr>
          <w:p>
            <w:pPr>
              <w:spacing w:after="0"/>
              <w:rPr>
                <w:sz w:val="5"/>
                <w:szCs w:val="5"/>
                <w:color w:val="auto"/>
              </w:rPr>
            </w:pPr>
          </w:p>
        </w:tc>
        <w:tc>
          <w:tcPr>
            <w:tcW w:w="240" w:type="dxa"/>
            <w:vAlign w:val="bottom"/>
            <w:tcBorders>
              <w:top w:val="single" w:sz="8" w:color="CDE9F6"/>
            </w:tcBorders>
            <w:shd w:val="clear" w:color="auto" w:fill="CDE9F6"/>
          </w:tcPr>
          <w:p>
            <w:pPr>
              <w:spacing w:after="0"/>
              <w:rPr>
                <w:sz w:val="5"/>
                <w:szCs w:val="5"/>
                <w:color w:val="auto"/>
              </w:rPr>
            </w:pPr>
          </w:p>
        </w:tc>
        <w:tc>
          <w:tcPr>
            <w:tcW w:w="540" w:type="dxa"/>
            <w:vAlign w:val="bottom"/>
            <w:tcBorders>
              <w:top w:val="single" w:sz="8" w:color="CDE9F6"/>
            </w:tcBorders>
            <w:shd w:val="clear" w:color="auto" w:fill="CDE9F6"/>
          </w:tcPr>
          <w:p>
            <w:pPr>
              <w:spacing w:after="0"/>
              <w:rPr>
                <w:sz w:val="5"/>
                <w:szCs w:val="5"/>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160" w:type="dxa"/>
            <w:vAlign w:val="bottom"/>
            <w:gridSpan w:val="41"/>
          </w:tcPr>
          <w:p>
            <w:pPr>
              <w:spacing w:after="0" w:line="171" w:lineRule="exact"/>
              <w:rPr>
                <w:sz w:val="20"/>
                <w:szCs w:val="20"/>
                <w:color w:val="auto"/>
              </w:rPr>
            </w:pPr>
            <w:r>
              <w:rPr>
                <w:rFonts w:ascii="Times New Roman" w:cs="Times New Roman" w:eastAsia="Times New Roman" w:hAnsi="Times New Roman"/>
                <w:sz w:val="17"/>
                <w:szCs w:val="17"/>
                <w:color w:val="0000EE"/>
              </w:rPr>
              <w:t>Why did I receive a one-page notice in the mail regarding the internet availability of proxy</w:t>
            </w: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340" w:type="dxa"/>
            <w:vAlign w:val="bottom"/>
            <w:tcBorders>
              <w:top w:val="single" w:sz="8" w:color="0000EE"/>
            </w:tcBorders>
            <w:gridSpan w:val="35"/>
          </w:tcPr>
          <w:p>
            <w:pPr>
              <w:ind w:left="180"/>
              <w:spacing w:after="0" w:line="189" w:lineRule="exact"/>
              <w:rPr>
                <w:sz w:val="20"/>
                <w:szCs w:val="20"/>
                <w:color w:val="auto"/>
              </w:rPr>
            </w:pPr>
            <w:r>
              <w:rPr>
                <w:rFonts w:ascii="Times New Roman" w:cs="Times New Roman" w:eastAsia="Times New Roman" w:hAnsi="Times New Roman"/>
                <w:sz w:val="17"/>
                <w:szCs w:val="17"/>
                <w:color w:val="0000EE"/>
              </w:rPr>
              <w:t>materials instead of a full set of proxy materials?</w:t>
            </w:r>
          </w:p>
        </w:tc>
        <w:tc>
          <w:tcPr>
            <w:tcW w:w="820" w:type="dxa"/>
            <w:vAlign w:val="bottom"/>
            <w:gridSpan w:val="6"/>
          </w:tcPr>
          <w:p>
            <w:pPr>
              <w:spacing w:after="0"/>
              <w:rPr>
                <w:sz w:val="16"/>
                <w:szCs w:val="16"/>
                <w:color w:val="auto"/>
              </w:rPr>
            </w:pPr>
          </w:p>
        </w:tc>
        <w:tc>
          <w:tcPr>
            <w:tcW w:w="540" w:type="dxa"/>
            <w:vAlign w:val="bottom"/>
          </w:tcPr>
          <w:p>
            <w:pPr>
              <w:jc w:val="center"/>
              <w:spacing w:after="0" w:line="189" w:lineRule="exact"/>
              <w:rPr>
                <w:sz w:val="20"/>
                <w:szCs w:val="20"/>
                <w:color w:val="auto"/>
              </w:rPr>
            </w:pPr>
            <w:r>
              <w:rPr>
                <w:rFonts w:ascii="Times New Roman" w:cs="Times New Roman" w:eastAsia="Times New Roman" w:hAnsi="Times New Roman"/>
                <w:sz w:val="17"/>
                <w:szCs w:val="17"/>
                <w:color w:val="auto"/>
              </w:rPr>
              <w:t>4</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5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50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5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40" w:type="dxa"/>
            <w:vAlign w:val="bottom"/>
            <w:shd w:val="clear" w:color="auto" w:fill="CDE9F6"/>
          </w:tcPr>
          <w:p>
            <w:pPr>
              <w:spacing w:after="0"/>
              <w:rPr>
                <w:sz w:val="22"/>
                <w:szCs w:val="22"/>
                <w:color w:val="auto"/>
              </w:rPr>
            </w:pPr>
          </w:p>
        </w:tc>
        <w:tc>
          <w:tcPr>
            <w:tcW w:w="7160" w:type="dxa"/>
            <w:vAlign w:val="bottom"/>
            <w:gridSpan w:val="41"/>
            <w:shd w:val="clear" w:color="auto" w:fill="CDE9F6"/>
          </w:tcPr>
          <w:p>
            <w:pPr>
              <w:spacing w:after="0"/>
              <w:rPr>
                <w:sz w:val="20"/>
                <w:szCs w:val="20"/>
                <w:color w:val="auto"/>
              </w:rPr>
            </w:pPr>
            <w:r>
              <w:rPr>
                <w:rFonts w:ascii="Times New Roman" w:cs="Times New Roman" w:eastAsia="Times New Roman" w:hAnsi="Times New Roman"/>
                <w:sz w:val="17"/>
                <w:szCs w:val="17"/>
                <w:color w:val="0000EE"/>
              </w:rPr>
              <w:t>How can I get electronic access to the proxy materials?</w:t>
            </w:r>
          </w:p>
        </w:tc>
        <w:tc>
          <w:tcPr>
            <w:tcW w:w="540" w:type="dxa"/>
            <w:vAlign w:val="bottom"/>
            <w:shd w:val="clear" w:color="auto" w:fill="CDE9F6"/>
          </w:tcPr>
          <w:p>
            <w:pPr>
              <w:jc w:val="center"/>
              <w:spacing w:after="0"/>
              <w:rPr>
                <w:sz w:val="20"/>
                <w:szCs w:val="20"/>
                <w:color w:val="auto"/>
              </w:rPr>
            </w:pPr>
            <w:r>
              <w:rPr>
                <w:rFonts w:ascii="Times New Roman" w:cs="Times New Roman" w:eastAsia="Times New Roman" w:hAnsi="Times New Roman"/>
                <w:sz w:val="17"/>
                <w:szCs w:val="17"/>
                <w:color w:val="auto"/>
              </w:rPr>
              <w:t>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0" w:type="dxa"/>
            <w:vAlign w:val="bottom"/>
            <w:tcBorders>
              <w:top w:val="single" w:sz="8" w:color="CDE9F6"/>
            </w:tcBorders>
          </w:tcPr>
          <w:p>
            <w:pPr>
              <w:spacing w:after="0"/>
              <w:rPr>
                <w:sz w:val="17"/>
                <w:szCs w:val="17"/>
                <w:color w:val="auto"/>
              </w:rPr>
            </w:pPr>
          </w:p>
        </w:tc>
        <w:tc>
          <w:tcPr>
            <w:tcW w:w="3860" w:type="dxa"/>
            <w:vAlign w:val="bottom"/>
            <w:tcBorders>
              <w:top w:val="single" w:sz="8" w:color="0000EE"/>
            </w:tcBorders>
            <w:gridSpan w:val="22"/>
          </w:tcPr>
          <w:p>
            <w:pPr>
              <w:spacing w:after="0"/>
              <w:rPr>
                <w:sz w:val="20"/>
                <w:szCs w:val="20"/>
                <w:color w:val="auto"/>
              </w:rPr>
            </w:pPr>
            <w:r>
              <w:rPr>
                <w:rFonts w:ascii="Times New Roman" w:cs="Times New Roman" w:eastAsia="Times New Roman" w:hAnsi="Times New Roman"/>
                <w:sz w:val="17"/>
                <w:szCs w:val="17"/>
                <w:color w:val="0000EE"/>
              </w:rPr>
              <w:t>Can I attend the 2026 Annual Meeting?</w:t>
            </w:r>
          </w:p>
        </w:tc>
        <w:tc>
          <w:tcPr>
            <w:tcW w:w="3300" w:type="dxa"/>
            <w:vAlign w:val="bottom"/>
            <w:tcBorders>
              <w:top w:val="single" w:sz="8" w:color="CDE9F6"/>
            </w:tcBorders>
            <w:gridSpan w:val="19"/>
          </w:tcPr>
          <w:p>
            <w:pPr>
              <w:spacing w:after="0"/>
              <w:rPr>
                <w:sz w:val="17"/>
                <w:szCs w:val="17"/>
                <w:color w:val="auto"/>
              </w:rPr>
            </w:pPr>
          </w:p>
        </w:tc>
        <w:tc>
          <w:tcPr>
            <w:tcW w:w="540" w:type="dxa"/>
            <w:vAlign w:val="bottom"/>
            <w:tcBorders>
              <w:top w:val="single" w:sz="8" w:color="CDE9F6"/>
            </w:tcBorders>
          </w:tcPr>
          <w:p>
            <w:pPr>
              <w:jc w:val="center"/>
              <w:spacing w:after="0"/>
              <w:rPr>
                <w:sz w:val="20"/>
                <w:szCs w:val="20"/>
                <w:color w:val="auto"/>
              </w:rPr>
            </w:pPr>
            <w:r>
              <w:rPr>
                <w:rFonts w:ascii="Times New Roman" w:cs="Times New Roman" w:eastAsia="Times New Roman" w:hAnsi="Times New Roman"/>
                <w:sz w:val="17"/>
                <w:szCs w:val="17"/>
                <w:color w:val="auto"/>
              </w:rPr>
              <w:t>4</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5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5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40" w:type="dxa"/>
            <w:vAlign w:val="bottom"/>
            <w:tcBorders>
              <w:bottom w:val="single" w:sz="8" w:color="CDE9F6"/>
            </w:tcBorders>
            <w:shd w:val="clear" w:color="auto" w:fill="CDE9F6"/>
          </w:tcPr>
          <w:p>
            <w:pPr>
              <w:spacing w:after="0"/>
              <w:rPr>
                <w:sz w:val="22"/>
                <w:szCs w:val="22"/>
                <w:color w:val="auto"/>
              </w:rPr>
            </w:pPr>
          </w:p>
        </w:tc>
        <w:tc>
          <w:tcPr>
            <w:tcW w:w="3800" w:type="dxa"/>
            <w:vAlign w:val="bottom"/>
            <w:tcBorders>
              <w:bottom w:val="single" w:sz="8" w:color="0000EE"/>
            </w:tcBorders>
            <w:gridSpan w:val="21"/>
            <w:shd w:val="clear" w:color="auto" w:fill="CDE9F6"/>
          </w:tcPr>
          <w:p>
            <w:pPr>
              <w:spacing w:after="0"/>
              <w:rPr>
                <w:sz w:val="20"/>
                <w:szCs w:val="20"/>
                <w:color w:val="auto"/>
              </w:rPr>
            </w:pPr>
            <w:r>
              <w:rPr>
                <w:rFonts w:ascii="Times New Roman" w:cs="Times New Roman" w:eastAsia="Times New Roman" w:hAnsi="Times New Roman"/>
                <w:sz w:val="17"/>
                <w:szCs w:val="17"/>
                <w:color w:val="0000EE"/>
              </w:rPr>
              <w:t>How can I ask questions at the 2026 Annual Meeting?</w:t>
            </w:r>
          </w:p>
        </w:tc>
        <w:tc>
          <w:tcPr>
            <w:tcW w:w="3360" w:type="dxa"/>
            <w:vAlign w:val="bottom"/>
            <w:tcBorders>
              <w:bottom w:val="single" w:sz="8" w:color="CDE9F6"/>
            </w:tcBorders>
            <w:gridSpan w:val="20"/>
            <w:shd w:val="clear" w:color="auto" w:fill="CDE9F6"/>
          </w:tcPr>
          <w:p>
            <w:pPr>
              <w:spacing w:after="0"/>
              <w:rPr>
                <w:sz w:val="22"/>
                <w:szCs w:val="22"/>
                <w:color w:val="auto"/>
              </w:rPr>
            </w:pPr>
          </w:p>
        </w:tc>
        <w:tc>
          <w:tcPr>
            <w:tcW w:w="540" w:type="dxa"/>
            <w:vAlign w:val="bottom"/>
            <w:tcBorders>
              <w:bottom w:val="single" w:sz="8" w:color="CDE9F6"/>
            </w:tcBorders>
            <w:shd w:val="clear" w:color="auto" w:fill="CDE9F6"/>
          </w:tcPr>
          <w:p>
            <w:pPr>
              <w:jc w:val="center"/>
              <w:spacing w:after="0"/>
              <w:rPr>
                <w:sz w:val="20"/>
                <w:szCs w:val="20"/>
                <w:color w:val="auto"/>
              </w:rPr>
            </w:pPr>
            <w:r>
              <w:rPr>
                <w:rFonts w:ascii="Times New Roman" w:cs="Times New Roman" w:eastAsia="Times New Roman" w:hAnsi="Times New Roman"/>
                <w:sz w:val="17"/>
                <w:szCs w:val="17"/>
                <w:color w:val="auto"/>
              </w:rPr>
              <w:t>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300" w:type="dxa"/>
            <w:vAlign w:val="bottom"/>
            <w:gridSpan w:val="42"/>
          </w:tcPr>
          <w:p>
            <w:pPr>
              <w:ind w:left="140"/>
              <w:spacing w:after="0"/>
              <w:rPr>
                <w:sz w:val="20"/>
                <w:szCs w:val="20"/>
                <w:color w:val="auto"/>
              </w:rPr>
            </w:pPr>
            <w:r>
              <w:rPr>
                <w:rFonts w:ascii="Times New Roman" w:cs="Times New Roman" w:eastAsia="Times New Roman" w:hAnsi="Times New Roman"/>
                <w:sz w:val="17"/>
                <w:szCs w:val="17"/>
                <w:color w:val="0000EE"/>
              </w:rPr>
              <w:t>Who is entitled to vote at the 2026 Annual Meeting?</w:t>
            </w:r>
          </w:p>
        </w:tc>
        <w:tc>
          <w:tcPr>
            <w:tcW w:w="5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5</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5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50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5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40" w:type="dxa"/>
            <w:vAlign w:val="bottom"/>
            <w:shd w:val="clear" w:color="auto" w:fill="CDE9F6"/>
          </w:tcPr>
          <w:p>
            <w:pPr>
              <w:spacing w:after="0"/>
              <w:rPr>
                <w:sz w:val="22"/>
                <w:szCs w:val="22"/>
                <w:color w:val="auto"/>
              </w:rPr>
            </w:pPr>
          </w:p>
        </w:tc>
        <w:tc>
          <w:tcPr>
            <w:tcW w:w="7160" w:type="dxa"/>
            <w:vAlign w:val="bottom"/>
            <w:gridSpan w:val="41"/>
            <w:shd w:val="clear" w:color="auto" w:fill="CDE9F6"/>
          </w:tcPr>
          <w:p>
            <w:pPr>
              <w:spacing w:after="0"/>
              <w:rPr>
                <w:sz w:val="20"/>
                <w:szCs w:val="20"/>
                <w:color w:val="auto"/>
              </w:rPr>
            </w:pPr>
            <w:r>
              <w:rPr>
                <w:rFonts w:ascii="Times New Roman" w:cs="Times New Roman" w:eastAsia="Times New Roman" w:hAnsi="Times New Roman"/>
                <w:sz w:val="17"/>
                <w:szCs w:val="17"/>
                <w:color w:val="0000EE"/>
              </w:rPr>
              <w:t>What is the difference between holding shares as a stockholder of record or as a beneficial owner?</w:t>
            </w:r>
          </w:p>
        </w:tc>
        <w:tc>
          <w:tcPr>
            <w:tcW w:w="540" w:type="dxa"/>
            <w:vAlign w:val="bottom"/>
            <w:shd w:val="clear" w:color="auto" w:fill="CDE9F6"/>
          </w:tcPr>
          <w:p>
            <w:pPr>
              <w:jc w:val="center"/>
              <w:spacing w:after="0"/>
              <w:rPr>
                <w:sz w:val="20"/>
                <w:szCs w:val="20"/>
                <w:color w:val="auto"/>
              </w:rPr>
            </w:pPr>
            <w:r>
              <w:rPr>
                <w:rFonts w:ascii="Times New Roman" w:cs="Times New Roman" w:eastAsia="Times New Roman" w:hAnsi="Times New Roman"/>
                <w:sz w:val="17"/>
                <w:szCs w:val="17"/>
                <w:color w:val="auto"/>
              </w:rPr>
              <w:t>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0" w:type="dxa"/>
            <w:vAlign w:val="bottom"/>
            <w:tcBorders>
              <w:top w:val="single" w:sz="8" w:color="CDE9F6"/>
            </w:tcBorders>
          </w:tcPr>
          <w:p>
            <w:pPr>
              <w:spacing w:after="0"/>
              <w:rPr>
                <w:sz w:val="17"/>
                <w:szCs w:val="17"/>
                <w:color w:val="auto"/>
              </w:rPr>
            </w:pPr>
          </w:p>
        </w:tc>
        <w:tc>
          <w:tcPr>
            <w:tcW w:w="6860" w:type="dxa"/>
            <w:vAlign w:val="bottom"/>
            <w:tcBorders>
              <w:top w:val="single" w:sz="8" w:color="0000EE"/>
            </w:tcBorders>
            <w:gridSpan w:val="39"/>
          </w:tcPr>
          <w:p>
            <w:pPr>
              <w:spacing w:after="0"/>
              <w:rPr>
                <w:sz w:val="20"/>
                <w:szCs w:val="20"/>
                <w:color w:val="auto"/>
              </w:rPr>
            </w:pPr>
            <w:r>
              <w:rPr>
                <w:rFonts w:ascii="Times New Roman" w:cs="Times New Roman" w:eastAsia="Times New Roman" w:hAnsi="Times New Roman"/>
                <w:sz w:val="17"/>
                <w:szCs w:val="17"/>
                <w:color w:val="0000EE"/>
              </w:rPr>
              <w:t>How can I vote my shares without attending the 2026 Annual Meeting?</w:t>
            </w:r>
          </w:p>
        </w:tc>
        <w:tc>
          <w:tcPr>
            <w:tcW w:w="300" w:type="dxa"/>
            <w:vAlign w:val="bottom"/>
            <w:tcBorders>
              <w:top w:val="single" w:sz="8" w:color="CDE9F6"/>
            </w:tcBorders>
            <w:gridSpan w:val="2"/>
          </w:tcPr>
          <w:p>
            <w:pPr>
              <w:spacing w:after="0"/>
              <w:rPr>
                <w:sz w:val="17"/>
                <w:szCs w:val="17"/>
                <w:color w:val="auto"/>
              </w:rPr>
            </w:pPr>
          </w:p>
        </w:tc>
        <w:tc>
          <w:tcPr>
            <w:tcW w:w="540" w:type="dxa"/>
            <w:vAlign w:val="bottom"/>
            <w:tcBorders>
              <w:top w:val="single" w:sz="8" w:color="CDE9F6"/>
            </w:tcBorders>
          </w:tcPr>
          <w:p>
            <w:pPr>
              <w:jc w:val="center"/>
              <w:spacing w:after="0"/>
              <w:rPr>
                <w:sz w:val="20"/>
                <w:szCs w:val="20"/>
                <w:color w:val="auto"/>
              </w:rPr>
            </w:pPr>
            <w:r>
              <w:rPr>
                <w:rFonts w:ascii="Times New Roman" w:cs="Times New Roman" w:eastAsia="Times New Roman" w:hAnsi="Times New Roman"/>
                <w:sz w:val="17"/>
                <w:szCs w:val="17"/>
                <w:color w:val="auto"/>
              </w:rPr>
              <w:t>6</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5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50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5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40" w:type="dxa"/>
            <w:vAlign w:val="bottom"/>
            <w:shd w:val="clear" w:color="auto" w:fill="CDE9F6"/>
          </w:tcPr>
          <w:p>
            <w:pPr>
              <w:spacing w:after="0"/>
              <w:rPr>
                <w:sz w:val="22"/>
                <w:szCs w:val="22"/>
                <w:color w:val="auto"/>
              </w:rPr>
            </w:pPr>
          </w:p>
        </w:tc>
        <w:tc>
          <w:tcPr>
            <w:tcW w:w="7160" w:type="dxa"/>
            <w:vAlign w:val="bottom"/>
            <w:gridSpan w:val="41"/>
            <w:shd w:val="clear" w:color="auto" w:fill="CDE9F6"/>
          </w:tcPr>
          <w:p>
            <w:pPr>
              <w:spacing w:after="0"/>
              <w:rPr>
                <w:sz w:val="20"/>
                <w:szCs w:val="20"/>
                <w:color w:val="auto"/>
              </w:rPr>
            </w:pPr>
            <w:r>
              <w:rPr>
                <w:rFonts w:ascii="Times New Roman" w:cs="Times New Roman" w:eastAsia="Times New Roman" w:hAnsi="Times New Roman"/>
                <w:sz w:val="17"/>
                <w:szCs w:val="17"/>
                <w:color w:val="0000EE"/>
              </w:rPr>
              <w:t>How many shares must be present or represented to conduct business at the 2026 Annual Meeting?</w:t>
            </w:r>
          </w:p>
        </w:tc>
        <w:tc>
          <w:tcPr>
            <w:tcW w:w="540" w:type="dxa"/>
            <w:vAlign w:val="bottom"/>
            <w:shd w:val="clear" w:color="auto" w:fill="CDE9F6"/>
          </w:tcPr>
          <w:p>
            <w:pPr>
              <w:jc w:val="center"/>
              <w:spacing w:after="0"/>
              <w:rPr>
                <w:sz w:val="20"/>
                <w:szCs w:val="20"/>
                <w:color w:val="auto"/>
              </w:rPr>
            </w:pPr>
            <w:r>
              <w:rPr>
                <w:rFonts w:ascii="Times New Roman" w:cs="Times New Roman" w:eastAsia="Times New Roman" w:hAnsi="Times New Roman"/>
                <w:sz w:val="17"/>
                <w:szCs w:val="17"/>
                <w:color w:val="auto"/>
              </w:rPr>
              <w:t>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0" w:type="dxa"/>
            <w:vAlign w:val="bottom"/>
            <w:tcBorders>
              <w:top w:val="single" w:sz="8" w:color="CDE9F6"/>
            </w:tcBorders>
          </w:tcPr>
          <w:p>
            <w:pPr>
              <w:spacing w:after="0"/>
              <w:rPr>
                <w:sz w:val="17"/>
                <w:szCs w:val="17"/>
                <w:color w:val="auto"/>
              </w:rPr>
            </w:pPr>
          </w:p>
        </w:tc>
        <w:tc>
          <w:tcPr>
            <w:tcW w:w="6920" w:type="dxa"/>
            <w:vAlign w:val="bottom"/>
            <w:tcBorders>
              <w:top w:val="single" w:sz="8" w:color="0000EE"/>
            </w:tcBorders>
            <w:gridSpan w:val="40"/>
          </w:tcPr>
          <w:p>
            <w:pPr>
              <w:spacing w:after="0"/>
              <w:rPr>
                <w:sz w:val="20"/>
                <w:szCs w:val="20"/>
                <w:color w:val="auto"/>
              </w:rPr>
            </w:pPr>
            <w:r>
              <w:rPr>
                <w:rFonts w:ascii="Times New Roman" w:cs="Times New Roman" w:eastAsia="Times New Roman" w:hAnsi="Times New Roman"/>
                <w:sz w:val="17"/>
                <w:szCs w:val="17"/>
                <w:color w:val="0000EE"/>
              </w:rPr>
              <w:t>What proposals will be voted on at the 2026 Annual Meeting?</w:t>
            </w:r>
          </w:p>
        </w:tc>
        <w:tc>
          <w:tcPr>
            <w:tcW w:w="240" w:type="dxa"/>
            <w:vAlign w:val="bottom"/>
            <w:tcBorders>
              <w:top w:val="single" w:sz="8" w:color="CDE9F6"/>
            </w:tcBorders>
          </w:tcPr>
          <w:p>
            <w:pPr>
              <w:spacing w:after="0"/>
              <w:rPr>
                <w:sz w:val="17"/>
                <w:szCs w:val="17"/>
                <w:color w:val="auto"/>
              </w:rPr>
            </w:pPr>
          </w:p>
        </w:tc>
        <w:tc>
          <w:tcPr>
            <w:tcW w:w="540" w:type="dxa"/>
            <w:vAlign w:val="bottom"/>
            <w:tcBorders>
              <w:top w:val="single" w:sz="8" w:color="CDE9F6"/>
            </w:tcBorders>
          </w:tcPr>
          <w:p>
            <w:pPr>
              <w:jc w:val="center"/>
              <w:spacing w:after="0"/>
              <w:rPr>
                <w:sz w:val="20"/>
                <w:szCs w:val="20"/>
                <w:color w:val="auto"/>
              </w:rPr>
            </w:pPr>
            <w:r>
              <w:rPr>
                <w:rFonts w:ascii="Times New Roman" w:cs="Times New Roman" w:eastAsia="Times New Roman" w:hAnsi="Times New Roman"/>
                <w:sz w:val="17"/>
                <w:szCs w:val="17"/>
                <w:color w:val="auto"/>
              </w:rPr>
              <w:t>7</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5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50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5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40" w:type="dxa"/>
            <w:vAlign w:val="bottom"/>
            <w:shd w:val="clear" w:color="auto" w:fill="CDE9F6"/>
          </w:tcPr>
          <w:p>
            <w:pPr>
              <w:spacing w:after="0"/>
              <w:rPr>
                <w:sz w:val="22"/>
                <w:szCs w:val="22"/>
                <w:color w:val="auto"/>
              </w:rPr>
            </w:pPr>
          </w:p>
        </w:tc>
        <w:tc>
          <w:tcPr>
            <w:tcW w:w="7160" w:type="dxa"/>
            <w:vAlign w:val="bottom"/>
            <w:gridSpan w:val="41"/>
            <w:shd w:val="clear" w:color="auto" w:fill="CDE9F6"/>
          </w:tcPr>
          <w:p>
            <w:pPr>
              <w:spacing w:after="0"/>
              <w:rPr>
                <w:sz w:val="20"/>
                <w:szCs w:val="20"/>
                <w:color w:val="auto"/>
              </w:rPr>
            </w:pPr>
            <w:r>
              <w:rPr>
                <w:rFonts w:ascii="Times New Roman" w:cs="Times New Roman" w:eastAsia="Times New Roman" w:hAnsi="Times New Roman"/>
                <w:sz w:val="17"/>
                <w:szCs w:val="17"/>
                <w:color w:val="0000EE"/>
              </w:rPr>
              <w:t>What is the voting requirement to approve each of the proposals?</w:t>
            </w:r>
          </w:p>
        </w:tc>
        <w:tc>
          <w:tcPr>
            <w:tcW w:w="540" w:type="dxa"/>
            <w:vAlign w:val="bottom"/>
            <w:shd w:val="clear" w:color="auto" w:fill="CDE9F6"/>
          </w:tcPr>
          <w:p>
            <w:pPr>
              <w:jc w:val="center"/>
              <w:spacing w:after="0"/>
              <w:rPr>
                <w:sz w:val="20"/>
                <w:szCs w:val="20"/>
                <w:color w:val="auto"/>
              </w:rPr>
            </w:pPr>
            <w:r>
              <w:rPr>
                <w:rFonts w:ascii="Times New Roman" w:cs="Times New Roman" w:eastAsia="Times New Roman" w:hAnsi="Times New Roman"/>
                <w:sz w:val="17"/>
                <w:szCs w:val="17"/>
                <w:color w:val="auto"/>
              </w:rPr>
              <w:t>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0" w:type="dxa"/>
            <w:vAlign w:val="bottom"/>
            <w:tcBorders>
              <w:top w:val="single" w:sz="8" w:color="CDE9F6"/>
            </w:tcBorders>
          </w:tcPr>
          <w:p>
            <w:pPr>
              <w:spacing w:after="0"/>
              <w:rPr>
                <w:sz w:val="17"/>
                <w:szCs w:val="17"/>
                <w:color w:val="auto"/>
              </w:rPr>
            </w:pPr>
          </w:p>
        </w:tc>
        <w:tc>
          <w:tcPr>
            <w:tcW w:w="4560" w:type="dxa"/>
            <w:vAlign w:val="bottom"/>
            <w:tcBorders>
              <w:top w:val="single" w:sz="8" w:color="0000EE"/>
            </w:tcBorders>
            <w:gridSpan w:val="27"/>
          </w:tcPr>
          <w:p>
            <w:pPr>
              <w:spacing w:after="0"/>
              <w:rPr>
                <w:sz w:val="20"/>
                <w:szCs w:val="20"/>
                <w:color w:val="auto"/>
              </w:rPr>
            </w:pPr>
            <w:r>
              <w:rPr>
                <w:rFonts w:ascii="Times New Roman" w:cs="Times New Roman" w:eastAsia="Times New Roman" w:hAnsi="Times New Roman"/>
                <w:sz w:val="17"/>
                <w:szCs w:val="17"/>
                <w:color w:val="0000EE"/>
              </w:rPr>
              <w:t>How are votes counted?</w:t>
            </w:r>
          </w:p>
        </w:tc>
        <w:tc>
          <w:tcPr>
            <w:tcW w:w="2600" w:type="dxa"/>
            <w:vAlign w:val="bottom"/>
            <w:tcBorders>
              <w:top w:val="single" w:sz="8" w:color="CDE9F6"/>
            </w:tcBorders>
            <w:gridSpan w:val="14"/>
          </w:tcPr>
          <w:p>
            <w:pPr>
              <w:spacing w:after="0"/>
              <w:rPr>
                <w:sz w:val="17"/>
                <w:szCs w:val="17"/>
                <w:color w:val="auto"/>
              </w:rPr>
            </w:pPr>
          </w:p>
        </w:tc>
        <w:tc>
          <w:tcPr>
            <w:tcW w:w="540" w:type="dxa"/>
            <w:vAlign w:val="bottom"/>
            <w:tcBorders>
              <w:top w:val="single" w:sz="8" w:color="CDE9F6"/>
            </w:tcBorders>
          </w:tcPr>
          <w:p>
            <w:pPr>
              <w:jc w:val="center"/>
              <w:spacing w:after="0"/>
              <w:rPr>
                <w:sz w:val="20"/>
                <w:szCs w:val="20"/>
                <w:color w:val="auto"/>
              </w:rPr>
            </w:pPr>
            <w:r>
              <w:rPr>
                <w:rFonts w:ascii="Times New Roman" w:cs="Times New Roman" w:eastAsia="Times New Roman" w:hAnsi="Times New Roman"/>
                <w:sz w:val="17"/>
                <w:szCs w:val="17"/>
                <w:color w:val="auto"/>
              </w:rPr>
              <w:t>7</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5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5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40" w:type="dxa"/>
            <w:vAlign w:val="bottom"/>
            <w:tcBorders>
              <w:bottom w:val="single" w:sz="8" w:color="CDE9F6"/>
            </w:tcBorders>
            <w:shd w:val="clear" w:color="auto" w:fill="CDE9F6"/>
          </w:tcPr>
          <w:p>
            <w:pPr>
              <w:spacing w:after="0"/>
              <w:rPr>
                <w:sz w:val="22"/>
                <w:szCs w:val="22"/>
                <w:color w:val="auto"/>
              </w:rPr>
            </w:pPr>
          </w:p>
        </w:tc>
        <w:tc>
          <w:tcPr>
            <w:tcW w:w="4020" w:type="dxa"/>
            <w:vAlign w:val="bottom"/>
            <w:tcBorders>
              <w:bottom w:val="single" w:sz="8" w:color="0000EE"/>
            </w:tcBorders>
            <w:gridSpan w:val="23"/>
            <w:shd w:val="clear" w:color="auto" w:fill="CDE9F6"/>
          </w:tcPr>
          <w:p>
            <w:pPr>
              <w:spacing w:after="0"/>
              <w:rPr>
                <w:sz w:val="20"/>
                <w:szCs w:val="20"/>
                <w:color w:val="auto"/>
              </w:rPr>
            </w:pPr>
            <w:r>
              <w:rPr>
                <w:rFonts w:ascii="Times New Roman" w:cs="Times New Roman" w:eastAsia="Times New Roman" w:hAnsi="Times New Roman"/>
                <w:sz w:val="17"/>
                <w:szCs w:val="17"/>
                <w:color w:val="0000EE"/>
              </w:rPr>
              <w:t>How does the Board of Directors recommend that I vote?</w:t>
            </w:r>
          </w:p>
        </w:tc>
        <w:tc>
          <w:tcPr>
            <w:tcW w:w="3140" w:type="dxa"/>
            <w:vAlign w:val="bottom"/>
            <w:tcBorders>
              <w:bottom w:val="single" w:sz="8" w:color="CDE9F6"/>
            </w:tcBorders>
            <w:gridSpan w:val="18"/>
            <w:shd w:val="clear" w:color="auto" w:fill="CDE9F6"/>
          </w:tcPr>
          <w:p>
            <w:pPr>
              <w:spacing w:after="0"/>
              <w:rPr>
                <w:sz w:val="22"/>
                <w:szCs w:val="22"/>
                <w:color w:val="auto"/>
              </w:rPr>
            </w:pPr>
          </w:p>
        </w:tc>
        <w:tc>
          <w:tcPr>
            <w:tcW w:w="540" w:type="dxa"/>
            <w:vAlign w:val="bottom"/>
            <w:tcBorders>
              <w:bottom w:val="single" w:sz="8" w:color="CDE9F6"/>
            </w:tcBorders>
            <w:shd w:val="clear" w:color="auto" w:fill="CDE9F6"/>
          </w:tcPr>
          <w:p>
            <w:pPr>
              <w:jc w:val="center"/>
              <w:spacing w:after="0"/>
              <w:rPr>
                <w:sz w:val="20"/>
                <w:szCs w:val="20"/>
                <w:color w:val="auto"/>
              </w:rPr>
            </w:pPr>
            <w:r>
              <w:rPr>
                <w:rFonts w:ascii="Times New Roman" w:cs="Times New Roman" w:eastAsia="Times New Roman" w:hAnsi="Times New Roman"/>
                <w:sz w:val="17"/>
                <w:szCs w:val="17"/>
                <w:color w:val="auto"/>
              </w:rPr>
              <w:t>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300" w:type="dxa"/>
            <w:vAlign w:val="bottom"/>
            <w:gridSpan w:val="42"/>
          </w:tcPr>
          <w:p>
            <w:pPr>
              <w:ind w:left="140"/>
              <w:spacing w:after="0"/>
              <w:rPr>
                <w:sz w:val="20"/>
                <w:szCs w:val="20"/>
                <w:color w:val="auto"/>
              </w:rPr>
            </w:pPr>
            <w:r>
              <w:rPr>
                <w:rFonts w:ascii="Times New Roman" w:cs="Times New Roman" w:eastAsia="Times New Roman" w:hAnsi="Times New Roman"/>
                <w:sz w:val="17"/>
                <w:szCs w:val="17"/>
                <w:color w:val="0000EE"/>
              </w:rPr>
              <w:t>What happens if additional matters are presented at the 2026 Annual Meeting?</w:t>
            </w:r>
          </w:p>
        </w:tc>
        <w:tc>
          <w:tcPr>
            <w:tcW w:w="5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7</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5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50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5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40" w:type="dxa"/>
            <w:vAlign w:val="bottom"/>
            <w:tcBorders>
              <w:bottom w:val="single" w:sz="8" w:color="CDE9F6"/>
            </w:tcBorders>
            <w:shd w:val="clear" w:color="auto" w:fill="CDE9F6"/>
          </w:tcPr>
          <w:p>
            <w:pPr>
              <w:spacing w:after="0"/>
              <w:rPr>
                <w:sz w:val="22"/>
                <w:szCs w:val="22"/>
                <w:color w:val="auto"/>
              </w:rPr>
            </w:pPr>
          </w:p>
        </w:tc>
        <w:tc>
          <w:tcPr>
            <w:tcW w:w="1620" w:type="dxa"/>
            <w:vAlign w:val="bottom"/>
            <w:tcBorders>
              <w:bottom w:val="single" w:sz="8" w:color="0000EE"/>
            </w:tcBorders>
            <w:gridSpan w:val="7"/>
            <w:shd w:val="clear" w:color="auto" w:fill="CDE9F6"/>
          </w:tcPr>
          <w:p>
            <w:pPr>
              <w:spacing w:after="0"/>
              <w:rPr>
                <w:sz w:val="20"/>
                <w:szCs w:val="20"/>
                <w:color w:val="auto"/>
              </w:rPr>
            </w:pPr>
            <w:r>
              <w:rPr>
                <w:rFonts w:ascii="Times New Roman" w:cs="Times New Roman" w:eastAsia="Times New Roman" w:hAnsi="Times New Roman"/>
                <w:sz w:val="17"/>
                <w:szCs w:val="17"/>
                <w:color w:val="0000EE"/>
              </w:rPr>
              <w:t>Can I change my vote?</w:t>
            </w:r>
          </w:p>
        </w:tc>
        <w:tc>
          <w:tcPr>
            <w:tcW w:w="5540" w:type="dxa"/>
            <w:vAlign w:val="bottom"/>
            <w:tcBorders>
              <w:bottom w:val="single" w:sz="8" w:color="CDE9F6"/>
            </w:tcBorders>
            <w:gridSpan w:val="34"/>
            <w:shd w:val="clear" w:color="auto" w:fill="CDE9F6"/>
          </w:tcPr>
          <w:p>
            <w:pPr>
              <w:spacing w:after="0"/>
              <w:rPr>
                <w:sz w:val="22"/>
                <w:szCs w:val="22"/>
                <w:color w:val="auto"/>
              </w:rPr>
            </w:pPr>
          </w:p>
        </w:tc>
        <w:tc>
          <w:tcPr>
            <w:tcW w:w="540" w:type="dxa"/>
            <w:vAlign w:val="bottom"/>
            <w:tcBorders>
              <w:bottom w:val="single" w:sz="8" w:color="CDE9F6"/>
            </w:tcBorders>
            <w:shd w:val="clear" w:color="auto" w:fill="CDE9F6"/>
          </w:tcPr>
          <w:p>
            <w:pPr>
              <w:jc w:val="center"/>
              <w:spacing w:after="0"/>
              <w:rPr>
                <w:sz w:val="20"/>
                <w:szCs w:val="20"/>
                <w:color w:val="auto"/>
              </w:rPr>
            </w:pPr>
            <w:r>
              <w:rPr>
                <w:rFonts w:ascii="Times New Roman" w:cs="Times New Roman" w:eastAsia="Times New Roman" w:hAnsi="Times New Roman"/>
                <w:sz w:val="17"/>
                <w:szCs w:val="17"/>
                <w:color w:val="auto"/>
              </w:rPr>
              <w:t>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300" w:type="dxa"/>
            <w:vAlign w:val="bottom"/>
            <w:gridSpan w:val="42"/>
          </w:tcPr>
          <w:p>
            <w:pPr>
              <w:ind w:left="140"/>
              <w:spacing w:after="0"/>
              <w:rPr>
                <w:sz w:val="20"/>
                <w:szCs w:val="20"/>
                <w:color w:val="auto"/>
              </w:rPr>
            </w:pPr>
            <w:r>
              <w:rPr>
                <w:rFonts w:ascii="Times New Roman" w:cs="Times New Roman" w:eastAsia="Times New Roman" w:hAnsi="Times New Roman"/>
                <w:sz w:val="17"/>
                <w:szCs w:val="17"/>
                <w:color w:val="0000EE"/>
              </w:rPr>
              <w:t>What should I do if I receive more than one set of voting materials?</w:t>
            </w:r>
          </w:p>
        </w:tc>
        <w:tc>
          <w:tcPr>
            <w:tcW w:w="5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8</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5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50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5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0" w:type="dxa"/>
            <w:vAlign w:val="bottom"/>
            <w:shd w:val="clear" w:color="auto" w:fill="CDE9F6"/>
          </w:tcPr>
          <w:p>
            <w:pPr>
              <w:spacing w:after="0"/>
              <w:rPr>
                <w:sz w:val="17"/>
                <w:szCs w:val="17"/>
                <w:color w:val="auto"/>
              </w:rPr>
            </w:pPr>
          </w:p>
        </w:tc>
        <w:tc>
          <w:tcPr>
            <w:tcW w:w="7160" w:type="dxa"/>
            <w:vAlign w:val="bottom"/>
            <w:gridSpan w:val="41"/>
            <w:shd w:val="clear" w:color="auto" w:fill="CDE9F6"/>
          </w:tcPr>
          <w:p>
            <w:pPr>
              <w:spacing w:after="0"/>
              <w:rPr>
                <w:sz w:val="20"/>
                <w:szCs w:val="20"/>
                <w:color w:val="auto"/>
              </w:rPr>
            </w:pPr>
            <w:r>
              <w:rPr>
                <w:rFonts w:ascii="Times New Roman" w:cs="Times New Roman" w:eastAsia="Times New Roman" w:hAnsi="Times New Roman"/>
                <w:sz w:val="17"/>
                <w:szCs w:val="17"/>
                <w:color w:val="0000EE"/>
              </w:rPr>
              <w:t>Is my vote confidential?</w:t>
            </w:r>
          </w:p>
        </w:tc>
        <w:tc>
          <w:tcPr>
            <w:tcW w:w="540" w:type="dxa"/>
            <w:vAlign w:val="bottom"/>
            <w:shd w:val="clear" w:color="auto" w:fill="CDE9F6"/>
          </w:tcPr>
          <w:p>
            <w:pPr>
              <w:jc w:val="center"/>
              <w:spacing w:after="0"/>
              <w:rPr>
                <w:sz w:val="20"/>
                <w:szCs w:val="20"/>
                <w:color w:val="auto"/>
              </w:rPr>
            </w:pPr>
            <w:r>
              <w:rPr>
                <w:rFonts w:ascii="Times New Roman" w:cs="Times New Roman" w:eastAsia="Times New Roman" w:hAnsi="Times New Roman"/>
                <w:sz w:val="17"/>
                <w:szCs w:val="17"/>
                <w:color w:val="auto"/>
              </w:rPr>
              <w:t>8</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Borders>
              <w:top w:val="single" w:sz="8" w:color="CDE9F6"/>
            </w:tcBorders>
            <w:shd w:val="clear" w:color="auto" w:fill="CDE9F6"/>
          </w:tcPr>
          <w:p>
            <w:pPr>
              <w:spacing w:after="0"/>
              <w:rPr>
                <w:sz w:val="5"/>
                <w:szCs w:val="5"/>
                <w:color w:val="auto"/>
              </w:rPr>
            </w:pPr>
          </w:p>
        </w:tc>
        <w:tc>
          <w:tcPr>
            <w:tcW w:w="180" w:type="dxa"/>
            <w:vAlign w:val="bottom"/>
            <w:tcBorders>
              <w:top w:val="single" w:sz="8" w:color="0000EE"/>
            </w:tcBorders>
            <w:shd w:val="clear" w:color="auto" w:fill="CDE9F6"/>
          </w:tcPr>
          <w:p>
            <w:pPr>
              <w:spacing w:after="0"/>
              <w:rPr>
                <w:sz w:val="5"/>
                <w:szCs w:val="5"/>
                <w:color w:val="auto"/>
              </w:rPr>
            </w:pPr>
          </w:p>
        </w:tc>
        <w:tc>
          <w:tcPr>
            <w:tcW w:w="380" w:type="dxa"/>
            <w:vAlign w:val="bottom"/>
            <w:tcBorders>
              <w:top w:val="single" w:sz="8" w:color="0000EE"/>
            </w:tcBorders>
            <w:shd w:val="clear" w:color="auto" w:fill="CDE9F6"/>
          </w:tcPr>
          <w:p>
            <w:pPr>
              <w:spacing w:after="0"/>
              <w:rPr>
                <w:sz w:val="5"/>
                <w:szCs w:val="5"/>
                <w:color w:val="auto"/>
              </w:rPr>
            </w:pPr>
          </w:p>
        </w:tc>
        <w:tc>
          <w:tcPr>
            <w:tcW w:w="160" w:type="dxa"/>
            <w:vAlign w:val="bottom"/>
            <w:tcBorders>
              <w:top w:val="single" w:sz="8" w:color="0000EE"/>
            </w:tcBorders>
            <w:shd w:val="clear" w:color="auto" w:fill="CDE9F6"/>
          </w:tcPr>
          <w:p>
            <w:pPr>
              <w:spacing w:after="0"/>
              <w:rPr>
                <w:sz w:val="5"/>
                <w:szCs w:val="5"/>
                <w:color w:val="auto"/>
              </w:rPr>
            </w:pPr>
          </w:p>
        </w:tc>
        <w:tc>
          <w:tcPr>
            <w:tcW w:w="80" w:type="dxa"/>
            <w:vAlign w:val="bottom"/>
            <w:tcBorders>
              <w:top w:val="single" w:sz="8" w:color="0000EE"/>
            </w:tcBorders>
            <w:shd w:val="clear" w:color="auto" w:fill="CDE9F6"/>
          </w:tcPr>
          <w:p>
            <w:pPr>
              <w:spacing w:after="0"/>
              <w:rPr>
                <w:sz w:val="5"/>
                <w:szCs w:val="5"/>
                <w:color w:val="auto"/>
              </w:rPr>
            </w:pPr>
          </w:p>
        </w:tc>
        <w:tc>
          <w:tcPr>
            <w:tcW w:w="500" w:type="dxa"/>
            <w:vAlign w:val="bottom"/>
            <w:tcBorders>
              <w:top w:val="single" w:sz="8" w:color="0000EE"/>
            </w:tcBorders>
            <w:shd w:val="clear" w:color="auto" w:fill="CDE9F6"/>
          </w:tcPr>
          <w:p>
            <w:pPr>
              <w:spacing w:after="0"/>
              <w:rPr>
                <w:sz w:val="5"/>
                <w:szCs w:val="5"/>
                <w:color w:val="auto"/>
              </w:rPr>
            </w:pPr>
          </w:p>
        </w:tc>
        <w:tc>
          <w:tcPr>
            <w:tcW w:w="60" w:type="dxa"/>
            <w:vAlign w:val="bottom"/>
            <w:tcBorders>
              <w:top w:val="single" w:sz="8" w:color="0000EE"/>
            </w:tcBorders>
            <w:shd w:val="clear" w:color="auto" w:fill="CDE9F6"/>
          </w:tcPr>
          <w:p>
            <w:pPr>
              <w:spacing w:after="0"/>
              <w:rPr>
                <w:sz w:val="5"/>
                <w:szCs w:val="5"/>
                <w:color w:val="auto"/>
              </w:rPr>
            </w:pPr>
          </w:p>
        </w:tc>
        <w:tc>
          <w:tcPr>
            <w:tcW w:w="260" w:type="dxa"/>
            <w:vAlign w:val="bottom"/>
            <w:tcBorders>
              <w:top w:val="single" w:sz="8" w:color="0000EE"/>
            </w:tcBorders>
            <w:shd w:val="clear" w:color="auto" w:fill="CDE9F6"/>
          </w:tcPr>
          <w:p>
            <w:pPr>
              <w:spacing w:after="0"/>
              <w:rPr>
                <w:sz w:val="5"/>
                <w:szCs w:val="5"/>
                <w:color w:val="auto"/>
              </w:rPr>
            </w:pPr>
          </w:p>
        </w:tc>
        <w:tc>
          <w:tcPr>
            <w:tcW w:w="80" w:type="dxa"/>
            <w:vAlign w:val="bottom"/>
            <w:tcBorders>
              <w:top w:val="single" w:sz="8" w:color="0000EE"/>
            </w:tcBorders>
            <w:shd w:val="clear" w:color="auto" w:fill="CDE9F6"/>
          </w:tcPr>
          <w:p>
            <w:pPr>
              <w:spacing w:after="0"/>
              <w:rPr>
                <w:sz w:val="5"/>
                <w:szCs w:val="5"/>
                <w:color w:val="auto"/>
              </w:rPr>
            </w:pPr>
          </w:p>
        </w:tc>
        <w:tc>
          <w:tcPr>
            <w:tcW w:w="600" w:type="dxa"/>
            <w:vAlign w:val="bottom"/>
            <w:tcBorders>
              <w:top w:val="single" w:sz="8" w:color="CDE9F6"/>
            </w:tcBorders>
            <w:shd w:val="clear" w:color="auto" w:fill="CDE9F6"/>
          </w:tcPr>
          <w:p>
            <w:pPr>
              <w:spacing w:after="0"/>
              <w:rPr>
                <w:sz w:val="5"/>
                <w:szCs w:val="5"/>
                <w:color w:val="auto"/>
              </w:rPr>
            </w:pPr>
          </w:p>
        </w:tc>
        <w:tc>
          <w:tcPr>
            <w:tcW w:w="120" w:type="dxa"/>
            <w:vAlign w:val="bottom"/>
            <w:tcBorders>
              <w:top w:val="single" w:sz="8" w:color="CDE9F6"/>
            </w:tcBorders>
            <w:shd w:val="clear" w:color="auto" w:fill="CDE9F6"/>
          </w:tcPr>
          <w:p>
            <w:pPr>
              <w:spacing w:after="0"/>
              <w:rPr>
                <w:sz w:val="5"/>
                <w:szCs w:val="5"/>
                <w:color w:val="auto"/>
              </w:rPr>
            </w:pPr>
          </w:p>
        </w:tc>
        <w:tc>
          <w:tcPr>
            <w:tcW w:w="140" w:type="dxa"/>
            <w:vAlign w:val="bottom"/>
            <w:tcBorders>
              <w:top w:val="single" w:sz="8" w:color="CDE9F6"/>
            </w:tcBorders>
            <w:shd w:val="clear" w:color="auto" w:fill="CDE9F6"/>
          </w:tcPr>
          <w:p>
            <w:pPr>
              <w:spacing w:after="0"/>
              <w:rPr>
                <w:sz w:val="5"/>
                <w:szCs w:val="5"/>
                <w:color w:val="auto"/>
              </w:rPr>
            </w:pPr>
          </w:p>
        </w:tc>
        <w:tc>
          <w:tcPr>
            <w:tcW w:w="80" w:type="dxa"/>
            <w:vAlign w:val="bottom"/>
            <w:tcBorders>
              <w:top w:val="single" w:sz="8" w:color="CDE9F6"/>
            </w:tcBorders>
            <w:shd w:val="clear" w:color="auto" w:fill="CDE9F6"/>
          </w:tcPr>
          <w:p>
            <w:pPr>
              <w:spacing w:after="0"/>
              <w:rPr>
                <w:sz w:val="5"/>
                <w:szCs w:val="5"/>
                <w:color w:val="auto"/>
              </w:rPr>
            </w:pPr>
          </w:p>
        </w:tc>
        <w:tc>
          <w:tcPr>
            <w:tcW w:w="140" w:type="dxa"/>
            <w:vAlign w:val="bottom"/>
            <w:tcBorders>
              <w:top w:val="single" w:sz="8" w:color="CDE9F6"/>
            </w:tcBorders>
            <w:shd w:val="clear" w:color="auto" w:fill="CDE9F6"/>
          </w:tcPr>
          <w:p>
            <w:pPr>
              <w:spacing w:after="0"/>
              <w:rPr>
                <w:sz w:val="5"/>
                <w:szCs w:val="5"/>
                <w:color w:val="auto"/>
              </w:rPr>
            </w:pPr>
          </w:p>
        </w:tc>
        <w:tc>
          <w:tcPr>
            <w:tcW w:w="20" w:type="dxa"/>
            <w:vAlign w:val="bottom"/>
            <w:tcBorders>
              <w:top w:val="single" w:sz="8" w:color="CDE9F6"/>
            </w:tcBorders>
            <w:shd w:val="clear" w:color="auto" w:fill="CDE9F6"/>
          </w:tcPr>
          <w:p>
            <w:pPr>
              <w:spacing w:after="0"/>
              <w:rPr>
                <w:sz w:val="5"/>
                <w:szCs w:val="5"/>
                <w:color w:val="auto"/>
              </w:rPr>
            </w:pPr>
          </w:p>
        </w:tc>
        <w:tc>
          <w:tcPr>
            <w:tcW w:w="20" w:type="dxa"/>
            <w:vAlign w:val="bottom"/>
            <w:tcBorders>
              <w:top w:val="single" w:sz="8" w:color="CDE9F6"/>
            </w:tcBorders>
            <w:shd w:val="clear" w:color="auto" w:fill="CDE9F6"/>
          </w:tcPr>
          <w:p>
            <w:pPr>
              <w:spacing w:after="0"/>
              <w:rPr>
                <w:sz w:val="5"/>
                <w:szCs w:val="5"/>
                <w:color w:val="auto"/>
              </w:rPr>
            </w:pPr>
          </w:p>
        </w:tc>
        <w:tc>
          <w:tcPr>
            <w:tcW w:w="140" w:type="dxa"/>
            <w:vAlign w:val="bottom"/>
            <w:tcBorders>
              <w:top w:val="single" w:sz="8" w:color="CDE9F6"/>
            </w:tcBorders>
            <w:shd w:val="clear" w:color="auto" w:fill="CDE9F6"/>
          </w:tcPr>
          <w:p>
            <w:pPr>
              <w:spacing w:after="0"/>
              <w:rPr>
                <w:sz w:val="5"/>
                <w:szCs w:val="5"/>
                <w:color w:val="auto"/>
              </w:rPr>
            </w:pPr>
          </w:p>
        </w:tc>
        <w:tc>
          <w:tcPr>
            <w:tcW w:w="60" w:type="dxa"/>
            <w:vAlign w:val="bottom"/>
            <w:tcBorders>
              <w:top w:val="single" w:sz="8" w:color="CDE9F6"/>
            </w:tcBorders>
            <w:shd w:val="clear" w:color="auto" w:fill="CDE9F6"/>
          </w:tcPr>
          <w:p>
            <w:pPr>
              <w:spacing w:after="0"/>
              <w:rPr>
                <w:sz w:val="5"/>
                <w:szCs w:val="5"/>
                <w:color w:val="auto"/>
              </w:rPr>
            </w:pPr>
          </w:p>
        </w:tc>
        <w:tc>
          <w:tcPr>
            <w:tcW w:w="500" w:type="dxa"/>
            <w:vAlign w:val="bottom"/>
            <w:tcBorders>
              <w:top w:val="single" w:sz="8" w:color="CDE9F6"/>
            </w:tcBorders>
            <w:shd w:val="clear" w:color="auto" w:fill="CDE9F6"/>
          </w:tcPr>
          <w:p>
            <w:pPr>
              <w:spacing w:after="0"/>
              <w:rPr>
                <w:sz w:val="5"/>
                <w:szCs w:val="5"/>
                <w:color w:val="auto"/>
              </w:rPr>
            </w:pPr>
          </w:p>
        </w:tc>
        <w:tc>
          <w:tcPr>
            <w:tcW w:w="80" w:type="dxa"/>
            <w:vAlign w:val="bottom"/>
            <w:tcBorders>
              <w:top w:val="single" w:sz="8" w:color="CDE9F6"/>
            </w:tcBorders>
            <w:shd w:val="clear" w:color="auto" w:fill="CDE9F6"/>
          </w:tcPr>
          <w:p>
            <w:pPr>
              <w:spacing w:after="0"/>
              <w:rPr>
                <w:sz w:val="5"/>
                <w:szCs w:val="5"/>
                <w:color w:val="auto"/>
              </w:rPr>
            </w:pPr>
          </w:p>
        </w:tc>
        <w:tc>
          <w:tcPr>
            <w:tcW w:w="80" w:type="dxa"/>
            <w:vAlign w:val="bottom"/>
            <w:tcBorders>
              <w:top w:val="single" w:sz="8" w:color="CDE9F6"/>
            </w:tcBorders>
            <w:shd w:val="clear" w:color="auto" w:fill="CDE9F6"/>
          </w:tcPr>
          <w:p>
            <w:pPr>
              <w:spacing w:after="0"/>
              <w:rPr>
                <w:sz w:val="5"/>
                <w:szCs w:val="5"/>
                <w:color w:val="auto"/>
              </w:rPr>
            </w:pPr>
          </w:p>
        </w:tc>
        <w:tc>
          <w:tcPr>
            <w:tcW w:w="120" w:type="dxa"/>
            <w:vAlign w:val="bottom"/>
            <w:tcBorders>
              <w:top w:val="single" w:sz="8" w:color="CDE9F6"/>
            </w:tcBorders>
            <w:shd w:val="clear" w:color="auto" w:fill="CDE9F6"/>
          </w:tcPr>
          <w:p>
            <w:pPr>
              <w:spacing w:after="0"/>
              <w:rPr>
                <w:sz w:val="5"/>
                <w:szCs w:val="5"/>
                <w:color w:val="auto"/>
              </w:rPr>
            </w:pPr>
          </w:p>
        </w:tc>
        <w:tc>
          <w:tcPr>
            <w:tcW w:w="60" w:type="dxa"/>
            <w:vAlign w:val="bottom"/>
            <w:tcBorders>
              <w:top w:val="single" w:sz="8" w:color="CDE9F6"/>
            </w:tcBorders>
            <w:shd w:val="clear" w:color="auto" w:fill="CDE9F6"/>
          </w:tcPr>
          <w:p>
            <w:pPr>
              <w:spacing w:after="0"/>
              <w:rPr>
                <w:sz w:val="5"/>
                <w:szCs w:val="5"/>
                <w:color w:val="auto"/>
              </w:rPr>
            </w:pPr>
          </w:p>
        </w:tc>
        <w:tc>
          <w:tcPr>
            <w:tcW w:w="160" w:type="dxa"/>
            <w:vAlign w:val="bottom"/>
            <w:tcBorders>
              <w:top w:val="single" w:sz="8" w:color="CDE9F6"/>
            </w:tcBorders>
            <w:shd w:val="clear" w:color="auto" w:fill="CDE9F6"/>
          </w:tcPr>
          <w:p>
            <w:pPr>
              <w:spacing w:after="0"/>
              <w:rPr>
                <w:sz w:val="5"/>
                <w:szCs w:val="5"/>
                <w:color w:val="auto"/>
              </w:rPr>
            </w:pPr>
          </w:p>
        </w:tc>
        <w:tc>
          <w:tcPr>
            <w:tcW w:w="340" w:type="dxa"/>
            <w:vAlign w:val="bottom"/>
            <w:tcBorders>
              <w:top w:val="single" w:sz="8" w:color="CDE9F6"/>
            </w:tcBorders>
            <w:shd w:val="clear" w:color="auto" w:fill="CDE9F6"/>
          </w:tcPr>
          <w:p>
            <w:pPr>
              <w:spacing w:after="0"/>
              <w:rPr>
                <w:sz w:val="5"/>
                <w:szCs w:val="5"/>
                <w:color w:val="auto"/>
              </w:rPr>
            </w:pPr>
          </w:p>
        </w:tc>
        <w:tc>
          <w:tcPr>
            <w:tcW w:w="100" w:type="dxa"/>
            <w:vAlign w:val="bottom"/>
            <w:tcBorders>
              <w:top w:val="single" w:sz="8" w:color="CDE9F6"/>
            </w:tcBorders>
            <w:shd w:val="clear" w:color="auto" w:fill="CDE9F6"/>
          </w:tcPr>
          <w:p>
            <w:pPr>
              <w:spacing w:after="0"/>
              <w:rPr>
                <w:sz w:val="5"/>
                <w:szCs w:val="5"/>
                <w:color w:val="auto"/>
              </w:rPr>
            </w:pPr>
          </w:p>
        </w:tc>
        <w:tc>
          <w:tcPr>
            <w:tcW w:w="80" w:type="dxa"/>
            <w:vAlign w:val="bottom"/>
            <w:tcBorders>
              <w:top w:val="single" w:sz="8" w:color="CDE9F6"/>
            </w:tcBorders>
            <w:shd w:val="clear" w:color="auto" w:fill="CDE9F6"/>
          </w:tcPr>
          <w:p>
            <w:pPr>
              <w:spacing w:after="0"/>
              <w:rPr>
                <w:sz w:val="5"/>
                <w:szCs w:val="5"/>
                <w:color w:val="auto"/>
              </w:rPr>
            </w:pPr>
          </w:p>
        </w:tc>
        <w:tc>
          <w:tcPr>
            <w:tcW w:w="20" w:type="dxa"/>
            <w:vAlign w:val="bottom"/>
            <w:tcBorders>
              <w:top w:val="single" w:sz="8" w:color="CDE9F6"/>
            </w:tcBorders>
            <w:shd w:val="clear" w:color="auto" w:fill="CDE9F6"/>
          </w:tcPr>
          <w:p>
            <w:pPr>
              <w:spacing w:after="0"/>
              <w:rPr>
                <w:sz w:val="5"/>
                <w:szCs w:val="5"/>
                <w:color w:val="auto"/>
              </w:rPr>
            </w:pPr>
          </w:p>
        </w:tc>
        <w:tc>
          <w:tcPr>
            <w:tcW w:w="180" w:type="dxa"/>
            <w:vAlign w:val="bottom"/>
            <w:tcBorders>
              <w:top w:val="single" w:sz="8" w:color="CDE9F6"/>
            </w:tcBorders>
            <w:shd w:val="clear" w:color="auto" w:fill="CDE9F6"/>
          </w:tcPr>
          <w:p>
            <w:pPr>
              <w:spacing w:after="0"/>
              <w:rPr>
                <w:sz w:val="5"/>
                <w:szCs w:val="5"/>
                <w:color w:val="auto"/>
              </w:rPr>
            </w:pPr>
          </w:p>
        </w:tc>
        <w:tc>
          <w:tcPr>
            <w:tcW w:w="160" w:type="dxa"/>
            <w:vAlign w:val="bottom"/>
            <w:tcBorders>
              <w:top w:val="single" w:sz="8" w:color="CDE9F6"/>
            </w:tcBorders>
            <w:shd w:val="clear" w:color="auto" w:fill="CDE9F6"/>
          </w:tcPr>
          <w:p>
            <w:pPr>
              <w:spacing w:after="0"/>
              <w:rPr>
                <w:sz w:val="5"/>
                <w:szCs w:val="5"/>
                <w:color w:val="auto"/>
              </w:rPr>
            </w:pPr>
          </w:p>
        </w:tc>
        <w:tc>
          <w:tcPr>
            <w:tcW w:w="100" w:type="dxa"/>
            <w:vAlign w:val="bottom"/>
            <w:tcBorders>
              <w:top w:val="single" w:sz="8" w:color="CDE9F6"/>
            </w:tcBorders>
            <w:shd w:val="clear" w:color="auto" w:fill="CDE9F6"/>
          </w:tcPr>
          <w:p>
            <w:pPr>
              <w:spacing w:after="0"/>
              <w:rPr>
                <w:sz w:val="5"/>
                <w:szCs w:val="5"/>
                <w:color w:val="auto"/>
              </w:rPr>
            </w:pPr>
          </w:p>
        </w:tc>
        <w:tc>
          <w:tcPr>
            <w:tcW w:w="40" w:type="dxa"/>
            <w:vAlign w:val="bottom"/>
            <w:tcBorders>
              <w:top w:val="single" w:sz="8" w:color="CDE9F6"/>
            </w:tcBorders>
            <w:shd w:val="clear" w:color="auto" w:fill="CDE9F6"/>
          </w:tcPr>
          <w:p>
            <w:pPr>
              <w:spacing w:after="0"/>
              <w:rPr>
                <w:sz w:val="5"/>
                <w:szCs w:val="5"/>
                <w:color w:val="auto"/>
              </w:rPr>
            </w:pPr>
          </w:p>
        </w:tc>
        <w:tc>
          <w:tcPr>
            <w:tcW w:w="460" w:type="dxa"/>
            <w:vAlign w:val="bottom"/>
            <w:tcBorders>
              <w:top w:val="single" w:sz="8" w:color="CDE9F6"/>
            </w:tcBorders>
            <w:shd w:val="clear" w:color="auto" w:fill="CDE9F6"/>
          </w:tcPr>
          <w:p>
            <w:pPr>
              <w:spacing w:after="0"/>
              <w:rPr>
                <w:sz w:val="5"/>
                <w:szCs w:val="5"/>
                <w:color w:val="auto"/>
              </w:rPr>
            </w:pPr>
          </w:p>
        </w:tc>
        <w:tc>
          <w:tcPr>
            <w:tcW w:w="60" w:type="dxa"/>
            <w:vAlign w:val="bottom"/>
            <w:tcBorders>
              <w:top w:val="single" w:sz="8" w:color="CDE9F6"/>
            </w:tcBorders>
            <w:shd w:val="clear" w:color="auto" w:fill="CDE9F6"/>
          </w:tcPr>
          <w:p>
            <w:pPr>
              <w:spacing w:after="0"/>
              <w:rPr>
                <w:sz w:val="5"/>
                <w:szCs w:val="5"/>
                <w:color w:val="auto"/>
              </w:rPr>
            </w:pPr>
          </w:p>
        </w:tc>
        <w:tc>
          <w:tcPr>
            <w:tcW w:w="700" w:type="dxa"/>
            <w:vAlign w:val="bottom"/>
            <w:tcBorders>
              <w:top w:val="single" w:sz="8" w:color="CDE9F6"/>
            </w:tcBorders>
            <w:shd w:val="clear" w:color="auto" w:fill="CDE9F6"/>
          </w:tcPr>
          <w:p>
            <w:pPr>
              <w:spacing w:after="0"/>
              <w:rPr>
                <w:sz w:val="5"/>
                <w:szCs w:val="5"/>
                <w:color w:val="auto"/>
              </w:rPr>
            </w:pPr>
          </w:p>
        </w:tc>
        <w:tc>
          <w:tcPr>
            <w:tcW w:w="80" w:type="dxa"/>
            <w:vAlign w:val="bottom"/>
            <w:tcBorders>
              <w:top w:val="single" w:sz="8" w:color="CDE9F6"/>
            </w:tcBorders>
            <w:shd w:val="clear" w:color="auto" w:fill="CDE9F6"/>
          </w:tcPr>
          <w:p>
            <w:pPr>
              <w:spacing w:after="0"/>
              <w:rPr>
                <w:sz w:val="5"/>
                <w:szCs w:val="5"/>
                <w:color w:val="auto"/>
              </w:rPr>
            </w:pPr>
          </w:p>
        </w:tc>
        <w:tc>
          <w:tcPr>
            <w:tcW w:w="220" w:type="dxa"/>
            <w:vAlign w:val="bottom"/>
            <w:tcBorders>
              <w:top w:val="single" w:sz="8" w:color="CDE9F6"/>
            </w:tcBorders>
            <w:shd w:val="clear" w:color="auto" w:fill="CDE9F6"/>
          </w:tcPr>
          <w:p>
            <w:pPr>
              <w:spacing w:after="0"/>
              <w:rPr>
                <w:sz w:val="5"/>
                <w:szCs w:val="5"/>
                <w:color w:val="auto"/>
              </w:rPr>
            </w:pPr>
          </w:p>
        </w:tc>
        <w:tc>
          <w:tcPr>
            <w:tcW w:w="200" w:type="dxa"/>
            <w:vAlign w:val="bottom"/>
            <w:tcBorders>
              <w:top w:val="single" w:sz="8" w:color="CDE9F6"/>
            </w:tcBorders>
            <w:shd w:val="clear" w:color="auto" w:fill="CDE9F6"/>
          </w:tcPr>
          <w:p>
            <w:pPr>
              <w:spacing w:after="0"/>
              <w:rPr>
                <w:sz w:val="5"/>
                <w:szCs w:val="5"/>
                <w:color w:val="auto"/>
              </w:rPr>
            </w:pPr>
          </w:p>
        </w:tc>
        <w:tc>
          <w:tcPr>
            <w:tcW w:w="20" w:type="dxa"/>
            <w:vAlign w:val="bottom"/>
            <w:tcBorders>
              <w:top w:val="single" w:sz="8" w:color="CDE9F6"/>
            </w:tcBorders>
            <w:shd w:val="clear" w:color="auto" w:fill="CDE9F6"/>
          </w:tcPr>
          <w:p>
            <w:pPr>
              <w:spacing w:after="0"/>
              <w:rPr>
                <w:sz w:val="5"/>
                <w:szCs w:val="5"/>
                <w:color w:val="auto"/>
              </w:rPr>
            </w:pPr>
          </w:p>
        </w:tc>
        <w:tc>
          <w:tcPr>
            <w:tcW w:w="80" w:type="dxa"/>
            <w:vAlign w:val="bottom"/>
            <w:tcBorders>
              <w:top w:val="single" w:sz="8" w:color="CDE9F6"/>
            </w:tcBorders>
            <w:shd w:val="clear" w:color="auto" w:fill="CDE9F6"/>
          </w:tcPr>
          <w:p>
            <w:pPr>
              <w:spacing w:after="0"/>
              <w:rPr>
                <w:sz w:val="5"/>
                <w:szCs w:val="5"/>
                <w:color w:val="auto"/>
              </w:rPr>
            </w:pPr>
          </w:p>
        </w:tc>
        <w:tc>
          <w:tcPr>
            <w:tcW w:w="60" w:type="dxa"/>
            <w:vAlign w:val="bottom"/>
            <w:tcBorders>
              <w:top w:val="single" w:sz="8" w:color="CDE9F6"/>
            </w:tcBorders>
            <w:shd w:val="clear" w:color="auto" w:fill="CDE9F6"/>
          </w:tcPr>
          <w:p>
            <w:pPr>
              <w:spacing w:after="0"/>
              <w:rPr>
                <w:sz w:val="5"/>
                <w:szCs w:val="5"/>
                <w:color w:val="auto"/>
              </w:rPr>
            </w:pPr>
          </w:p>
        </w:tc>
        <w:tc>
          <w:tcPr>
            <w:tcW w:w="240" w:type="dxa"/>
            <w:vAlign w:val="bottom"/>
            <w:tcBorders>
              <w:top w:val="single" w:sz="8" w:color="CDE9F6"/>
            </w:tcBorders>
            <w:shd w:val="clear" w:color="auto" w:fill="CDE9F6"/>
          </w:tcPr>
          <w:p>
            <w:pPr>
              <w:spacing w:after="0"/>
              <w:rPr>
                <w:sz w:val="5"/>
                <w:szCs w:val="5"/>
                <w:color w:val="auto"/>
              </w:rPr>
            </w:pPr>
          </w:p>
        </w:tc>
        <w:tc>
          <w:tcPr>
            <w:tcW w:w="540" w:type="dxa"/>
            <w:vAlign w:val="bottom"/>
            <w:tcBorders>
              <w:top w:val="single" w:sz="8" w:color="CDE9F6"/>
            </w:tcBorders>
            <w:shd w:val="clear" w:color="auto" w:fill="CDE9F6"/>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160" w:type="dxa"/>
            <w:vAlign w:val="bottom"/>
            <w:gridSpan w:val="41"/>
          </w:tcPr>
          <w:p>
            <w:pPr>
              <w:spacing w:after="0"/>
              <w:rPr>
                <w:sz w:val="20"/>
                <w:szCs w:val="20"/>
                <w:color w:val="auto"/>
              </w:rPr>
            </w:pPr>
            <w:r>
              <w:rPr>
                <w:rFonts w:ascii="Times New Roman" w:cs="Times New Roman" w:eastAsia="Times New Roman" w:hAnsi="Times New Roman"/>
                <w:sz w:val="17"/>
                <w:szCs w:val="17"/>
                <w:color w:val="0000EE"/>
              </w:rPr>
              <w:t>Who will serve as inspector of election?</w:t>
            </w:r>
          </w:p>
        </w:tc>
        <w:tc>
          <w:tcPr>
            <w:tcW w:w="5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8</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5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5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40" w:type="dxa"/>
            <w:vAlign w:val="bottom"/>
            <w:tcBorders>
              <w:bottom w:val="single" w:sz="8" w:color="CDE9F6"/>
            </w:tcBorders>
            <w:shd w:val="clear" w:color="auto" w:fill="CDE9F6"/>
          </w:tcPr>
          <w:p>
            <w:pPr>
              <w:spacing w:after="0"/>
              <w:rPr>
                <w:sz w:val="22"/>
                <w:szCs w:val="22"/>
                <w:color w:val="auto"/>
              </w:rPr>
            </w:pPr>
          </w:p>
        </w:tc>
        <w:tc>
          <w:tcPr>
            <w:tcW w:w="4540" w:type="dxa"/>
            <w:vAlign w:val="bottom"/>
            <w:tcBorders>
              <w:bottom w:val="single" w:sz="8" w:color="0000EE"/>
            </w:tcBorders>
            <w:gridSpan w:val="26"/>
            <w:shd w:val="clear" w:color="auto" w:fill="CDE9F6"/>
          </w:tcPr>
          <w:p>
            <w:pPr>
              <w:spacing w:after="0"/>
              <w:rPr>
                <w:sz w:val="20"/>
                <w:szCs w:val="20"/>
                <w:color w:val="auto"/>
              </w:rPr>
            </w:pPr>
            <w:r>
              <w:rPr>
                <w:rFonts w:ascii="Times New Roman" w:cs="Times New Roman" w:eastAsia="Times New Roman" w:hAnsi="Times New Roman"/>
                <w:sz w:val="17"/>
                <w:szCs w:val="17"/>
                <w:color w:val="0000EE"/>
              </w:rPr>
              <w:t>Where can I find the voting results of the 2026 Annual Meeting?</w:t>
            </w:r>
          </w:p>
        </w:tc>
        <w:tc>
          <w:tcPr>
            <w:tcW w:w="2620" w:type="dxa"/>
            <w:vAlign w:val="bottom"/>
            <w:tcBorders>
              <w:bottom w:val="single" w:sz="8" w:color="CDE9F6"/>
            </w:tcBorders>
            <w:gridSpan w:val="15"/>
            <w:shd w:val="clear" w:color="auto" w:fill="CDE9F6"/>
          </w:tcPr>
          <w:p>
            <w:pPr>
              <w:spacing w:after="0"/>
              <w:rPr>
                <w:sz w:val="22"/>
                <w:szCs w:val="22"/>
                <w:color w:val="auto"/>
              </w:rPr>
            </w:pPr>
          </w:p>
        </w:tc>
        <w:tc>
          <w:tcPr>
            <w:tcW w:w="540" w:type="dxa"/>
            <w:vAlign w:val="bottom"/>
            <w:tcBorders>
              <w:bottom w:val="single" w:sz="8" w:color="CDE9F6"/>
            </w:tcBorders>
            <w:shd w:val="clear" w:color="auto" w:fill="CDE9F6"/>
          </w:tcPr>
          <w:p>
            <w:pPr>
              <w:jc w:val="center"/>
              <w:spacing w:after="0"/>
              <w:rPr>
                <w:sz w:val="20"/>
                <w:szCs w:val="20"/>
                <w:color w:val="auto"/>
              </w:rPr>
            </w:pPr>
            <w:r>
              <w:rPr>
                <w:rFonts w:ascii="Times New Roman" w:cs="Times New Roman" w:eastAsia="Times New Roman" w:hAnsi="Times New Roman"/>
                <w:sz w:val="17"/>
                <w:szCs w:val="17"/>
                <w:color w:val="auto"/>
              </w:rPr>
              <w:t>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300" w:type="dxa"/>
            <w:vAlign w:val="bottom"/>
            <w:gridSpan w:val="42"/>
          </w:tcPr>
          <w:p>
            <w:pPr>
              <w:ind w:left="140"/>
              <w:spacing w:after="0"/>
              <w:rPr>
                <w:sz w:val="20"/>
                <w:szCs w:val="20"/>
                <w:color w:val="auto"/>
              </w:rPr>
            </w:pPr>
            <w:r>
              <w:rPr>
                <w:rFonts w:ascii="Times New Roman" w:cs="Times New Roman" w:eastAsia="Times New Roman" w:hAnsi="Times New Roman"/>
                <w:sz w:val="17"/>
                <w:szCs w:val="17"/>
                <w:color w:val="0000EE"/>
              </w:rPr>
              <w:t>Who will bear the cost of soliciting votes for the 2026 Annual Meeting?</w:t>
            </w:r>
          </w:p>
        </w:tc>
        <w:tc>
          <w:tcPr>
            <w:tcW w:w="5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8</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5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50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6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5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40" w:type="dxa"/>
            <w:vAlign w:val="bottom"/>
            <w:shd w:val="clear" w:color="auto" w:fill="CDE9F6"/>
          </w:tcPr>
          <w:p>
            <w:pPr>
              <w:spacing w:after="0"/>
              <w:rPr>
                <w:sz w:val="14"/>
                <w:szCs w:val="14"/>
                <w:color w:val="auto"/>
              </w:rPr>
            </w:pPr>
          </w:p>
        </w:tc>
        <w:tc>
          <w:tcPr>
            <w:tcW w:w="7160" w:type="dxa"/>
            <w:vAlign w:val="bottom"/>
            <w:gridSpan w:val="41"/>
            <w:shd w:val="clear" w:color="auto" w:fill="CDE9F6"/>
          </w:tcPr>
          <w:p>
            <w:pPr>
              <w:spacing w:after="0" w:line="171" w:lineRule="exact"/>
              <w:rPr>
                <w:sz w:val="20"/>
                <w:szCs w:val="20"/>
                <w:color w:val="auto"/>
              </w:rPr>
            </w:pPr>
            <w:r>
              <w:rPr>
                <w:rFonts w:ascii="Times New Roman" w:cs="Times New Roman" w:eastAsia="Times New Roman" w:hAnsi="Times New Roman"/>
                <w:sz w:val="17"/>
                <w:szCs w:val="17"/>
                <w:color w:val="0000EE"/>
              </w:rPr>
              <w:t>What is the deadline to propose actions for consideration at next year’s annual meeting of</w:t>
            </w:r>
          </w:p>
        </w:tc>
        <w:tc>
          <w:tcPr>
            <w:tcW w:w="540" w:type="dxa"/>
            <w:vAlign w:val="bottom"/>
            <w:shd w:val="clear" w:color="auto" w:fill="CDE9F6"/>
          </w:tcPr>
          <w:p>
            <w:pPr>
              <w:spacing w:after="0"/>
              <w:rPr>
                <w:sz w:val="14"/>
                <w:szCs w:val="14"/>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40" w:type="dxa"/>
            <w:vAlign w:val="bottom"/>
            <w:tcBorders>
              <w:top w:val="single" w:sz="8" w:color="CDE9F6"/>
              <w:bottom w:val="single" w:sz="8" w:color="CDE9F6"/>
            </w:tcBorders>
            <w:shd w:val="clear" w:color="auto" w:fill="CDE9F6"/>
          </w:tcPr>
          <w:p>
            <w:pPr>
              <w:spacing w:after="0"/>
              <w:rPr>
                <w:sz w:val="21"/>
                <w:szCs w:val="21"/>
                <w:color w:val="auto"/>
              </w:rPr>
            </w:pPr>
          </w:p>
        </w:tc>
        <w:tc>
          <w:tcPr>
            <w:tcW w:w="180" w:type="dxa"/>
            <w:vAlign w:val="bottom"/>
            <w:tcBorders>
              <w:top w:val="single" w:sz="8" w:color="0000EE"/>
              <w:bottom w:val="single" w:sz="8" w:color="CDE9F6"/>
            </w:tcBorders>
            <w:shd w:val="clear" w:color="auto" w:fill="CDE9F6"/>
          </w:tcPr>
          <w:p>
            <w:pPr>
              <w:spacing w:after="0"/>
              <w:rPr>
                <w:sz w:val="21"/>
                <w:szCs w:val="21"/>
                <w:color w:val="auto"/>
              </w:rPr>
            </w:pPr>
          </w:p>
        </w:tc>
        <w:tc>
          <w:tcPr>
            <w:tcW w:w="4280" w:type="dxa"/>
            <w:vAlign w:val="bottom"/>
            <w:tcBorders>
              <w:top w:val="single" w:sz="8" w:color="0000EE"/>
              <w:bottom w:val="single" w:sz="8" w:color="0000EE"/>
            </w:tcBorders>
            <w:gridSpan w:val="24"/>
            <w:shd w:val="clear" w:color="auto" w:fill="CDE9F6"/>
          </w:tcPr>
          <w:p>
            <w:pPr>
              <w:spacing w:after="0" w:line="189" w:lineRule="exact"/>
              <w:rPr>
                <w:sz w:val="20"/>
                <w:szCs w:val="20"/>
                <w:color w:val="auto"/>
              </w:rPr>
            </w:pPr>
            <w:r>
              <w:rPr>
                <w:rFonts w:ascii="Times New Roman" w:cs="Times New Roman" w:eastAsia="Times New Roman" w:hAnsi="Times New Roman"/>
                <w:sz w:val="17"/>
                <w:szCs w:val="17"/>
                <w:color w:val="0000EE"/>
              </w:rPr>
              <w:t>stockholders or to nominate individuals to serve as directors?</w:t>
            </w:r>
          </w:p>
        </w:tc>
        <w:tc>
          <w:tcPr>
            <w:tcW w:w="1800" w:type="dxa"/>
            <w:vAlign w:val="bottom"/>
            <w:tcBorders>
              <w:top w:val="single" w:sz="8" w:color="0000EE"/>
              <w:bottom w:val="single" w:sz="8" w:color="CDE9F6"/>
            </w:tcBorders>
            <w:gridSpan w:val="9"/>
            <w:shd w:val="clear" w:color="auto" w:fill="CDE9F6"/>
          </w:tcPr>
          <w:p>
            <w:pPr>
              <w:spacing w:after="0"/>
              <w:rPr>
                <w:sz w:val="21"/>
                <w:szCs w:val="21"/>
                <w:color w:val="auto"/>
              </w:rPr>
            </w:pPr>
          </w:p>
        </w:tc>
        <w:tc>
          <w:tcPr>
            <w:tcW w:w="900" w:type="dxa"/>
            <w:vAlign w:val="bottom"/>
            <w:tcBorders>
              <w:top w:val="single" w:sz="8" w:color="CDE9F6"/>
              <w:bottom w:val="single" w:sz="8" w:color="CDE9F6"/>
            </w:tcBorders>
            <w:gridSpan w:val="7"/>
            <w:shd w:val="clear" w:color="auto" w:fill="CDE9F6"/>
          </w:tcPr>
          <w:p>
            <w:pPr>
              <w:spacing w:after="0"/>
              <w:rPr>
                <w:sz w:val="21"/>
                <w:szCs w:val="21"/>
                <w:color w:val="auto"/>
              </w:rPr>
            </w:pPr>
          </w:p>
        </w:tc>
        <w:tc>
          <w:tcPr>
            <w:tcW w:w="540" w:type="dxa"/>
            <w:vAlign w:val="bottom"/>
            <w:tcBorders>
              <w:top w:val="single" w:sz="8" w:color="CDE9F6"/>
              <w:bottom w:val="single" w:sz="8" w:color="CDE9F6"/>
            </w:tcBorders>
            <w:shd w:val="clear" w:color="auto" w:fill="CDE9F6"/>
          </w:tcPr>
          <w:p>
            <w:pPr>
              <w:jc w:val="center"/>
              <w:spacing w:after="0" w:line="189" w:lineRule="exact"/>
              <w:rPr>
                <w:sz w:val="20"/>
                <w:szCs w:val="20"/>
                <w:color w:val="auto"/>
              </w:rPr>
            </w:pPr>
            <w:r>
              <w:rPr>
                <w:rFonts w:ascii="Times New Roman" w:cs="Times New Roman" w:eastAsia="Times New Roman" w:hAnsi="Times New Roman"/>
                <w:sz w:val="17"/>
                <w:szCs w:val="17"/>
                <w:color w:val="auto"/>
              </w:rPr>
              <w:t>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300" w:type="dxa"/>
            <w:vAlign w:val="bottom"/>
            <w:gridSpan w:val="42"/>
          </w:tcPr>
          <w:p>
            <w:pPr>
              <w:ind w:left="140"/>
              <w:spacing w:after="0"/>
              <w:rPr>
                <w:sz w:val="20"/>
                <w:szCs w:val="20"/>
                <w:color w:val="auto"/>
              </w:rPr>
            </w:pPr>
            <w:r>
              <w:rPr>
                <w:rFonts w:ascii="Times New Roman" w:cs="Times New Roman" w:eastAsia="Times New Roman" w:hAnsi="Times New Roman"/>
                <w:sz w:val="17"/>
                <w:szCs w:val="17"/>
                <w:color w:val="0000EE"/>
              </w:rPr>
              <w:t>How may I obtain a separate set of proxy materials or the 2025 Annual Report?</w:t>
            </w:r>
          </w:p>
        </w:tc>
        <w:tc>
          <w:tcPr>
            <w:tcW w:w="5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9</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5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50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70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5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7300" w:type="dxa"/>
            <w:vAlign w:val="bottom"/>
            <w:gridSpan w:val="42"/>
            <w:shd w:val="clear" w:color="auto" w:fill="CDE9F6"/>
          </w:tcPr>
          <w:p>
            <w:pPr>
              <w:spacing w:after="0"/>
              <w:rPr>
                <w:sz w:val="20"/>
                <w:szCs w:val="20"/>
                <w:color w:val="auto"/>
              </w:rPr>
            </w:pPr>
            <w:r>
              <w:rPr>
                <w:rFonts w:ascii="Times New Roman" w:cs="Times New Roman" w:eastAsia="Times New Roman" w:hAnsi="Times New Roman"/>
                <w:sz w:val="17"/>
                <w:szCs w:val="17"/>
                <w:color w:val="0000EE"/>
              </w:rPr>
              <w:t>PROPOSAL ONE — ELECTION OF DIRECTORS</w:t>
            </w:r>
          </w:p>
        </w:tc>
        <w:tc>
          <w:tcPr>
            <w:tcW w:w="540" w:type="dxa"/>
            <w:vAlign w:val="bottom"/>
            <w:shd w:val="clear" w:color="auto" w:fill="CDE9F6"/>
          </w:tcPr>
          <w:p>
            <w:pPr>
              <w:jc w:val="center"/>
              <w:spacing w:after="0"/>
              <w:rPr>
                <w:sz w:val="20"/>
                <w:szCs w:val="20"/>
                <w:color w:val="auto"/>
              </w:rPr>
            </w:pPr>
            <w:r>
              <w:rPr>
                <w:rFonts w:ascii="Times New Roman" w:cs="Times New Roman" w:eastAsia="Times New Roman" w:hAnsi="Times New Roman"/>
                <w:sz w:val="17"/>
                <w:szCs w:val="17"/>
                <w:color w:val="auto"/>
              </w:rPr>
              <w:t>10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660" w:type="dxa"/>
            <w:vAlign w:val="bottom"/>
            <w:tcBorders>
              <w:top w:val="single" w:sz="8" w:color="0000EE"/>
            </w:tcBorders>
            <w:gridSpan w:val="19"/>
          </w:tcPr>
          <w:p>
            <w:pPr>
              <w:ind w:left="140"/>
              <w:spacing w:after="0"/>
              <w:rPr>
                <w:sz w:val="20"/>
                <w:szCs w:val="20"/>
                <w:color w:val="auto"/>
              </w:rPr>
            </w:pPr>
            <w:r>
              <w:rPr>
                <w:rFonts w:ascii="Times New Roman" w:cs="Times New Roman" w:eastAsia="Times New Roman" w:hAnsi="Times New Roman"/>
                <w:sz w:val="17"/>
                <w:szCs w:val="17"/>
                <w:color w:val="0000EE"/>
              </w:rPr>
              <w:t>General</w:t>
            </w:r>
          </w:p>
        </w:tc>
        <w:tc>
          <w:tcPr>
            <w:tcW w:w="3640" w:type="dxa"/>
            <w:vAlign w:val="bottom"/>
            <w:tcBorders>
              <w:top w:val="single" w:sz="8" w:color="CDE9F6"/>
            </w:tcBorders>
            <w:gridSpan w:val="23"/>
          </w:tcPr>
          <w:p>
            <w:pPr>
              <w:spacing w:after="0"/>
              <w:rPr>
                <w:sz w:val="17"/>
                <w:szCs w:val="17"/>
                <w:color w:val="auto"/>
              </w:rPr>
            </w:pPr>
          </w:p>
        </w:tc>
        <w:tc>
          <w:tcPr>
            <w:tcW w:w="540" w:type="dxa"/>
            <w:vAlign w:val="bottom"/>
            <w:tcBorders>
              <w:top w:val="single" w:sz="8" w:color="CDE9F6"/>
            </w:tcBorders>
          </w:tcPr>
          <w:p>
            <w:pPr>
              <w:jc w:val="center"/>
              <w:spacing w:after="0"/>
              <w:rPr>
                <w:sz w:val="20"/>
                <w:szCs w:val="20"/>
                <w:color w:val="auto"/>
              </w:rPr>
            </w:pPr>
            <w:r>
              <w:rPr>
                <w:rFonts w:ascii="Times New Roman" w:cs="Times New Roman" w:eastAsia="Times New Roman" w:hAnsi="Times New Roman"/>
                <w:sz w:val="17"/>
                <w:szCs w:val="17"/>
                <w:color w:val="auto"/>
              </w:rPr>
              <w:t>10</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5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40" w:type="dxa"/>
            <w:vAlign w:val="bottom"/>
            <w:tcBorders>
              <w:bottom w:val="single" w:sz="8" w:color="CDE9F6"/>
            </w:tcBorders>
            <w:shd w:val="clear" w:color="auto" w:fill="CDE9F6"/>
          </w:tcPr>
          <w:p>
            <w:pPr>
              <w:spacing w:after="0"/>
              <w:rPr>
                <w:sz w:val="22"/>
                <w:szCs w:val="22"/>
                <w:color w:val="auto"/>
              </w:rPr>
            </w:pPr>
          </w:p>
        </w:tc>
        <w:tc>
          <w:tcPr>
            <w:tcW w:w="720" w:type="dxa"/>
            <w:vAlign w:val="bottom"/>
            <w:tcBorders>
              <w:bottom w:val="single" w:sz="8" w:color="0000EE"/>
            </w:tcBorders>
            <w:gridSpan w:val="3"/>
            <w:shd w:val="clear" w:color="auto" w:fill="CDE9F6"/>
          </w:tcPr>
          <w:p>
            <w:pPr>
              <w:spacing w:after="0"/>
              <w:rPr>
                <w:sz w:val="20"/>
                <w:szCs w:val="20"/>
                <w:color w:val="auto"/>
              </w:rPr>
            </w:pPr>
            <w:r>
              <w:rPr>
                <w:rFonts w:ascii="Times New Roman" w:cs="Times New Roman" w:eastAsia="Times New Roman" w:hAnsi="Times New Roman"/>
                <w:sz w:val="17"/>
                <w:szCs w:val="17"/>
                <w:color w:val="0000EE"/>
              </w:rPr>
              <w:t>Nominees</w:t>
            </w:r>
          </w:p>
        </w:tc>
        <w:tc>
          <w:tcPr>
            <w:tcW w:w="6440" w:type="dxa"/>
            <w:vAlign w:val="bottom"/>
            <w:tcBorders>
              <w:bottom w:val="single" w:sz="8" w:color="CDE9F6"/>
            </w:tcBorders>
            <w:gridSpan w:val="38"/>
            <w:shd w:val="clear" w:color="auto" w:fill="CDE9F6"/>
          </w:tcPr>
          <w:p>
            <w:pPr>
              <w:spacing w:after="0"/>
              <w:rPr>
                <w:sz w:val="22"/>
                <w:szCs w:val="22"/>
                <w:color w:val="auto"/>
              </w:rPr>
            </w:pPr>
          </w:p>
        </w:tc>
        <w:tc>
          <w:tcPr>
            <w:tcW w:w="540" w:type="dxa"/>
            <w:vAlign w:val="bottom"/>
            <w:tcBorders>
              <w:bottom w:val="single" w:sz="8" w:color="CDE9F6"/>
            </w:tcBorders>
            <w:shd w:val="clear" w:color="auto" w:fill="CDE9F6"/>
          </w:tcPr>
          <w:p>
            <w:pPr>
              <w:jc w:val="center"/>
              <w:spacing w:after="0"/>
              <w:rPr>
                <w:sz w:val="20"/>
                <w:szCs w:val="20"/>
                <w:color w:val="auto"/>
              </w:rPr>
            </w:pPr>
            <w:r>
              <w:rPr>
                <w:rFonts w:ascii="Times New Roman" w:cs="Times New Roman" w:eastAsia="Times New Roman" w:hAnsi="Times New Roman"/>
                <w:sz w:val="17"/>
                <w:szCs w:val="17"/>
                <w:color w:val="auto"/>
              </w:rPr>
              <w:t>10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300" w:type="dxa"/>
            <w:vAlign w:val="bottom"/>
            <w:gridSpan w:val="42"/>
          </w:tcPr>
          <w:p>
            <w:pPr>
              <w:ind w:left="140"/>
              <w:spacing w:after="0"/>
              <w:rPr>
                <w:sz w:val="20"/>
                <w:szCs w:val="20"/>
                <w:color w:val="auto"/>
              </w:rPr>
            </w:pPr>
            <w:r>
              <w:rPr>
                <w:rFonts w:ascii="Times New Roman" w:cs="Times New Roman" w:eastAsia="Times New Roman" w:hAnsi="Times New Roman"/>
                <w:sz w:val="17"/>
                <w:szCs w:val="17"/>
                <w:color w:val="0000EE"/>
              </w:rPr>
              <w:t>Information Regarding the Board of Directors and Director Nominees</w:t>
            </w:r>
          </w:p>
        </w:tc>
        <w:tc>
          <w:tcPr>
            <w:tcW w:w="5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11</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5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50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5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40" w:type="dxa"/>
            <w:vAlign w:val="bottom"/>
            <w:tcBorders>
              <w:bottom w:val="single" w:sz="8" w:color="CDE9F6"/>
            </w:tcBorders>
            <w:shd w:val="clear" w:color="auto" w:fill="CDE9F6"/>
          </w:tcPr>
          <w:p>
            <w:pPr>
              <w:spacing w:after="0"/>
              <w:rPr>
                <w:sz w:val="22"/>
                <w:szCs w:val="22"/>
                <w:color w:val="auto"/>
              </w:rPr>
            </w:pPr>
          </w:p>
        </w:tc>
        <w:tc>
          <w:tcPr>
            <w:tcW w:w="2420" w:type="dxa"/>
            <w:vAlign w:val="bottom"/>
            <w:tcBorders>
              <w:bottom w:val="single" w:sz="8" w:color="0000EE"/>
            </w:tcBorders>
            <w:gridSpan w:val="10"/>
            <w:shd w:val="clear" w:color="auto" w:fill="CDE9F6"/>
          </w:tcPr>
          <w:p>
            <w:pPr>
              <w:spacing w:after="0"/>
              <w:rPr>
                <w:sz w:val="20"/>
                <w:szCs w:val="20"/>
                <w:color w:val="auto"/>
              </w:rPr>
            </w:pPr>
            <w:r>
              <w:rPr>
                <w:rFonts w:ascii="Times New Roman" w:cs="Times New Roman" w:eastAsia="Times New Roman" w:hAnsi="Times New Roman"/>
                <w:sz w:val="17"/>
                <w:szCs w:val="17"/>
                <w:color w:val="0000EE"/>
              </w:rPr>
              <w:t>Director Expertise and Experience</w:t>
            </w:r>
          </w:p>
        </w:tc>
        <w:tc>
          <w:tcPr>
            <w:tcW w:w="4740" w:type="dxa"/>
            <w:vAlign w:val="bottom"/>
            <w:tcBorders>
              <w:bottom w:val="single" w:sz="8" w:color="CDE9F6"/>
            </w:tcBorders>
            <w:gridSpan w:val="31"/>
            <w:shd w:val="clear" w:color="auto" w:fill="CDE9F6"/>
          </w:tcPr>
          <w:p>
            <w:pPr>
              <w:spacing w:after="0"/>
              <w:rPr>
                <w:sz w:val="22"/>
                <w:szCs w:val="22"/>
                <w:color w:val="auto"/>
              </w:rPr>
            </w:pPr>
          </w:p>
        </w:tc>
        <w:tc>
          <w:tcPr>
            <w:tcW w:w="540" w:type="dxa"/>
            <w:vAlign w:val="bottom"/>
            <w:tcBorders>
              <w:bottom w:val="single" w:sz="8" w:color="CDE9F6"/>
            </w:tcBorders>
            <w:shd w:val="clear" w:color="auto" w:fill="CDE9F6"/>
          </w:tcPr>
          <w:p>
            <w:pPr>
              <w:jc w:val="center"/>
              <w:spacing w:after="0"/>
              <w:rPr>
                <w:sz w:val="20"/>
                <w:szCs w:val="20"/>
                <w:color w:val="auto"/>
              </w:rPr>
            </w:pPr>
            <w:r>
              <w:rPr>
                <w:rFonts w:ascii="Times New Roman" w:cs="Times New Roman" w:eastAsia="Times New Roman" w:hAnsi="Times New Roman"/>
                <w:sz w:val="17"/>
                <w:szCs w:val="17"/>
                <w:color w:val="auto"/>
              </w:rPr>
              <w:t>15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300" w:type="dxa"/>
            <w:vAlign w:val="bottom"/>
            <w:gridSpan w:val="42"/>
          </w:tcPr>
          <w:p>
            <w:pPr>
              <w:ind w:left="140"/>
              <w:spacing w:after="0"/>
              <w:rPr>
                <w:sz w:val="20"/>
                <w:szCs w:val="20"/>
                <w:color w:val="auto"/>
              </w:rPr>
            </w:pPr>
            <w:r>
              <w:rPr>
                <w:rFonts w:ascii="Times New Roman" w:cs="Times New Roman" w:eastAsia="Times New Roman" w:hAnsi="Times New Roman"/>
                <w:sz w:val="17"/>
                <w:szCs w:val="17"/>
                <w:color w:val="0000EE"/>
              </w:rPr>
              <w:t>Director Tenure and Age Distribution</w:t>
            </w:r>
          </w:p>
        </w:tc>
        <w:tc>
          <w:tcPr>
            <w:tcW w:w="5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16</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5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5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0" w:type="dxa"/>
            <w:vAlign w:val="bottom"/>
            <w:shd w:val="clear" w:color="auto" w:fill="CDE9F6"/>
          </w:tcPr>
          <w:p>
            <w:pPr>
              <w:spacing w:after="0"/>
              <w:rPr>
                <w:sz w:val="17"/>
                <w:szCs w:val="17"/>
                <w:color w:val="auto"/>
              </w:rPr>
            </w:pPr>
          </w:p>
        </w:tc>
        <w:tc>
          <w:tcPr>
            <w:tcW w:w="7160" w:type="dxa"/>
            <w:vAlign w:val="bottom"/>
            <w:gridSpan w:val="41"/>
            <w:shd w:val="clear" w:color="auto" w:fill="CDE9F6"/>
          </w:tcPr>
          <w:p>
            <w:pPr>
              <w:spacing w:after="0"/>
              <w:rPr>
                <w:sz w:val="20"/>
                <w:szCs w:val="20"/>
                <w:color w:val="auto"/>
              </w:rPr>
            </w:pPr>
            <w:r>
              <w:rPr>
                <w:rFonts w:ascii="Times New Roman" w:cs="Times New Roman" w:eastAsia="Times New Roman" w:hAnsi="Times New Roman"/>
                <w:sz w:val="17"/>
                <w:szCs w:val="17"/>
                <w:color w:val="0000EE"/>
              </w:rPr>
              <w:t>Board Evaluations</w:t>
            </w:r>
          </w:p>
        </w:tc>
        <w:tc>
          <w:tcPr>
            <w:tcW w:w="540" w:type="dxa"/>
            <w:vAlign w:val="bottom"/>
            <w:shd w:val="clear" w:color="auto" w:fill="CDE9F6"/>
          </w:tcPr>
          <w:p>
            <w:pPr>
              <w:jc w:val="center"/>
              <w:spacing w:after="0"/>
              <w:rPr>
                <w:sz w:val="20"/>
                <w:szCs w:val="20"/>
                <w:color w:val="auto"/>
              </w:rPr>
            </w:pPr>
            <w:r>
              <w:rPr>
                <w:rFonts w:ascii="Times New Roman" w:cs="Times New Roman" w:eastAsia="Times New Roman" w:hAnsi="Times New Roman"/>
                <w:sz w:val="17"/>
                <w:szCs w:val="17"/>
                <w:color w:val="auto"/>
              </w:rPr>
              <w:t>16</w:t>
            </w:r>
          </w:p>
        </w:tc>
        <w:tc>
          <w:tcPr>
            <w:tcW w:w="0" w:type="dxa"/>
            <w:vAlign w:val="bottom"/>
          </w:tcPr>
          <w:p>
            <w:pPr>
              <w:spacing w:after="0"/>
              <w:rPr>
                <w:sz w:val="1"/>
                <w:szCs w:val="1"/>
                <w:color w:val="auto"/>
              </w:rPr>
            </w:pPr>
          </w:p>
        </w:tc>
      </w:tr>
      <w:tr>
        <w:trPr>
          <w:trHeight w:val="59"/>
        </w:trPr>
        <w:tc>
          <w:tcPr>
            <w:tcW w:w="20" w:type="dxa"/>
            <w:vAlign w:val="bottom"/>
            <w:vMerge w:val="restart"/>
          </w:tcPr>
          <w:p>
            <w:pPr>
              <w:spacing w:after="0"/>
              <w:rPr>
                <w:sz w:val="5"/>
                <w:szCs w:val="5"/>
                <w:color w:val="auto"/>
              </w:rPr>
            </w:pPr>
          </w:p>
        </w:tc>
        <w:tc>
          <w:tcPr>
            <w:tcW w:w="140" w:type="dxa"/>
            <w:vAlign w:val="bottom"/>
            <w:tcBorders>
              <w:top w:val="single" w:sz="8" w:color="CDE9F6"/>
            </w:tcBorders>
            <w:shd w:val="clear" w:color="auto" w:fill="CDE9F6"/>
          </w:tcPr>
          <w:p>
            <w:pPr>
              <w:spacing w:after="0"/>
              <w:rPr>
                <w:sz w:val="5"/>
                <w:szCs w:val="5"/>
                <w:color w:val="auto"/>
              </w:rPr>
            </w:pPr>
          </w:p>
        </w:tc>
        <w:tc>
          <w:tcPr>
            <w:tcW w:w="180" w:type="dxa"/>
            <w:vAlign w:val="bottom"/>
            <w:tcBorders>
              <w:top w:val="single" w:sz="8" w:color="0000EE"/>
            </w:tcBorders>
            <w:shd w:val="clear" w:color="auto" w:fill="CDE9F6"/>
          </w:tcPr>
          <w:p>
            <w:pPr>
              <w:spacing w:after="0"/>
              <w:rPr>
                <w:sz w:val="5"/>
                <w:szCs w:val="5"/>
                <w:color w:val="auto"/>
              </w:rPr>
            </w:pPr>
          </w:p>
        </w:tc>
        <w:tc>
          <w:tcPr>
            <w:tcW w:w="380" w:type="dxa"/>
            <w:vAlign w:val="bottom"/>
            <w:tcBorders>
              <w:top w:val="single" w:sz="8" w:color="0000EE"/>
            </w:tcBorders>
            <w:shd w:val="clear" w:color="auto" w:fill="CDE9F6"/>
          </w:tcPr>
          <w:p>
            <w:pPr>
              <w:spacing w:after="0"/>
              <w:rPr>
                <w:sz w:val="5"/>
                <w:szCs w:val="5"/>
                <w:color w:val="auto"/>
              </w:rPr>
            </w:pPr>
          </w:p>
        </w:tc>
        <w:tc>
          <w:tcPr>
            <w:tcW w:w="160" w:type="dxa"/>
            <w:vAlign w:val="bottom"/>
            <w:tcBorders>
              <w:top w:val="single" w:sz="8" w:color="0000EE"/>
            </w:tcBorders>
            <w:shd w:val="clear" w:color="auto" w:fill="CDE9F6"/>
          </w:tcPr>
          <w:p>
            <w:pPr>
              <w:spacing w:after="0"/>
              <w:rPr>
                <w:sz w:val="5"/>
                <w:szCs w:val="5"/>
                <w:color w:val="auto"/>
              </w:rPr>
            </w:pPr>
          </w:p>
        </w:tc>
        <w:tc>
          <w:tcPr>
            <w:tcW w:w="80" w:type="dxa"/>
            <w:vAlign w:val="bottom"/>
            <w:tcBorders>
              <w:top w:val="single" w:sz="8" w:color="0000EE"/>
            </w:tcBorders>
            <w:shd w:val="clear" w:color="auto" w:fill="CDE9F6"/>
          </w:tcPr>
          <w:p>
            <w:pPr>
              <w:spacing w:after="0"/>
              <w:rPr>
                <w:sz w:val="5"/>
                <w:szCs w:val="5"/>
                <w:color w:val="auto"/>
              </w:rPr>
            </w:pPr>
          </w:p>
        </w:tc>
        <w:tc>
          <w:tcPr>
            <w:tcW w:w="500" w:type="dxa"/>
            <w:vAlign w:val="bottom"/>
            <w:tcBorders>
              <w:top w:val="single" w:sz="8" w:color="0000EE"/>
            </w:tcBorders>
            <w:shd w:val="clear" w:color="auto" w:fill="CDE9F6"/>
          </w:tcPr>
          <w:p>
            <w:pPr>
              <w:spacing w:after="0"/>
              <w:rPr>
                <w:sz w:val="5"/>
                <w:szCs w:val="5"/>
                <w:color w:val="auto"/>
              </w:rPr>
            </w:pPr>
          </w:p>
        </w:tc>
        <w:tc>
          <w:tcPr>
            <w:tcW w:w="60" w:type="dxa"/>
            <w:vAlign w:val="bottom"/>
            <w:tcBorders>
              <w:top w:val="single" w:sz="8" w:color="CDE9F6"/>
            </w:tcBorders>
            <w:shd w:val="clear" w:color="auto" w:fill="CDE9F6"/>
          </w:tcPr>
          <w:p>
            <w:pPr>
              <w:spacing w:after="0"/>
              <w:rPr>
                <w:sz w:val="5"/>
                <w:szCs w:val="5"/>
                <w:color w:val="auto"/>
              </w:rPr>
            </w:pPr>
          </w:p>
        </w:tc>
        <w:tc>
          <w:tcPr>
            <w:tcW w:w="260" w:type="dxa"/>
            <w:vAlign w:val="bottom"/>
            <w:tcBorders>
              <w:top w:val="single" w:sz="8" w:color="CDE9F6"/>
            </w:tcBorders>
            <w:shd w:val="clear" w:color="auto" w:fill="CDE9F6"/>
          </w:tcPr>
          <w:p>
            <w:pPr>
              <w:spacing w:after="0"/>
              <w:rPr>
                <w:sz w:val="5"/>
                <w:szCs w:val="5"/>
                <w:color w:val="auto"/>
              </w:rPr>
            </w:pPr>
          </w:p>
        </w:tc>
        <w:tc>
          <w:tcPr>
            <w:tcW w:w="80" w:type="dxa"/>
            <w:vAlign w:val="bottom"/>
            <w:tcBorders>
              <w:top w:val="single" w:sz="8" w:color="CDE9F6"/>
            </w:tcBorders>
            <w:shd w:val="clear" w:color="auto" w:fill="CDE9F6"/>
          </w:tcPr>
          <w:p>
            <w:pPr>
              <w:spacing w:after="0"/>
              <w:rPr>
                <w:sz w:val="5"/>
                <w:szCs w:val="5"/>
                <w:color w:val="auto"/>
              </w:rPr>
            </w:pPr>
          </w:p>
        </w:tc>
        <w:tc>
          <w:tcPr>
            <w:tcW w:w="600" w:type="dxa"/>
            <w:vAlign w:val="bottom"/>
            <w:tcBorders>
              <w:top w:val="single" w:sz="8" w:color="CDE9F6"/>
            </w:tcBorders>
            <w:shd w:val="clear" w:color="auto" w:fill="CDE9F6"/>
          </w:tcPr>
          <w:p>
            <w:pPr>
              <w:spacing w:after="0"/>
              <w:rPr>
                <w:sz w:val="5"/>
                <w:szCs w:val="5"/>
                <w:color w:val="auto"/>
              </w:rPr>
            </w:pPr>
          </w:p>
        </w:tc>
        <w:tc>
          <w:tcPr>
            <w:tcW w:w="120" w:type="dxa"/>
            <w:vAlign w:val="bottom"/>
            <w:tcBorders>
              <w:top w:val="single" w:sz="8" w:color="CDE9F6"/>
            </w:tcBorders>
            <w:shd w:val="clear" w:color="auto" w:fill="CDE9F6"/>
          </w:tcPr>
          <w:p>
            <w:pPr>
              <w:spacing w:after="0"/>
              <w:rPr>
                <w:sz w:val="5"/>
                <w:szCs w:val="5"/>
                <w:color w:val="auto"/>
              </w:rPr>
            </w:pPr>
          </w:p>
        </w:tc>
        <w:tc>
          <w:tcPr>
            <w:tcW w:w="140" w:type="dxa"/>
            <w:vAlign w:val="bottom"/>
            <w:tcBorders>
              <w:top w:val="single" w:sz="8" w:color="CDE9F6"/>
            </w:tcBorders>
            <w:shd w:val="clear" w:color="auto" w:fill="CDE9F6"/>
          </w:tcPr>
          <w:p>
            <w:pPr>
              <w:spacing w:after="0"/>
              <w:rPr>
                <w:sz w:val="5"/>
                <w:szCs w:val="5"/>
                <w:color w:val="auto"/>
              </w:rPr>
            </w:pPr>
          </w:p>
        </w:tc>
        <w:tc>
          <w:tcPr>
            <w:tcW w:w="80" w:type="dxa"/>
            <w:vAlign w:val="bottom"/>
            <w:tcBorders>
              <w:top w:val="single" w:sz="8" w:color="CDE9F6"/>
            </w:tcBorders>
            <w:shd w:val="clear" w:color="auto" w:fill="CDE9F6"/>
          </w:tcPr>
          <w:p>
            <w:pPr>
              <w:spacing w:after="0"/>
              <w:rPr>
                <w:sz w:val="5"/>
                <w:szCs w:val="5"/>
                <w:color w:val="auto"/>
              </w:rPr>
            </w:pPr>
          </w:p>
        </w:tc>
        <w:tc>
          <w:tcPr>
            <w:tcW w:w="140" w:type="dxa"/>
            <w:vAlign w:val="bottom"/>
            <w:tcBorders>
              <w:top w:val="single" w:sz="8" w:color="CDE9F6"/>
            </w:tcBorders>
            <w:shd w:val="clear" w:color="auto" w:fill="CDE9F6"/>
          </w:tcPr>
          <w:p>
            <w:pPr>
              <w:spacing w:after="0"/>
              <w:rPr>
                <w:sz w:val="5"/>
                <w:szCs w:val="5"/>
                <w:color w:val="auto"/>
              </w:rPr>
            </w:pPr>
          </w:p>
        </w:tc>
        <w:tc>
          <w:tcPr>
            <w:tcW w:w="20" w:type="dxa"/>
            <w:vAlign w:val="bottom"/>
            <w:tcBorders>
              <w:top w:val="single" w:sz="8" w:color="CDE9F6"/>
            </w:tcBorders>
            <w:shd w:val="clear" w:color="auto" w:fill="CDE9F6"/>
          </w:tcPr>
          <w:p>
            <w:pPr>
              <w:spacing w:after="0"/>
              <w:rPr>
                <w:sz w:val="5"/>
                <w:szCs w:val="5"/>
                <w:color w:val="auto"/>
              </w:rPr>
            </w:pPr>
          </w:p>
        </w:tc>
        <w:tc>
          <w:tcPr>
            <w:tcW w:w="20" w:type="dxa"/>
            <w:vAlign w:val="bottom"/>
            <w:tcBorders>
              <w:top w:val="single" w:sz="8" w:color="CDE9F6"/>
            </w:tcBorders>
            <w:shd w:val="clear" w:color="auto" w:fill="CDE9F6"/>
          </w:tcPr>
          <w:p>
            <w:pPr>
              <w:spacing w:after="0"/>
              <w:rPr>
                <w:sz w:val="5"/>
                <w:szCs w:val="5"/>
                <w:color w:val="auto"/>
              </w:rPr>
            </w:pPr>
          </w:p>
        </w:tc>
        <w:tc>
          <w:tcPr>
            <w:tcW w:w="140" w:type="dxa"/>
            <w:vAlign w:val="bottom"/>
            <w:tcBorders>
              <w:top w:val="single" w:sz="8" w:color="CDE9F6"/>
            </w:tcBorders>
            <w:shd w:val="clear" w:color="auto" w:fill="CDE9F6"/>
          </w:tcPr>
          <w:p>
            <w:pPr>
              <w:spacing w:after="0"/>
              <w:rPr>
                <w:sz w:val="5"/>
                <w:szCs w:val="5"/>
                <w:color w:val="auto"/>
              </w:rPr>
            </w:pPr>
          </w:p>
        </w:tc>
        <w:tc>
          <w:tcPr>
            <w:tcW w:w="60" w:type="dxa"/>
            <w:vAlign w:val="bottom"/>
            <w:tcBorders>
              <w:top w:val="single" w:sz="8" w:color="CDE9F6"/>
            </w:tcBorders>
            <w:shd w:val="clear" w:color="auto" w:fill="CDE9F6"/>
          </w:tcPr>
          <w:p>
            <w:pPr>
              <w:spacing w:after="0"/>
              <w:rPr>
                <w:sz w:val="5"/>
                <w:szCs w:val="5"/>
                <w:color w:val="auto"/>
              </w:rPr>
            </w:pPr>
          </w:p>
        </w:tc>
        <w:tc>
          <w:tcPr>
            <w:tcW w:w="500" w:type="dxa"/>
            <w:vAlign w:val="bottom"/>
            <w:tcBorders>
              <w:top w:val="single" w:sz="8" w:color="CDE9F6"/>
            </w:tcBorders>
            <w:shd w:val="clear" w:color="auto" w:fill="CDE9F6"/>
          </w:tcPr>
          <w:p>
            <w:pPr>
              <w:spacing w:after="0"/>
              <w:rPr>
                <w:sz w:val="5"/>
                <w:szCs w:val="5"/>
                <w:color w:val="auto"/>
              </w:rPr>
            </w:pPr>
          </w:p>
        </w:tc>
        <w:tc>
          <w:tcPr>
            <w:tcW w:w="80" w:type="dxa"/>
            <w:vAlign w:val="bottom"/>
            <w:tcBorders>
              <w:top w:val="single" w:sz="8" w:color="CDE9F6"/>
            </w:tcBorders>
            <w:shd w:val="clear" w:color="auto" w:fill="CDE9F6"/>
          </w:tcPr>
          <w:p>
            <w:pPr>
              <w:spacing w:after="0"/>
              <w:rPr>
                <w:sz w:val="5"/>
                <w:szCs w:val="5"/>
                <w:color w:val="auto"/>
              </w:rPr>
            </w:pPr>
          </w:p>
        </w:tc>
        <w:tc>
          <w:tcPr>
            <w:tcW w:w="80" w:type="dxa"/>
            <w:vAlign w:val="bottom"/>
            <w:tcBorders>
              <w:top w:val="single" w:sz="8" w:color="CDE9F6"/>
            </w:tcBorders>
            <w:shd w:val="clear" w:color="auto" w:fill="CDE9F6"/>
          </w:tcPr>
          <w:p>
            <w:pPr>
              <w:spacing w:after="0"/>
              <w:rPr>
                <w:sz w:val="5"/>
                <w:szCs w:val="5"/>
                <w:color w:val="auto"/>
              </w:rPr>
            </w:pPr>
          </w:p>
        </w:tc>
        <w:tc>
          <w:tcPr>
            <w:tcW w:w="120" w:type="dxa"/>
            <w:vAlign w:val="bottom"/>
            <w:tcBorders>
              <w:top w:val="single" w:sz="8" w:color="CDE9F6"/>
            </w:tcBorders>
            <w:shd w:val="clear" w:color="auto" w:fill="CDE9F6"/>
          </w:tcPr>
          <w:p>
            <w:pPr>
              <w:spacing w:after="0"/>
              <w:rPr>
                <w:sz w:val="5"/>
                <w:szCs w:val="5"/>
                <w:color w:val="auto"/>
              </w:rPr>
            </w:pPr>
          </w:p>
        </w:tc>
        <w:tc>
          <w:tcPr>
            <w:tcW w:w="60" w:type="dxa"/>
            <w:vAlign w:val="bottom"/>
            <w:tcBorders>
              <w:top w:val="single" w:sz="8" w:color="CDE9F6"/>
            </w:tcBorders>
            <w:shd w:val="clear" w:color="auto" w:fill="CDE9F6"/>
          </w:tcPr>
          <w:p>
            <w:pPr>
              <w:spacing w:after="0"/>
              <w:rPr>
                <w:sz w:val="5"/>
                <w:szCs w:val="5"/>
                <w:color w:val="auto"/>
              </w:rPr>
            </w:pPr>
          </w:p>
        </w:tc>
        <w:tc>
          <w:tcPr>
            <w:tcW w:w="160" w:type="dxa"/>
            <w:vAlign w:val="bottom"/>
            <w:tcBorders>
              <w:top w:val="single" w:sz="8" w:color="CDE9F6"/>
            </w:tcBorders>
            <w:shd w:val="clear" w:color="auto" w:fill="CDE9F6"/>
          </w:tcPr>
          <w:p>
            <w:pPr>
              <w:spacing w:after="0"/>
              <w:rPr>
                <w:sz w:val="5"/>
                <w:szCs w:val="5"/>
                <w:color w:val="auto"/>
              </w:rPr>
            </w:pPr>
          </w:p>
        </w:tc>
        <w:tc>
          <w:tcPr>
            <w:tcW w:w="340" w:type="dxa"/>
            <w:vAlign w:val="bottom"/>
            <w:tcBorders>
              <w:top w:val="single" w:sz="8" w:color="CDE9F6"/>
            </w:tcBorders>
            <w:shd w:val="clear" w:color="auto" w:fill="CDE9F6"/>
          </w:tcPr>
          <w:p>
            <w:pPr>
              <w:spacing w:after="0"/>
              <w:rPr>
                <w:sz w:val="5"/>
                <w:szCs w:val="5"/>
                <w:color w:val="auto"/>
              </w:rPr>
            </w:pPr>
          </w:p>
        </w:tc>
        <w:tc>
          <w:tcPr>
            <w:tcW w:w="100" w:type="dxa"/>
            <w:vAlign w:val="bottom"/>
            <w:tcBorders>
              <w:top w:val="single" w:sz="8" w:color="CDE9F6"/>
            </w:tcBorders>
            <w:shd w:val="clear" w:color="auto" w:fill="CDE9F6"/>
          </w:tcPr>
          <w:p>
            <w:pPr>
              <w:spacing w:after="0"/>
              <w:rPr>
                <w:sz w:val="5"/>
                <w:szCs w:val="5"/>
                <w:color w:val="auto"/>
              </w:rPr>
            </w:pPr>
          </w:p>
        </w:tc>
        <w:tc>
          <w:tcPr>
            <w:tcW w:w="80" w:type="dxa"/>
            <w:vAlign w:val="bottom"/>
            <w:tcBorders>
              <w:top w:val="single" w:sz="8" w:color="CDE9F6"/>
            </w:tcBorders>
            <w:shd w:val="clear" w:color="auto" w:fill="CDE9F6"/>
          </w:tcPr>
          <w:p>
            <w:pPr>
              <w:spacing w:after="0"/>
              <w:rPr>
                <w:sz w:val="5"/>
                <w:szCs w:val="5"/>
                <w:color w:val="auto"/>
              </w:rPr>
            </w:pPr>
          </w:p>
        </w:tc>
        <w:tc>
          <w:tcPr>
            <w:tcW w:w="20" w:type="dxa"/>
            <w:vAlign w:val="bottom"/>
            <w:tcBorders>
              <w:top w:val="single" w:sz="8" w:color="CDE9F6"/>
            </w:tcBorders>
            <w:shd w:val="clear" w:color="auto" w:fill="CDE9F6"/>
          </w:tcPr>
          <w:p>
            <w:pPr>
              <w:spacing w:after="0"/>
              <w:rPr>
                <w:sz w:val="5"/>
                <w:szCs w:val="5"/>
                <w:color w:val="auto"/>
              </w:rPr>
            </w:pPr>
          </w:p>
        </w:tc>
        <w:tc>
          <w:tcPr>
            <w:tcW w:w="180" w:type="dxa"/>
            <w:vAlign w:val="bottom"/>
            <w:tcBorders>
              <w:top w:val="single" w:sz="8" w:color="CDE9F6"/>
            </w:tcBorders>
            <w:shd w:val="clear" w:color="auto" w:fill="CDE9F6"/>
          </w:tcPr>
          <w:p>
            <w:pPr>
              <w:spacing w:after="0"/>
              <w:rPr>
                <w:sz w:val="5"/>
                <w:szCs w:val="5"/>
                <w:color w:val="auto"/>
              </w:rPr>
            </w:pPr>
          </w:p>
        </w:tc>
        <w:tc>
          <w:tcPr>
            <w:tcW w:w="160" w:type="dxa"/>
            <w:vAlign w:val="bottom"/>
            <w:tcBorders>
              <w:top w:val="single" w:sz="8" w:color="CDE9F6"/>
            </w:tcBorders>
            <w:shd w:val="clear" w:color="auto" w:fill="CDE9F6"/>
          </w:tcPr>
          <w:p>
            <w:pPr>
              <w:spacing w:after="0"/>
              <w:rPr>
                <w:sz w:val="5"/>
                <w:szCs w:val="5"/>
                <w:color w:val="auto"/>
              </w:rPr>
            </w:pPr>
          </w:p>
        </w:tc>
        <w:tc>
          <w:tcPr>
            <w:tcW w:w="100" w:type="dxa"/>
            <w:vAlign w:val="bottom"/>
            <w:tcBorders>
              <w:top w:val="single" w:sz="8" w:color="CDE9F6"/>
            </w:tcBorders>
            <w:shd w:val="clear" w:color="auto" w:fill="CDE9F6"/>
          </w:tcPr>
          <w:p>
            <w:pPr>
              <w:spacing w:after="0"/>
              <w:rPr>
                <w:sz w:val="5"/>
                <w:szCs w:val="5"/>
                <w:color w:val="auto"/>
              </w:rPr>
            </w:pPr>
          </w:p>
        </w:tc>
        <w:tc>
          <w:tcPr>
            <w:tcW w:w="40" w:type="dxa"/>
            <w:vAlign w:val="bottom"/>
            <w:tcBorders>
              <w:top w:val="single" w:sz="8" w:color="CDE9F6"/>
            </w:tcBorders>
            <w:shd w:val="clear" w:color="auto" w:fill="CDE9F6"/>
          </w:tcPr>
          <w:p>
            <w:pPr>
              <w:spacing w:after="0"/>
              <w:rPr>
                <w:sz w:val="5"/>
                <w:szCs w:val="5"/>
                <w:color w:val="auto"/>
              </w:rPr>
            </w:pPr>
          </w:p>
        </w:tc>
        <w:tc>
          <w:tcPr>
            <w:tcW w:w="460" w:type="dxa"/>
            <w:vAlign w:val="bottom"/>
            <w:tcBorders>
              <w:top w:val="single" w:sz="8" w:color="CDE9F6"/>
            </w:tcBorders>
            <w:shd w:val="clear" w:color="auto" w:fill="CDE9F6"/>
          </w:tcPr>
          <w:p>
            <w:pPr>
              <w:spacing w:after="0"/>
              <w:rPr>
                <w:sz w:val="5"/>
                <w:szCs w:val="5"/>
                <w:color w:val="auto"/>
              </w:rPr>
            </w:pPr>
          </w:p>
        </w:tc>
        <w:tc>
          <w:tcPr>
            <w:tcW w:w="60" w:type="dxa"/>
            <w:vAlign w:val="bottom"/>
            <w:tcBorders>
              <w:top w:val="single" w:sz="8" w:color="CDE9F6"/>
            </w:tcBorders>
            <w:shd w:val="clear" w:color="auto" w:fill="CDE9F6"/>
          </w:tcPr>
          <w:p>
            <w:pPr>
              <w:spacing w:after="0"/>
              <w:rPr>
                <w:sz w:val="5"/>
                <w:szCs w:val="5"/>
                <w:color w:val="auto"/>
              </w:rPr>
            </w:pPr>
          </w:p>
        </w:tc>
        <w:tc>
          <w:tcPr>
            <w:tcW w:w="700" w:type="dxa"/>
            <w:vAlign w:val="bottom"/>
            <w:tcBorders>
              <w:top w:val="single" w:sz="8" w:color="CDE9F6"/>
            </w:tcBorders>
            <w:shd w:val="clear" w:color="auto" w:fill="CDE9F6"/>
          </w:tcPr>
          <w:p>
            <w:pPr>
              <w:spacing w:after="0"/>
              <w:rPr>
                <w:sz w:val="5"/>
                <w:szCs w:val="5"/>
                <w:color w:val="auto"/>
              </w:rPr>
            </w:pPr>
          </w:p>
        </w:tc>
        <w:tc>
          <w:tcPr>
            <w:tcW w:w="80" w:type="dxa"/>
            <w:vAlign w:val="bottom"/>
            <w:tcBorders>
              <w:top w:val="single" w:sz="8" w:color="CDE9F6"/>
            </w:tcBorders>
            <w:shd w:val="clear" w:color="auto" w:fill="CDE9F6"/>
          </w:tcPr>
          <w:p>
            <w:pPr>
              <w:spacing w:after="0"/>
              <w:rPr>
                <w:sz w:val="5"/>
                <w:szCs w:val="5"/>
                <w:color w:val="auto"/>
              </w:rPr>
            </w:pPr>
          </w:p>
        </w:tc>
        <w:tc>
          <w:tcPr>
            <w:tcW w:w="220" w:type="dxa"/>
            <w:vAlign w:val="bottom"/>
            <w:tcBorders>
              <w:top w:val="single" w:sz="8" w:color="CDE9F6"/>
            </w:tcBorders>
            <w:shd w:val="clear" w:color="auto" w:fill="CDE9F6"/>
          </w:tcPr>
          <w:p>
            <w:pPr>
              <w:spacing w:after="0"/>
              <w:rPr>
                <w:sz w:val="5"/>
                <w:szCs w:val="5"/>
                <w:color w:val="auto"/>
              </w:rPr>
            </w:pPr>
          </w:p>
        </w:tc>
        <w:tc>
          <w:tcPr>
            <w:tcW w:w="200" w:type="dxa"/>
            <w:vAlign w:val="bottom"/>
            <w:tcBorders>
              <w:top w:val="single" w:sz="8" w:color="CDE9F6"/>
            </w:tcBorders>
            <w:shd w:val="clear" w:color="auto" w:fill="CDE9F6"/>
          </w:tcPr>
          <w:p>
            <w:pPr>
              <w:spacing w:after="0"/>
              <w:rPr>
                <w:sz w:val="5"/>
                <w:szCs w:val="5"/>
                <w:color w:val="auto"/>
              </w:rPr>
            </w:pPr>
          </w:p>
        </w:tc>
        <w:tc>
          <w:tcPr>
            <w:tcW w:w="20" w:type="dxa"/>
            <w:vAlign w:val="bottom"/>
            <w:tcBorders>
              <w:top w:val="single" w:sz="8" w:color="CDE9F6"/>
            </w:tcBorders>
            <w:shd w:val="clear" w:color="auto" w:fill="CDE9F6"/>
          </w:tcPr>
          <w:p>
            <w:pPr>
              <w:spacing w:after="0"/>
              <w:rPr>
                <w:sz w:val="5"/>
                <w:szCs w:val="5"/>
                <w:color w:val="auto"/>
              </w:rPr>
            </w:pPr>
          </w:p>
        </w:tc>
        <w:tc>
          <w:tcPr>
            <w:tcW w:w="80" w:type="dxa"/>
            <w:vAlign w:val="bottom"/>
            <w:tcBorders>
              <w:top w:val="single" w:sz="8" w:color="CDE9F6"/>
            </w:tcBorders>
            <w:shd w:val="clear" w:color="auto" w:fill="CDE9F6"/>
          </w:tcPr>
          <w:p>
            <w:pPr>
              <w:spacing w:after="0"/>
              <w:rPr>
                <w:sz w:val="5"/>
                <w:szCs w:val="5"/>
                <w:color w:val="auto"/>
              </w:rPr>
            </w:pPr>
          </w:p>
        </w:tc>
        <w:tc>
          <w:tcPr>
            <w:tcW w:w="60" w:type="dxa"/>
            <w:vAlign w:val="bottom"/>
            <w:tcBorders>
              <w:top w:val="single" w:sz="8" w:color="CDE9F6"/>
            </w:tcBorders>
            <w:shd w:val="clear" w:color="auto" w:fill="CDE9F6"/>
          </w:tcPr>
          <w:p>
            <w:pPr>
              <w:spacing w:after="0"/>
              <w:rPr>
                <w:sz w:val="5"/>
                <w:szCs w:val="5"/>
                <w:color w:val="auto"/>
              </w:rPr>
            </w:pPr>
          </w:p>
        </w:tc>
        <w:tc>
          <w:tcPr>
            <w:tcW w:w="240" w:type="dxa"/>
            <w:vAlign w:val="bottom"/>
            <w:tcBorders>
              <w:top w:val="single" w:sz="8" w:color="CDE9F6"/>
            </w:tcBorders>
            <w:shd w:val="clear" w:color="auto" w:fill="CDE9F6"/>
          </w:tcPr>
          <w:p>
            <w:pPr>
              <w:spacing w:after="0"/>
              <w:rPr>
                <w:sz w:val="5"/>
                <w:szCs w:val="5"/>
                <w:color w:val="auto"/>
              </w:rPr>
            </w:pPr>
          </w:p>
        </w:tc>
        <w:tc>
          <w:tcPr>
            <w:tcW w:w="540" w:type="dxa"/>
            <w:vAlign w:val="bottom"/>
            <w:tcBorders>
              <w:top w:val="single" w:sz="8" w:color="CDE9F6"/>
            </w:tcBorders>
            <w:shd w:val="clear" w:color="auto" w:fill="CDE9F6"/>
          </w:tcPr>
          <w:p>
            <w:pPr>
              <w:spacing w:after="0"/>
              <w:rPr>
                <w:sz w:val="5"/>
                <w:szCs w:val="5"/>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7300" w:type="dxa"/>
            <w:vAlign w:val="bottom"/>
            <w:gridSpan w:val="42"/>
          </w:tcPr>
          <w:p>
            <w:pPr>
              <w:spacing w:after="0" w:line="171" w:lineRule="exact"/>
              <w:rPr>
                <w:sz w:val="20"/>
                <w:szCs w:val="20"/>
                <w:color w:val="auto"/>
              </w:rPr>
            </w:pPr>
            <w:r>
              <w:rPr>
                <w:rFonts w:ascii="Times New Roman" w:cs="Times New Roman" w:eastAsia="Times New Roman" w:hAnsi="Times New Roman"/>
                <w:sz w:val="17"/>
                <w:szCs w:val="17"/>
                <w:color w:val="0000EE"/>
              </w:rPr>
              <w:t>PROPOSAL TWO — RATIFICATION OF APPOINTMENT OF INDEPENDENT REGISTERED</w:t>
            </w: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920" w:type="dxa"/>
            <w:vAlign w:val="bottom"/>
            <w:tcBorders>
              <w:top w:val="single" w:sz="8" w:color="0000EE"/>
            </w:tcBorders>
            <w:gridSpan w:val="39"/>
          </w:tcPr>
          <w:p>
            <w:pPr>
              <w:ind w:left="140"/>
              <w:spacing w:after="0" w:line="189" w:lineRule="exact"/>
              <w:rPr>
                <w:sz w:val="20"/>
                <w:szCs w:val="20"/>
                <w:color w:val="auto"/>
              </w:rPr>
            </w:pPr>
            <w:r>
              <w:rPr>
                <w:rFonts w:ascii="Times New Roman" w:cs="Times New Roman" w:eastAsia="Times New Roman" w:hAnsi="Times New Roman"/>
                <w:sz w:val="17"/>
                <w:szCs w:val="17"/>
                <w:color w:val="0000EE"/>
              </w:rPr>
              <w:t>PUBLIC ACCOUNTING FIRM</w:t>
            </w:r>
          </w:p>
        </w:tc>
        <w:tc>
          <w:tcPr>
            <w:tcW w:w="380" w:type="dxa"/>
            <w:vAlign w:val="bottom"/>
            <w:gridSpan w:val="3"/>
          </w:tcPr>
          <w:p>
            <w:pPr>
              <w:spacing w:after="0"/>
              <w:rPr>
                <w:sz w:val="16"/>
                <w:szCs w:val="16"/>
                <w:color w:val="auto"/>
              </w:rPr>
            </w:pPr>
          </w:p>
        </w:tc>
        <w:tc>
          <w:tcPr>
            <w:tcW w:w="540" w:type="dxa"/>
            <w:vAlign w:val="bottom"/>
          </w:tcPr>
          <w:p>
            <w:pPr>
              <w:jc w:val="center"/>
              <w:spacing w:after="0" w:line="189" w:lineRule="exact"/>
              <w:rPr>
                <w:sz w:val="20"/>
                <w:szCs w:val="20"/>
                <w:color w:val="auto"/>
              </w:rPr>
            </w:pPr>
            <w:r>
              <w:rPr>
                <w:rFonts w:ascii="Times New Roman" w:cs="Times New Roman" w:eastAsia="Times New Roman" w:hAnsi="Times New Roman"/>
                <w:sz w:val="17"/>
                <w:szCs w:val="17"/>
                <w:color w:val="auto"/>
              </w:rPr>
              <w:t>17</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5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0" w:type="dxa"/>
            <w:vAlign w:val="bottom"/>
            <w:tcBorders>
              <w:top w:val="single" w:sz="8" w:color="0000EE"/>
            </w:tcBorders>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5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0" w:type="dxa"/>
            <w:vAlign w:val="bottom"/>
            <w:shd w:val="clear" w:color="auto" w:fill="CDE9F6"/>
          </w:tcPr>
          <w:p>
            <w:pPr>
              <w:spacing w:after="0"/>
              <w:rPr>
                <w:sz w:val="17"/>
                <w:szCs w:val="17"/>
                <w:color w:val="auto"/>
              </w:rPr>
            </w:pPr>
          </w:p>
        </w:tc>
        <w:tc>
          <w:tcPr>
            <w:tcW w:w="7160" w:type="dxa"/>
            <w:vAlign w:val="bottom"/>
            <w:gridSpan w:val="41"/>
            <w:shd w:val="clear" w:color="auto" w:fill="CDE9F6"/>
          </w:tcPr>
          <w:p>
            <w:pPr>
              <w:spacing w:after="0"/>
              <w:rPr>
                <w:sz w:val="20"/>
                <w:szCs w:val="20"/>
                <w:color w:val="auto"/>
              </w:rPr>
            </w:pPr>
            <w:r>
              <w:rPr>
                <w:rFonts w:ascii="Times New Roman" w:cs="Times New Roman" w:eastAsia="Times New Roman" w:hAnsi="Times New Roman"/>
                <w:sz w:val="17"/>
                <w:szCs w:val="17"/>
                <w:color w:val="0000EE"/>
              </w:rPr>
              <w:t>General</w:t>
            </w:r>
          </w:p>
        </w:tc>
        <w:tc>
          <w:tcPr>
            <w:tcW w:w="540" w:type="dxa"/>
            <w:vAlign w:val="bottom"/>
            <w:shd w:val="clear" w:color="auto" w:fill="CDE9F6"/>
          </w:tcPr>
          <w:p>
            <w:pPr>
              <w:jc w:val="center"/>
              <w:spacing w:after="0"/>
              <w:rPr>
                <w:sz w:val="20"/>
                <w:szCs w:val="20"/>
                <w:color w:val="auto"/>
              </w:rPr>
            </w:pPr>
            <w:r>
              <w:rPr>
                <w:rFonts w:ascii="Times New Roman" w:cs="Times New Roman" w:eastAsia="Times New Roman" w:hAnsi="Times New Roman"/>
                <w:sz w:val="17"/>
                <w:szCs w:val="17"/>
                <w:color w:val="auto"/>
              </w:rPr>
              <w:t>17</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Borders>
              <w:top w:val="single" w:sz="8" w:color="CDE9F6"/>
            </w:tcBorders>
            <w:shd w:val="clear" w:color="auto" w:fill="CDE9F6"/>
          </w:tcPr>
          <w:p>
            <w:pPr>
              <w:spacing w:after="0"/>
              <w:rPr>
                <w:sz w:val="5"/>
                <w:szCs w:val="5"/>
                <w:color w:val="auto"/>
              </w:rPr>
            </w:pPr>
          </w:p>
        </w:tc>
        <w:tc>
          <w:tcPr>
            <w:tcW w:w="180" w:type="dxa"/>
            <w:vAlign w:val="bottom"/>
            <w:tcBorders>
              <w:top w:val="single" w:sz="8" w:color="0000EE"/>
            </w:tcBorders>
            <w:shd w:val="clear" w:color="auto" w:fill="CDE9F6"/>
          </w:tcPr>
          <w:p>
            <w:pPr>
              <w:spacing w:after="0"/>
              <w:rPr>
                <w:sz w:val="5"/>
                <w:szCs w:val="5"/>
                <w:color w:val="auto"/>
              </w:rPr>
            </w:pPr>
          </w:p>
        </w:tc>
        <w:tc>
          <w:tcPr>
            <w:tcW w:w="380" w:type="dxa"/>
            <w:vAlign w:val="bottom"/>
            <w:tcBorders>
              <w:top w:val="single" w:sz="8" w:color="0000EE"/>
            </w:tcBorders>
            <w:shd w:val="clear" w:color="auto" w:fill="CDE9F6"/>
          </w:tcPr>
          <w:p>
            <w:pPr>
              <w:spacing w:after="0"/>
              <w:rPr>
                <w:sz w:val="5"/>
                <w:szCs w:val="5"/>
                <w:color w:val="auto"/>
              </w:rPr>
            </w:pPr>
          </w:p>
        </w:tc>
        <w:tc>
          <w:tcPr>
            <w:tcW w:w="160" w:type="dxa"/>
            <w:vAlign w:val="bottom"/>
            <w:tcBorders>
              <w:top w:val="single" w:sz="8" w:color="CDE9F6"/>
            </w:tcBorders>
            <w:shd w:val="clear" w:color="auto" w:fill="CDE9F6"/>
          </w:tcPr>
          <w:p>
            <w:pPr>
              <w:spacing w:after="0"/>
              <w:rPr>
                <w:sz w:val="5"/>
                <w:szCs w:val="5"/>
                <w:color w:val="auto"/>
              </w:rPr>
            </w:pPr>
          </w:p>
        </w:tc>
        <w:tc>
          <w:tcPr>
            <w:tcW w:w="80" w:type="dxa"/>
            <w:vAlign w:val="bottom"/>
            <w:tcBorders>
              <w:top w:val="single" w:sz="8" w:color="CDE9F6"/>
            </w:tcBorders>
            <w:shd w:val="clear" w:color="auto" w:fill="CDE9F6"/>
          </w:tcPr>
          <w:p>
            <w:pPr>
              <w:spacing w:after="0"/>
              <w:rPr>
                <w:sz w:val="5"/>
                <w:szCs w:val="5"/>
                <w:color w:val="auto"/>
              </w:rPr>
            </w:pPr>
          </w:p>
        </w:tc>
        <w:tc>
          <w:tcPr>
            <w:tcW w:w="500" w:type="dxa"/>
            <w:vAlign w:val="bottom"/>
            <w:tcBorders>
              <w:top w:val="single" w:sz="8" w:color="CDE9F6"/>
            </w:tcBorders>
            <w:shd w:val="clear" w:color="auto" w:fill="CDE9F6"/>
          </w:tcPr>
          <w:p>
            <w:pPr>
              <w:spacing w:after="0"/>
              <w:rPr>
                <w:sz w:val="5"/>
                <w:szCs w:val="5"/>
                <w:color w:val="auto"/>
              </w:rPr>
            </w:pPr>
          </w:p>
        </w:tc>
        <w:tc>
          <w:tcPr>
            <w:tcW w:w="60" w:type="dxa"/>
            <w:vAlign w:val="bottom"/>
            <w:tcBorders>
              <w:top w:val="single" w:sz="8" w:color="CDE9F6"/>
            </w:tcBorders>
            <w:shd w:val="clear" w:color="auto" w:fill="CDE9F6"/>
          </w:tcPr>
          <w:p>
            <w:pPr>
              <w:spacing w:after="0"/>
              <w:rPr>
                <w:sz w:val="5"/>
                <w:szCs w:val="5"/>
                <w:color w:val="auto"/>
              </w:rPr>
            </w:pPr>
          </w:p>
        </w:tc>
        <w:tc>
          <w:tcPr>
            <w:tcW w:w="260" w:type="dxa"/>
            <w:vAlign w:val="bottom"/>
            <w:tcBorders>
              <w:top w:val="single" w:sz="8" w:color="CDE9F6"/>
            </w:tcBorders>
            <w:shd w:val="clear" w:color="auto" w:fill="CDE9F6"/>
          </w:tcPr>
          <w:p>
            <w:pPr>
              <w:spacing w:after="0"/>
              <w:rPr>
                <w:sz w:val="5"/>
                <w:szCs w:val="5"/>
                <w:color w:val="auto"/>
              </w:rPr>
            </w:pPr>
          </w:p>
        </w:tc>
        <w:tc>
          <w:tcPr>
            <w:tcW w:w="80" w:type="dxa"/>
            <w:vAlign w:val="bottom"/>
            <w:tcBorders>
              <w:top w:val="single" w:sz="8" w:color="CDE9F6"/>
            </w:tcBorders>
            <w:shd w:val="clear" w:color="auto" w:fill="CDE9F6"/>
          </w:tcPr>
          <w:p>
            <w:pPr>
              <w:spacing w:after="0"/>
              <w:rPr>
                <w:sz w:val="5"/>
                <w:szCs w:val="5"/>
                <w:color w:val="auto"/>
              </w:rPr>
            </w:pPr>
          </w:p>
        </w:tc>
        <w:tc>
          <w:tcPr>
            <w:tcW w:w="600" w:type="dxa"/>
            <w:vAlign w:val="bottom"/>
            <w:tcBorders>
              <w:top w:val="single" w:sz="8" w:color="CDE9F6"/>
            </w:tcBorders>
            <w:shd w:val="clear" w:color="auto" w:fill="CDE9F6"/>
          </w:tcPr>
          <w:p>
            <w:pPr>
              <w:spacing w:after="0"/>
              <w:rPr>
                <w:sz w:val="5"/>
                <w:szCs w:val="5"/>
                <w:color w:val="auto"/>
              </w:rPr>
            </w:pPr>
          </w:p>
        </w:tc>
        <w:tc>
          <w:tcPr>
            <w:tcW w:w="120" w:type="dxa"/>
            <w:vAlign w:val="bottom"/>
            <w:tcBorders>
              <w:top w:val="single" w:sz="8" w:color="CDE9F6"/>
            </w:tcBorders>
            <w:shd w:val="clear" w:color="auto" w:fill="CDE9F6"/>
          </w:tcPr>
          <w:p>
            <w:pPr>
              <w:spacing w:after="0"/>
              <w:rPr>
                <w:sz w:val="5"/>
                <w:szCs w:val="5"/>
                <w:color w:val="auto"/>
              </w:rPr>
            </w:pPr>
          </w:p>
        </w:tc>
        <w:tc>
          <w:tcPr>
            <w:tcW w:w="140" w:type="dxa"/>
            <w:vAlign w:val="bottom"/>
            <w:tcBorders>
              <w:top w:val="single" w:sz="8" w:color="CDE9F6"/>
            </w:tcBorders>
            <w:shd w:val="clear" w:color="auto" w:fill="CDE9F6"/>
          </w:tcPr>
          <w:p>
            <w:pPr>
              <w:spacing w:after="0"/>
              <w:rPr>
                <w:sz w:val="5"/>
                <w:szCs w:val="5"/>
                <w:color w:val="auto"/>
              </w:rPr>
            </w:pPr>
          </w:p>
        </w:tc>
        <w:tc>
          <w:tcPr>
            <w:tcW w:w="80" w:type="dxa"/>
            <w:vAlign w:val="bottom"/>
            <w:tcBorders>
              <w:top w:val="single" w:sz="8" w:color="CDE9F6"/>
            </w:tcBorders>
            <w:shd w:val="clear" w:color="auto" w:fill="CDE9F6"/>
          </w:tcPr>
          <w:p>
            <w:pPr>
              <w:spacing w:after="0"/>
              <w:rPr>
                <w:sz w:val="5"/>
                <w:szCs w:val="5"/>
                <w:color w:val="auto"/>
              </w:rPr>
            </w:pPr>
          </w:p>
        </w:tc>
        <w:tc>
          <w:tcPr>
            <w:tcW w:w="140" w:type="dxa"/>
            <w:vAlign w:val="bottom"/>
            <w:tcBorders>
              <w:top w:val="single" w:sz="8" w:color="CDE9F6"/>
            </w:tcBorders>
            <w:shd w:val="clear" w:color="auto" w:fill="CDE9F6"/>
          </w:tcPr>
          <w:p>
            <w:pPr>
              <w:spacing w:after="0"/>
              <w:rPr>
                <w:sz w:val="5"/>
                <w:szCs w:val="5"/>
                <w:color w:val="auto"/>
              </w:rPr>
            </w:pPr>
          </w:p>
        </w:tc>
        <w:tc>
          <w:tcPr>
            <w:tcW w:w="20" w:type="dxa"/>
            <w:vAlign w:val="bottom"/>
            <w:tcBorders>
              <w:top w:val="single" w:sz="8" w:color="CDE9F6"/>
            </w:tcBorders>
            <w:shd w:val="clear" w:color="auto" w:fill="CDE9F6"/>
          </w:tcPr>
          <w:p>
            <w:pPr>
              <w:spacing w:after="0"/>
              <w:rPr>
                <w:sz w:val="5"/>
                <w:szCs w:val="5"/>
                <w:color w:val="auto"/>
              </w:rPr>
            </w:pPr>
          </w:p>
        </w:tc>
        <w:tc>
          <w:tcPr>
            <w:tcW w:w="20" w:type="dxa"/>
            <w:vAlign w:val="bottom"/>
            <w:tcBorders>
              <w:top w:val="single" w:sz="8" w:color="CDE9F6"/>
            </w:tcBorders>
            <w:shd w:val="clear" w:color="auto" w:fill="CDE9F6"/>
          </w:tcPr>
          <w:p>
            <w:pPr>
              <w:spacing w:after="0"/>
              <w:rPr>
                <w:sz w:val="5"/>
                <w:szCs w:val="5"/>
                <w:color w:val="auto"/>
              </w:rPr>
            </w:pPr>
          </w:p>
        </w:tc>
        <w:tc>
          <w:tcPr>
            <w:tcW w:w="140" w:type="dxa"/>
            <w:vAlign w:val="bottom"/>
            <w:tcBorders>
              <w:top w:val="single" w:sz="8" w:color="CDE9F6"/>
            </w:tcBorders>
            <w:shd w:val="clear" w:color="auto" w:fill="CDE9F6"/>
          </w:tcPr>
          <w:p>
            <w:pPr>
              <w:spacing w:after="0"/>
              <w:rPr>
                <w:sz w:val="5"/>
                <w:szCs w:val="5"/>
                <w:color w:val="auto"/>
              </w:rPr>
            </w:pPr>
          </w:p>
        </w:tc>
        <w:tc>
          <w:tcPr>
            <w:tcW w:w="60" w:type="dxa"/>
            <w:vAlign w:val="bottom"/>
            <w:tcBorders>
              <w:top w:val="single" w:sz="8" w:color="CDE9F6"/>
            </w:tcBorders>
            <w:shd w:val="clear" w:color="auto" w:fill="CDE9F6"/>
          </w:tcPr>
          <w:p>
            <w:pPr>
              <w:spacing w:after="0"/>
              <w:rPr>
                <w:sz w:val="5"/>
                <w:szCs w:val="5"/>
                <w:color w:val="auto"/>
              </w:rPr>
            </w:pPr>
          </w:p>
        </w:tc>
        <w:tc>
          <w:tcPr>
            <w:tcW w:w="500" w:type="dxa"/>
            <w:vAlign w:val="bottom"/>
            <w:tcBorders>
              <w:top w:val="single" w:sz="8" w:color="CDE9F6"/>
            </w:tcBorders>
            <w:shd w:val="clear" w:color="auto" w:fill="CDE9F6"/>
          </w:tcPr>
          <w:p>
            <w:pPr>
              <w:spacing w:after="0"/>
              <w:rPr>
                <w:sz w:val="5"/>
                <w:szCs w:val="5"/>
                <w:color w:val="auto"/>
              </w:rPr>
            </w:pPr>
          </w:p>
        </w:tc>
        <w:tc>
          <w:tcPr>
            <w:tcW w:w="80" w:type="dxa"/>
            <w:vAlign w:val="bottom"/>
            <w:tcBorders>
              <w:top w:val="single" w:sz="8" w:color="CDE9F6"/>
            </w:tcBorders>
            <w:shd w:val="clear" w:color="auto" w:fill="CDE9F6"/>
          </w:tcPr>
          <w:p>
            <w:pPr>
              <w:spacing w:after="0"/>
              <w:rPr>
                <w:sz w:val="5"/>
                <w:szCs w:val="5"/>
                <w:color w:val="auto"/>
              </w:rPr>
            </w:pPr>
          </w:p>
        </w:tc>
        <w:tc>
          <w:tcPr>
            <w:tcW w:w="80" w:type="dxa"/>
            <w:vAlign w:val="bottom"/>
            <w:tcBorders>
              <w:top w:val="single" w:sz="8" w:color="CDE9F6"/>
            </w:tcBorders>
            <w:shd w:val="clear" w:color="auto" w:fill="CDE9F6"/>
          </w:tcPr>
          <w:p>
            <w:pPr>
              <w:spacing w:after="0"/>
              <w:rPr>
                <w:sz w:val="5"/>
                <w:szCs w:val="5"/>
                <w:color w:val="auto"/>
              </w:rPr>
            </w:pPr>
          </w:p>
        </w:tc>
        <w:tc>
          <w:tcPr>
            <w:tcW w:w="120" w:type="dxa"/>
            <w:vAlign w:val="bottom"/>
            <w:tcBorders>
              <w:top w:val="single" w:sz="8" w:color="CDE9F6"/>
            </w:tcBorders>
            <w:shd w:val="clear" w:color="auto" w:fill="CDE9F6"/>
          </w:tcPr>
          <w:p>
            <w:pPr>
              <w:spacing w:after="0"/>
              <w:rPr>
                <w:sz w:val="5"/>
                <w:szCs w:val="5"/>
                <w:color w:val="auto"/>
              </w:rPr>
            </w:pPr>
          </w:p>
        </w:tc>
        <w:tc>
          <w:tcPr>
            <w:tcW w:w="60" w:type="dxa"/>
            <w:vAlign w:val="bottom"/>
            <w:tcBorders>
              <w:top w:val="single" w:sz="8" w:color="CDE9F6"/>
            </w:tcBorders>
            <w:shd w:val="clear" w:color="auto" w:fill="CDE9F6"/>
          </w:tcPr>
          <w:p>
            <w:pPr>
              <w:spacing w:after="0"/>
              <w:rPr>
                <w:sz w:val="5"/>
                <w:szCs w:val="5"/>
                <w:color w:val="auto"/>
              </w:rPr>
            </w:pPr>
          </w:p>
        </w:tc>
        <w:tc>
          <w:tcPr>
            <w:tcW w:w="160" w:type="dxa"/>
            <w:vAlign w:val="bottom"/>
            <w:tcBorders>
              <w:top w:val="single" w:sz="8" w:color="CDE9F6"/>
            </w:tcBorders>
            <w:shd w:val="clear" w:color="auto" w:fill="CDE9F6"/>
          </w:tcPr>
          <w:p>
            <w:pPr>
              <w:spacing w:after="0"/>
              <w:rPr>
                <w:sz w:val="5"/>
                <w:szCs w:val="5"/>
                <w:color w:val="auto"/>
              </w:rPr>
            </w:pPr>
          </w:p>
        </w:tc>
        <w:tc>
          <w:tcPr>
            <w:tcW w:w="340" w:type="dxa"/>
            <w:vAlign w:val="bottom"/>
            <w:tcBorders>
              <w:top w:val="single" w:sz="8" w:color="CDE9F6"/>
            </w:tcBorders>
            <w:shd w:val="clear" w:color="auto" w:fill="CDE9F6"/>
          </w:tcPr>
          <w:p>
            <w:pPr>
              <w:spacing w:after="0"/>
              <w:rPr>
                <w:sz w:val="5"/>
                <w:szCs w:val="5"/>
                <w:color w:val="auto"/>
              </w:rPr>
            </w:pPr>
          </w:p>
        </w:tc>
        <w:tc>
          <w:tcPr>
            <w:tcW w:w="100" w:type="dxa"/>
            <w:vAlign w:val="bottom"/>
            <w:tcBorders>
              <w:top w:val="single" w:sz="8" w:color="CDE9F6"/>
            </w:tcBorders>
            <w:shd w:val="clear" w:color="auto" w:fill="CDE9F6"/>
          </w:tcPr>
          <w:p>
            <w:pPr>
              <w:spacing w:after="0"/>
              <w:rPr>
                <w:sz w:val="5"/>
                <w:szCs w:val="5"/>
                <w:color w:val="auto"/>
              </w:rPr>
            </w:pPr>
          </w:p>
        </w:tc>
        <w:tc>
          <w:tcPr>
            <w:tcW w:w="80" w:type="dxa"/>
            <w:vAlign w:val="bottom"/>
            <w:tcBorders>
              <w:top w:val="single" w:sz="8" w:color="CDE9F6"/>
            </w:tcBorders>
            <w:shd w:val="clear" w:color="auto" w:fill="CDE9F6"/>
          </w:tcPr>
          <w:p>
            <w:pPr>
              <w:spacing w:after="0"/>
              <w:rPr>
                <w:sz w:val="5"/>
                <w:szCs w:val="5"/>
                <w:color w:val="auto"/>
              </w:rPr>
            </w:pPr>
          </w:p>
        </w:tc>
        <w:tc>
          <w:tcPr>
            <w:tcW w:w="20" w:type="dxa"/>
            <w:vAlign w:val="bottom"/>
            <w:tcBorders>
              <w:top w:val="single" w:sz="8" w:color="CDE9F6"/>
            </w:tcBorders>
            <w:shd w:val="clear" w:color="auto" w:fill="CDE9F6"/>
          </w:tcPr>
          <w:p>
            <w:pPr>
              <w:spacing w:after="0"/>
              <w:rPr>
                <w:sz w:val="5"/>
                <w:szCs w:val="5"/>
                <w:color w:val="auto"/>
              </w:rPr>
            </w:pPr>
          </w:p>
        </w:tc>
        <w:tc>
          <w:tcPr>
            <w:tcW w:w="180" w:type="dxa"/>
            <w:vAlign w:val="bottom"/>
            <w:tcBorders>
              <w:top w:val="single" w:sz="8" w:color="CDE9F6"/>
            </w:tcBorders>
            <w:shd w:val="clear" w:color="auto" w:fill="CDE9F6"/>
          </w:tcPr>
          <w:p>
            <w:pPr>
              <w:spacing w:after="0"/>
              <w:rPr>
                <w:sz w:val="5"/>
                <w:szCs w:val="5"/>
                <w:color w:val="auto"/>
              </w:rPr>
            </w:pPr>
          </w:p>
        </w:tc>
        <w:tc>
          <w:tcPr>
            <w:tcW w:w="160" w:type="dxa"/>
            <w:vAlign w:val="bottom"/>
            <w:tcBorders>
              <w:top w:val="single" w:sz="8" w:color="CDE9F6"/>
            </w:tcBorders>
            <w:shd w:val="clear" w:color="auto" w:fill="CDE9F6"/>
          </w:tcPr>
          <w:p>
            <w:pPr>
              <w:spacing w:after="0"/>
              <w:rPr>
                <w:sz w:val="5"/>
                <w:szCs w:val="5"/>
                <w:color w:val="auto"/>
              </w:rPr>
            </w:pPr>
          </w:p>
        </w:tc>
        <w:tc>
          <w:tcPr>
            <w:tcW w:w="100" w:type="dxa"/>
            <w:vAlign w:val="bottom"/>
            <w:tcBorders>
              <w:top w:val="single" w:sz="8" w:color="CDE9F6"/>
            </w:tcBorders>
            <w:shd w:val="clear" w:color="auto" w:fill="CDE9F6"/>
          </w:tcPr>
          <w:p>
            <w:pPr>
              <w:spacing w:after="0"/>
              <w:rPr>
                <w:sz w:val="5"/>
                <w:szCs w:val="5"/>
                <w:color w:val="auto"/>
              </w:rPr>
            </w:pPr>
          </w:p>
        </w:tc>
        <w:tc>
          <w:tcPr>
            <w:tcW w:w="40" w:type="dxa"/>
            <w:vAlign w:val="bottom"/>
            <w:tcBorders>
              <w:top w:val="single" w:sz="8" w:color="CDE9F6"/>
            </w:tcBorders>
            <w:shd w:val="clear" w:color="auto" w:fill="CDE9F6"/>
          </w:tcPr>
          <w:p>
            <w:pPr>
              <w:spacing w:after="0"/>
              <w:rPr>
                <w:sz w:val="5"/>
                <w:szCs w:val="5"/>
                <w:color w:val="auto"/>
              </w:rPr>
            </w:pPr>
          </w:p>
        </w:tc>
        <w:tc>
          <w:tcPr>
            <w:tcW w:w="460" w:type="dxa"/>
            <w:vAlign w:val="bottom"/>
            <w:tcBorders>
              <w:top w:val="single" w:sz="8" w:color="CDE9F6"/>
            </w:tcBorders>
            <w:shd w:val="clear" w:color="auto" w:fill="CDE9F6"/>
          </w:tcPr>
          <w:p>
            <w:pPr>
              <w:spacing w:after="0"/>
              <w:rPr>
                <w:sz w:val="5"/>
                <w:szCs w:val="5"/>
                <w:color w:val="auto"/>
              </w:rPr>
            </w:pPr>
          </w:p>
        </w:tc>
        <w:tc>
          <w:tcPr>
            <w:tcW w:w="60" w:type="dxa"/>
            <w:vAlign w:val="bottom"/>
            <w:tcBorders>
              <w:top w:val="single" w:sz="8" w:color="CDE9F6"/>
            </w:tcBorders>
            <w:shd w:val="clear" w:color="auto" w:fill="CDE9F6"/>
          </w:tcPr>
          <w:p>
            <w:pPr>
              <w:spacing w:after="0"/>
              <w:rPr>
                <w:sz w:val="5"/>
                <w:szCs w:val="5"/>
                <w:color w:val="auto"/>
              </w:rPr>
            </w:pPr>
          </w:p>
        </w:tc>
        <w:tc>
          <w:tcPr>
            <w:tcW w:w="700" w:type="dxa"/>
            <w:vAlign w:val="bottom"/>
            <w:tcBorders>
              <w:top w:val="single" w:sz="8" w:color="CDE9F6"/>
            </w:tcBorders>
            <w:shd w:val="clear" w:color="auto" w:fill="CDE9F6"/>
          </w:tcPr>
          <w:p>
            <w:pPr>
              <w:spacing w:after="0"/>
              <w:rPr>
                <w:sz w:val="5"/>
                <w:szCs w:val="5"/>
                <w:color w:val="auto"/>
              </w:rPr>
            </w:pPr>
          </w:p>
        </w:tc>
        <w:tc>
          <w:tcPr>
            <w:tcW w:w="80" w:type="dxa"/>
            <w:vAlign w:val="bottom"/>
            <w:tcBorders>
              <w:top w:val="single" w:sz="8" w:color="CDE9F6"/>
            </w:tcBorders>
            <w:shd w:val="clear" w:color="auto" w:fill="CDE9F6"/>
          </w:tcPr>
          <w:p>
            <w:pPr>
              <w:spacing w:after="0"/>
              <w:rPr>
                <w:sz w:val="5"/>
                <w:szCs w:val="5"/>
                <w:color w:val="auto"/>
              </w:rPr>
            </w:pPr>
          </w:p>
        </w:tc>
        <w:tc>
          <w:tcPr>
            <w:tcW w:w="220" w:type="dxa"/>
            <w:vAlign w:val="bottom"/>
            <w:tcBorders>
              <w:top w:val="single" w:sz="8" w:color="CDE9F6"/>
            </w:tcBorders>
            <w:shd w:val="clear" w:color="auto" w:fill="CDE9F6"/>
          </w:tcPr>
          <w:p>
            <w:pPr>
              <w:spacing w:after="0"/>
              <w:rPr>
                <w:sz w:val="5"/>
                <w:szCs w:val="5"/>
                <w:color w:val="auto"/>
              </w:rPr>
            </w:pPr>
          </w:p>
        </w:tc>
        <w:tc>
          <w:tcPr>
            <w:tcW w:w="200" w:type="dxa"/>
            <w:vAlign w:val="bottom"/>
            <w:tcBorders>
              <w:top w:val="single" w:sz="8" w:color="CDE9F6"/>
            </w:tcBorders>
            <w:shd w:val="clear" w:color="auto" w:fill="CDE9F6"/>
          </w:tcPr>
          <w:p>
            <w:pPr>
              <w:spacing w:after="0"/>
              <w:rPr>
                <w:sz w:val="5"/>
                <w:szCs w:val="5"/>
                <w:color w:val="auto"/>
              </w:rPr>
            </w:pPr>
          </w:p>
        </w:tc>
        <w:tc>
          <w:tcPr>
            <w:tcW w:w="20" w:type="dxa"/>
            <w:vAlign w:val="bottom"/>
            <w:tcBorders>
              <w:top w:val="single" w:sz="8" w:color="CDE9F6"/>
            </w:tcBorders>
            <w:shd w:val="clear" w:color="auto" w:fill="CDE9F6"/>
          </w:tcPr>
          <w:p>
            <w:pPr>
              <w:spacing w:after="0"/>
              <w:rPr>
                <w:sz w:val="5"/>
                <w:szCs w:val="5"/>
                <w:color w:val="auto"/>
              </w:rPr>
            </w:pPr>
          </w:p>
        </w:tc>
        <w:tc>
          <w:tcPr>
            <w:tcW w:w="80" w:type="dxa"/>
            <w:vAlign w:val="bottom"/>
            <w:tcBorders>
              <w:top w:val="single" w:sz="8" w:color="CDE9F6"/>
            </w:tcBorders>
            <w:shd w:val="clear" w:color="auto" w:fill="CDE9F6"/>
          </w:tcPr>
          <w:p>
            <w:pPr>
              <w:spacing w:after="0"/>
              <w:rPr>
                <w:sz w:val="5"/>
                <w:szCs w:val="5"/>
                <w:color w:val="auto"/>
              </w:rPr>
            </w:pPr>
          </w:p>
        </w:tc>
        <w:tc>
          <w:tcPr>
            <w:tcW w:w="60" w:type="dxa"/>
            <w:vAlign w:val="bottom"/>
            <w:tcBorders>
              <w:top w:val="single" w:sz="8" w:color="CDE9F6"/>
            </w:tcBorders>
            <w:shd w:val="clear" w:color="auto" w:fill="CDE9F6"/>
          </w:tcPr>
          <w:p>
            <w:pPr>
              <w:spacing w:after="0"/>
              <w:rPr>
                <w:sz w:val="5"/>
                <w:szCs w:val="5"/>
                <w:color w:val="auto"/>
              </w:rPr>
            </w:pPr>
          </w:p>
        </w:tc>
        <w:tc>
          <w:tcPr>
            <w:tcW w:w="240" w:type="dxa"/>
            <w:vAlign w:val="bottom"/>
            <w:tcBorders>
              <w:top w:val="single" w:sz="8" w:color="CDE9F6"/>
            </w:tcBorders>
            <w:shd w:val="clear" w:color="auto" w:fill="CDE9F6"/>
          </w:tcPr>
          <w:p>
            <w:pPr>
              <w:spacing w:after="0"/>
              <w:rPr>
                <w:sz w:val="5"/>
                <w:szCs w:val="5"/>
                <w:color w:val="auto"/>
              </w:rPr>
            </w:pPr>
          </w:p>
        </w:tc>
        <w:tc>
          <w:tcPr>
            <w:tcW w:w="540" w:type="dxa"/>
            <w:vAlign w:val="bottom"/>
            <w:tcBorders>
              <w:top w:val="single" w:sz="8" w:color="CDE9F6"/>
            </w:tcBorders>
            <w:shd w:val="clear" w:color="auto" w:fill="CDE9F6"/>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160" w:type="dxa"/>
            <w:vAlign w:val="bottom"/>
            <w:gridSpan w:val="41"/>
          </w:tcPr>
          <w:p>
            <w:pPr>
              <w:spacing w:after="0"/>
              <w:rPr>
                <w:sz w:val="20"/>
                <w:szCs w:val="20"/>
                <w:color w:val="auto"/>
              </w:rPr>
            </w:pPr>
            <w:r>
              <w:rPr>
                <w:rFonts w:ascii="Times New Roman" w:cs="Times New Roman" w:eastAsia="Times New Roman" w:hAnsi="Times New Roman"/>
                <w:sz w:val="17"/>
                <w:szCs w:val="17"/>
                <w:color w:val="0000EE"/>
              </w:rPr>
              <w:t>Principal Accounting Fees and Services</w:t>
            </w:r>
          </w:p>
        </w:tc>
        <w:tc>
          <w:tcPr>
            <w:tcW w:w="5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17</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5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5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0" w:type="dxa"/>
            <w:vAlign w:val="bottom"/>
            <w:shd w:val="clear" w:color="auto" w:fill="CDE9F6"/>
          </w:tcPr>
          <w:p>
            <w:pPr>
              <w:spacing w:after="0"/>
              <w:rPr>
                <w:sz w:val="17"/>
                <w:szCs w:val="17"/>
                <w:color w:val="auto"/>
              </w:rPr>
            </w:pPr>
          </w:p>
        </w:tc>
        <w:tc>
          <w:tcPr>
            <w:tcW w:w="7160" w:type="dxa"/>
            <w:vAlign w:val="bottom"/>
            <w:gridSpan w:val="41"/>
            <w:shd w:val="clear" w:color="auto" w:fill="CDE9F6"/>
          </w:tcPr>
          <w:p>
            <w:pPr>
              <w:spacing w:after="0"/>
              <w:rPr>
                <w:sz w:val="20"/>
                <w:szCs w:val="20"/>
                <w:color w:val="auto"/>
              </w:rPr>
            </w:pPr>
            <w:r>
              <w:rPr>
                <w:rFonts w:ascii="Times New Roman" w:cs="Times New Roman" w:eastAsia="Times New Roman" w:hAnsi="Times New Roman"/>
                <w:sz w:val="17"/>
                <w:szCs w:val="17"/>
                <w:color w:val="0000EE"/>
              </w:rPr>
              <w:t>Approval of Audit and Non-Audit Services</w:t>
            </w:r>
          </w:p>
        </w:tc>
        <w:tc>
          <w:tcPr>
            <w:tcW w:w="540" w:type="dxa"/>
            <w:vAlign w:val="bottom"/>
            <w:shd w:val="clear" w:color="auto" w:fill="CDE9F6"/>
          </w:tcPr>
          <w:p>
            <w:pPr>
              <w:jc w:val="center"/>
              <w:spacing w:after="0"/>
              <w:rPr>
                <w:sz w:val="20"/>
                <w:szCs w:val="20"/>
                <w:color w:val="auto"/>
              </w:rPr>
            </w:pPr>
            <w:r>
              <w:rPr>
                <w:rFonts w:ascii="Times New Roman" w:cs="Times New Roman" w:eastAsia="Times New Roman" w:hAnsi="Times New Roman"/>
                <w:sz w:val="17"/>
                <w:szCs w:val="17"/>
                <w:color w:val="auto"/>
              </w:rPr>
              <w:t>17</w:t>
            </w:r>
          </w:p>
        </w:tc>
        <w:tc>
          <w:tcPr>
            <w:tcW w:w="0" w:type="dxa"/>
            <w:vAlign w:val="bottom"/>
          </w:tcPr>
          <w:p>
            <w:pPr>
              <w:spacing w:after="0"/>
              <w:rPr>
                <w:sz w:val="1"/>
                <w:szCs w:val="1"/>
                <w:color w:val="auto"/>
              </w:rPr>
            </w:pPr>
          </w:p>
        </w:tc>
      </w:tr>
      <w:tr>
        <w:trPr>
          <w:trHeight w:val="59"/>
        </w:trPr>
        <w:tc>
          <w:tcPr>
            <w:tcW w:w="20" w:type="dxa"/>
            <w:vAlign w:val="bottom"/>
            <w:vMerge w:val="restart"/>
          </w:tcPr>
          <w:p>
            <w:pPr>
              <w:spacing w:after="0"/>
              <w:rPr>
                <w:sz w:val="5"/>
                <w:szCs w:val="5"/>
                <w:color w:val="auto"/>
              </w:rPr>
            </w:pPr>
          </w:p>
        </w:tc>
        <w:tc>
          <w:tcPr>
            <w:tcW w:w="140" w:type="dxa"/>
            <w:vAlign w:val="bottom"/>
            <w:tcBorders>
              <w:top w:val="single" w:sz="8" w:color="CDE9F6"/>
            </w:tcBorders>
            <w:shd w:val="clear" w:color="auto" w:fill="CDE9F6"/>
          </w:tcPr>
          <w:p>
            <w:pPr>
              <w:spacing w:after="0"/>
              <w:rPr>
                <w:sz w:val="5"/>
                <w:szCs w:val="5"/>
                <w:color w:val="auto"/>
              </w:rPr>
            </w:pPr>
          </w:p>
        </w:tc>
        <w:tc>
          <w:tcPr>
            <w:tcW w:w="180" w:type="dxa"/>
            <w:vAlign w:val="bottom"/>
            <w:tcBorders>
              <w:top w:val="single" w:sz="8" w:color="0000EE"/>
            </w:tcBorders>
            <w:shd w:val="clear" w:color="auto" w:fill="CDE9F6"/>
          </w:tcPr>
          <w:p>
            <w:pPr>
              <w:spacing w:after="0"/>
              <w:rPr>
                <w:sz w:val="5"/>
                <w:szCs w:val="5"/>
                <w:color w:val="auto"/>
              </w:rPr>
            </w:pPr>
          </w:p>
        </w:tc>
        <w:tc>
          <w:tcPr>
            <w:tcW w:w="380" w:type="dxa"/>
            <w:vAlign w:val="bottom"/>
            <w:tcBorders>
              <w:top w:val="single" w:sz="8" w:color="0000EE"/>
            </w:tcBorders>
            <w:shd w:val="clear" w:color="auto" w:fill="CDE9F6"/>
          </w:tcPr>
          <w:p>
            <w:pPr>
              <w:spacing w:after="0"/>
              <w:rPr>
                <w:sz w:val="5"/>
                <w:szCs w:val="5"/>
                <w:color w:val="auto"/>
              </w:rPr>
            </w:pPr>
          </w:p>
        </w:tc>
        <w:tc>
          <w:tcPr>
            <w:tcW w:w="160" w:type="dxa"/>
            <w:vAlign w:val="bottom"/>
            <w:tcBorders>
              <w:top w:val="single" w:sz="8" w:color="0000EE"/>
            </w:tcBorders>
            <w:shd w:val="clear" w:color="auto" w:fill="CDE9F6"/>
          </w:tcPr>
          <w:p>
            <w:pPr>
              <w:spacing w:after="0"/>
              <w:rPr>
                <w:sz w:val="5"/>
                <w:szCs w:val="5"/>
                <w:color w:val="auto"/>
              </w:rPr>
            </w:pPr>
          </w:p>
        </w:tc>
        <w:tc>
          <w:tcPr>
            <w:tcW w:w="80" w:type="dxa"/>
            <w:vAlign w:val="bottom"/>
            <w:tcBorders>
              <w:top w:val="single" w:sz="8" w:color="0000EE"/>
            </w:tcBorders>
            <w:shd w:val="clear" w:color="auto" w:fill="CDE9F6"/>
          </w:tcPr>
          <w:p>
            <w:pPr>
              <w:spacing w:after="0"/>
              <w:rPr>
                <w:sz w:val="5"/>
                <w:szCs w:val="5"/>
                <w:color w:val="auto"/>
              </w:rPr>
            </w:pPr>
          </w:p>
        </w:tc>
        <w:tc>
          <w:tcPr>
            <w:tcW w:w="500" w:type="dxa"/>
            <w:vAlign w:val="bottom"/>
            <w:tcBorders>
              <w:top w:val="single" w:sz="8" w:color="0000EE"/>
            </w:tcBorders>
            <w:shd w:val="clear" w:color="auto" w:fill="CDE9F6"/>
          </w:tcPr>
          <w:p>
            <w:pPr>
              <w:spacing w:after="0"/>
              <w:rPr>
                <w:sz w:val="5"/>
                <w:szCs w:val="5"/>
                <w:color w:val="auto"/>
              </w:rPr>
            </w:pPr>
          </w:p>
        </w:tc>
        <w:tc>
          <w:tcPr>
            <w:tcW w:w="60" w:type="dxa"/>
            <w:vAlign w:val="bottom"/>
            <w:tcBorders>
              <w:top w:val="single" w:sz="8" w:color="0000EE"/>
            </w:tcBorders>
            <w:shd w:val="clear" w:color="auto" w:fill="CDE9F6"/>
          </w:tcPr>
          <w:p>
            <w:pPr>
              <w:spacing w:after="0"/>
              <w:rPr>
                <w:sz w:val="5"/>
                <w:szCs w:val="5"/>
                <w:color w:val="auto"/>
              </w:rPr>
            </w:pPr>
          </w:p>
        </w:tc>
        <w:tc>
          <w:tcPr>
            <w:tcW w:w="260" w:type="dxa"/>
            <w:vAlign w:val="bottom"/>
            <w:tcBorders>
              <w:top w:val="single" w:sz="8" w:color="0000EE"/>
            </w:tcBorders>
            <w:shd w:val="clear" w:color="auto" w:fill="CDE9F6"/>
          </w:tcPr>
          <w:p>
            <w:pPr>
              <w:spacing w:after="0"/>
              <w:rPr>
                <w:sz w:val="5"/>
                <w:szCs w:val="5"/>
                <w:color w:val="auto"/>
              </w:rPr>
            </w:pPr>
          </w:p>
        </w:tc>
        <w:tc>
          <w:tcPr>
            <w:tcW w:w="80" w:type="dxa"/>
            <w:vAlign w:val="bottom"/>
            <w:tcBorders>
              <w:top w:val="single" w:sz="8" w:color="0000EE"/>
            </w:tcBorders>
            <w:shd w:val="clear" w:color="auto" w:fill="CDE9F6"/>
          </w:tcPr>
          <w:p>
            <w:pPr>
              <w:spacing w:after="0"/>
              <w:rPr>
                <w:sz w:val="5"/>
                <w:szCs w:val="5"/>
                <w:color w:val="auto"/>
              </w:rPr>
            </w:pPr>
          </w:p>
        </w:tc>
        <w:tc>
          <w:tcPr>
            <w:tcW w:w="600" w:type="dxa"/>
            <w:vAlign w:val="bottom"/>
            <w:tcBorders>
              <w:top w:val="single" w:sz="8" w:color="0000EE"/>
            </w:tcBorders>
            <w:shd w:val="clear" w:color="auto" w:fill="CDE9F6"/>
          </w:tcPr>
          <w:p>
            <w:pPr>
              <w:spacing w:after="0"/>
              <w:rPr>
                <w:sz w:val="5"/>
                <w:szCs w:val="5"/>
                <w:color w:val="auto"/>
              </w:rPr>
            </w:pPr>
          </w:p>
        </w:tc>
        <w:tc>
          <w:tcPr>
            <w:tcW w:w="120" w:type="dxa"/>
            <w:vAlign w:val="bottom"/>
            <w:tcBorders>
              <w:top w:val="single" w:sz="8" w:color="0000EE"/>
            </w:tcBorders>
            <w:shd w:val="clear" w:color="auto" w:fill="CDE9F6"/>
          </w:tcPr>
          <w:p>
            <w:pPr>
              <w:spacing w:after="0"/>
              <w:rPr>
                <w:sz w:val="5"/>
                <w:szCs w:val="5"/>
                <w:color w:val="auto"/>
              </w:rPr>
            </w:pPr>
          </w:p>
        </w:tc>
        <w:tc>
          <w:tcPr>
            <w:tcW w:w="140" w:type="dxa"/>
            <w:vAlign w:val="bottom"/>
            <w:tcBorders>
              <w:top w:val="single" w:sz="8" w:color="0000EE"/>
            </w:tcBorders>
            <w:shd w:val="clear" w:color="auto" w:fill="CDE9F6"/>
          </w:tcPr>
          <w:p>
            <w:pPr>
              <w:spacing w:after="0"/>
              <w:rPr>
                <w:sz w:val="5"/>
                <w:szCs w:val="5"/>
                <w:color w:val="auto"/>
              </w:rPr>
            </w:pPr>
          </w:p>
        </w:tc>
        <w:tc>
          <w:tcPr>
            <w:tcW w:w="80" w:type="dxa"/>
            <w:vAlign w:val="bottom"/>
            <w:tcBorders>
              <w:top w:val="single" w:sz="8" w:color="0000EE"/>
            </w:tcBorders>
            <w:shd w:val="clear" w:color="auto" w:fill="CDE9F6"/>
          </w:tcPr>
          <w:p>
            <w:pPr>
              <w:spacing w:after="0"/>
              <w:rPr>
                <w:sz w:val="5"/>
                <w:szCs w:val="5"/>
                <w:color w:val="auto"/>
              </w:rPr>
            </w:pPr>
          </w:p>
        </w:tc>
        <w:tc>
          <w:tcPr>
            <w:tcW w:w="140" w:type="dxa"/>
            <w:vAlign w:val="bottom"/>
            <w:tcBorders>
              <w:top w:val="single" w:sz="8" w:color="0000EE"/>
            </w:tcBorders>
            <w:shd w:val="clear" w:color="auto" w:fill="CDE9F6"/>
          </w:tcPr>
          <w:p>
            <w:pPr>
              <w:spacing w:after="0"/>
              <w:rPr>
                <w:sz w:val="5"/>
                <w:szCs w:val="5"/>
                <w:color w:val="auto"/>
              </w:rPr>
            </w:pPr>
          </w:p>
        </w:tc>
        <w:tc>
          <w:tcPr>
            <w:tcW w:w="20" w:type="dxa"/>
            <w:vAlign w:val="bottom"/>
            <w:tcBorders>
              <w:top w:val="single" w:sz="8" w:color="0000EE"/>
            </w:tcBorders>
            <w:shd w:val="clear" w:color="auto" w:fill="CDE9F6"/>
          </w:tcPr>
          <w:p>
            <w:pPr>
              <w:spacing w:after="0"/>
              <w:rPr>
                <w:sz w:val="5"/>
                <w:szCs w:val="5"/>
                <w:color w:val="auto"/>
              </w:rPr>
            </w:pPr>
          </w:p>
        </w:tc>
        <w:tc>
          <w:tcPr>
            <w:tcW w:w="20" w:type="dxa"/>
            <w:vAlign w:val="bottom"/>
            <w:tcBorders>
              <w:top w:val="single" w:sz="8" w:color="0000EE"/>
            </w:tcBorders>
            <w:shd w:val="clear" w:color="auto" w:fill="CDE9F6"/>
          </w:tcPr>
          <w:p>
            <w:pPr>
              <w:spacing w:after="0"/>
              <w:rPr>
                <w:sz w:val="5"/>
                <w:szCs w:val="5"/>
                <w:color w:val="auto"/>
              </w:rPr>
            </w:pPr>
          </w:p>
        </w:tc>
        <w:tc>
          <w:tcPr>
            <w:tcW w:w="140" w:type="dxa"/>
            <w:vAlign w:val="bottom"/>
            <w:tcBorders>
              <w:top w:val="single" w:sz="8" w:color="0000EE"/>
            </w:tcBorders>
            <w:shd w:val="clear" w:color="auto" w:fill="CDE9F6"/>
          </w:tcPr>
          <w:p>
            <w:pPr>
              <w:spacing w:after="0"/>
              <w:rPr>
                <w:sz w:val="5"/>
                <w:szCs w:val="5"/>
                <w:color w:val="auto"/>
              </w:rPr>
            </w:pPr>
          </w:p>
        </w:tc>
        <w:tc>
          <w:tcPr>
            <w:tcW w:w="60" w:type="dxa"/>
            <w:vAlign w:val="bottom"/>
            <w:tcBorders>
              <w:top w:val="single" w:sz="8" w:color="0000EE"/>
            </w:tcBorders>
            <w:shd w:val="clear" w:color="auto" w:fill="CDE9F6"/>
          </w:tcPr>
          <w:p>
            <w:pPr>
              <w:spacing w:after="0"/>
              <w:rPr>
                <w:sz w:val="5"/>
                <w:szCs w:val="5"/>
                <w:color w:val="auto"/>
              </w:rPr>
            </w:pPr>
          </w:p>
        </w:tc>
        <w:tc>
          <w:tcPr>
            <w:tcW w:w="500" w:type="dxa"/>
            <w:vAlign w:val="bottom"/>
            <w:tcBorders>
              <w:top w:val="single" w:sz="8" w:color="CDE9F6"/>
            </w:tcBorders>
            <w:shd w:val="clear" w:color="auto" w:fill="CDE9F6"/>
          </w:tcPr>
          <w:p>
            <w:pPr>
              <w:spacing w:after="0"/>
              <w:rPr>
                <w:sz w:val="5"/>
                <w:szCs w:val="5"/>
                <w:color w:val="auto"/>
              </w:rPr>
            </w:pPr>
          </w:p>
        </w:tc>
        <w:tc>
          <w:tcPr>
            <w:tcW w:w="80" w:type="dxa"/>
            <w:vAlign w:val="bottom"/>
            <w:tcBorders>
              <w:top w:val="single" w:sz="8" w:color="CDE9F6"/>
            </w:tcBorders>
            <w:shd w:val="clear" w:color="auto" w:fill="CDE9F6"/>
          </w:tcPr>
          <w:p>
            <w:pPr>
              <w:spacing w:after="0"/>
              <w:rPr>
                <w:sz w:val="5"/>
                <w:szCs w:val="5"/>
                <w:color w:val="auto"/>
              </w:rPr>
            </w:pPr>
          </w:p>
        </w:tc>
        <w:tc>
          <w:tcPr>
            <w:tcW w:w="80" w:type="dxa"/>
            <w:vAlign w:val="bottom"/>
            <w:tcBorders>
              <w:top w:val="single" w:sz="8" w:color="CDE9F6"/>
            </w:tcBorders>
            <w:shd w:val="clear" w:color="auto" w:fill="CDE9F6"/>
          </w:tcPr>
          <w:p>
            <w:pPr>
              <w:spacing w:after="0"/>
              <w:rPr>
                <w:sz w:val="5"/>
                <w:szCs w:val="5"/>
                <w:color w:val="auto"/>
              </w:rPr>
            </w:pPr>
          </w:p>
        </w:tc>
        <w:tc>
          <w:tcPr>
            <w:tcW w:w="120" w:type="dxa"/>
            <w:vAlign w:val="bottom"/>
            <w:tcBorders>
              <w:top w:val="single" w:sz="8" w:color="CDE9F6"/>
            </w:tcBorders>
            <w:shd w:val="clear" w:color="auto" w:fill="CDE9F6"/>
          </w:tcPr>
          <w:p>
            <w:pPr>
              <w:spacing w:after="0"/>
              <w:rPr>
                <w:sz w:val="5"/>
                <w:szCs w:val="5"/>
                <w:color w:val="auto"/>
              </w:rPr>
            </w:pPr>
          </w:p>
        </w:tc>
        <w:tc>
          <w:tcPr>
            <w:tcW w:w="60" w:type="dxa"/>
            <w:vAlign w:val="bottom"/>
            <w:tcBorders>
              <w:top w:val="single" w:sz="8" w:color="CDE9F6"/>
            </w:tcBorders>
            <w:shd w:val="clear" w:color="auto" w:fill="CDE9F6"/>
          </w:tcPr>
          <w:p>
            <w:pPr>
              <w:spacing w:after="0"/>
              <w:rPr>
                <w:sz w:val="5"/>
                <w:szCs w:val="5"/>
                <w:color w:val="auto"/>
              </w:rPr>
            </w:pPr>
          </w:p>
        </w:tc>
        <w:tc>
          <w:tcPr>
            <w:tcW w:w="160" w:type="dxa"/>
            <w:vAlign w:val="bottom"/>
            <w:tcBorders>
              <w:top w:val="single" w:sz="8" w:color="CDE9F6"/>
            </w:tcBorders>
            <w:shd w:val="clear" w:color="auto" w:fill="CDE9F6"/>
          </w:tcPr>
          <w:p>
            <w:pPr>
              <w:spacing w:after="0"/>
              <w:rPr>
                <w:sz w:val="5"/>
                <w:szCs w:val="5"/>
                <w:color w:val="auto"/>
              </w:rPr>
            </w:pPr>
          </w:p>
        </w:tc>
        <w:tc>
          <w:tcPr>
            <w:tcW w:w="340" w:type="dxa"/>
            <w:vAlign w:val="bottom"/>
            <w:tcBorders>
              <w:top w:val="single" w:sz="8" w:color="CDE9F6"/>
            </w:tcBorders>
            <w:shd w:val="clear" w:color="auto" w:fill="CDE9F6"/>
          </w:tcPr>
          <w:p>
            <w:pPr>
              <w:spacing w:after="0"/>
              <w:rPr>
                <w:sz w:val="5"/>
                <w:szCs w:val="5"/>
                <w:color w:val="auto"/>
              </w:rPr>
            </w:pPr>
          </w:p>
        </w:tc>
        <w:tc>
          <w:tcPr>
            <w:tcW w:w="100" w:type="dxa"/>
            <w:vAlign w:val="bottom"/>
            <w:tcBorders>
              <w:top w:val="single" w:sz="8" w:color="CDE9F6"/>
            </w:tcBorders>
            <w:shd w:val="clear" w:color="auto" w:fill="CDE9F6"/>
          </w:tcPr>
          <w:p>
            <w:pPr>
              <w:spacing w:after="0"/>
              <w:rPr>
                <w:sz w:val="5"/>
                <w:szCs w:val="5"/>
                <w:color w:val="auto"/>
              </w:rPr>
            </w:pPr>
          </w:p>
        </w:tc>
        <w:tc>
          <w:tcPr>
            <w:tcW w:w="80" w:type="dxa"/>
            <w:vAlign w:val="bottom"/>
            <w:tcBorders>
              <w:top w:val="single" w:sz="8" w:color="CDE9F6"/>
            </w:tcBorders>
            <w:shd w:val="clear" w:color="auto" w:fill="CDE9F6"/>
          </w:tcPr>
          <w:p>
            <w:pPr>
              <w:spacing w:after="0"/>
              <w:rPr>
                <w:sz w:val="5"/>
                <w:szCs w:val="5"/>
                <w:color w:val="auto"/>
              </w:rPr>
            </w:pPr>
          </w:p>
        </w:tc>
        <w:tc>
          <w:tcPr>
            <w:tcW w:w="20" w:type="dxa"/>
            <w:vAlign w:val="bottom"/>
            <w:tcBorders>
              <w:top w:val="single" w:sz="8" w:color="CDE9F6"/>
            </w:tcBorders>
            <w:shd w:val="clear" w:color="auto" w:fill="CDE9F6"/>
          </w:tcPr>
          <w:p>
            <w:pPr>
              <w:spacing w:after="0"/>
              <w:rPr>
                <w:sz w:val="5"/>
                <w:szCs w:val="5"/>
                <w:color w:val="auto"/>
              </w:rPr>
            </w:pPr>
          </w:p>
        </w:tc>
        <w:tc>
          <w:tcPr>
            <w:tcW w:w="180" w:type="dxa"/>
            <w:vAlign w:val="bottom"/>
            <w:tcBorders>
              <w:top w:val="single" w:sz="8" w:color="CDE9F6"/>
            </w:tcBorders>
            <w:shd w:val="clear" w:color="auto" w:fill="CDE9F6"/>
          </w:tcPr>
          <w:p>
            <w:pPr>
              <w:spacing w:after="0"/>
              <w:rPr>
                <w:sz w:val="5"/>
                <w:szCs w:val="5"/>
                <w:color w:val="auto"/>
              </w:rPr>
            </w:pPr>
          </w:p>
        </w:tc>
        <w:tc>
          <w:tcPr>
            <w:tcW w:w="160" w:type="dxa"/>
            <w:vAlign w:val="bottom"/>
            <w:tcBorders>
              <w:top w:val="single" w:sz="8" w:color="CDE9F6"/>
            </w:tcBorders>
            <w:shd w:val="clear" w:color="auto" w:fill="CDE9F6"/>
          </w:tcPr>
          <w:p>
            <w:pPr>
              <w:spacing w:after="0"/>
              <w:rPr>
                <w:sz w:val="5"/>
                <w:szCs w:val="5"/>
                <w:color w:val="auto"/>
              </w:rPr>
            </w:pPr>
          </w:p>
        </w:tc>
        <w:tc>
          <w:tcPr>
            <w:tcW w:w="100" w:type="dxa"/>
            <w:vAlign w:val="bottom"/>
            <w:tcBorders>
              <w:top w:val="single" w:sz="8" w:color="CDE9F6"/>
            </w:tcBorders>
            <w:shd w:val="clear" w:color="auto" w:fill="CDE9F6"/>
          </w:tcPr>
          <w:p>
            <w:pPr>
              <w:spacing w:after="0"/>
              <w:rPr>
                <w:sz w:val="5"/>
                <w:szCs w:val="5"/>
                <w:color w:val="auto"/>
              </w:rPr>
            </w:pPr>
          </w:p>
        </w:tc>
        <w:tc>
          <w:tcPr>
            <w:tcW w:w="40" w:type="dxa"/>
            <w:vAlign w:val="bottom"/>
            <w:tcBorders>
              <w:top w:val="single" w:sz="8" w:color="CDE9F6"/>
            </w:tcBorders>
            <w:shd w:val="clear" w:color="auto" w:fill="CDE9F6"/>
          </w:tcPr>
          <w:p>
            <w:pPr>
              <w:spacing w:after="0"/>
              <w:rPr>
                <w:sz w:val="5"/>
                <w:szCs w:val="5"/>
                <w:color w:val="auto"/>
              </w:rPr>
            </w:pPr>
          </w:p>
        </w:tc>
        <w:tc>
          <w:tcPr>
            <w:tcW w:w="460" w:type="dxa"/>
            <w:vAlign w:val="bottom"/>
            <w:tcBorders>
              <w:top w:val="single" w:sz="8" w:color="CDE9F6"/>
            </w:tcBorders>
            <w:shd w:val="clear" w:color="auto" w:fill="CDE9F6"/>
          </w:tcPr>
          <w:p>
            <w:pPr>
              <w:spacing w:after="0"/>
              <w:rPr>
                <w:sz w:val="5"/>
                <w:szCs w:val="5"/>
                <w:color w:val="auto"/>
              </w:rPr>
            </w:pPr>
          </w:p>
        </w:tc>
        <w:tc>
          <w:tcPr>
            <w:tcW w:w="60" w:type="dxa"/>
            <w:vAlign w:val="bottom"/>
            <w:tcBorders>
              <w:top w:val="single" w:sz="8" w:color="CDE9F6"/>
            </w:tcBorders>
            <w:shd w:val="clear" w:color="auto" w:fill="CDE9F6"/>
          </w:tcPr>
          <w:p>
            <w:pPr>
              <w:spacing w:after="0"/>
              <w:rPr>
                <w:sz w:val="5"/>
                <w:szCs w:val="5"/>
                <w:color w:val="auto"/>
              </w:rPr>
            </w:pPr>
          </w:p>
        </w:tc>
        <w:tc>
          <w:tcPr>
            <w:tcW w:w="700" w:type="dxa"/>
            <w:vAlign w:val="bottom"/>
            <w:tcBorders>
              <w:top w:val="single" w:sz="8" w:color="CDE9F6"/>
            </w:tcBorders>
            <w:shd w:val="clear" w:color="auto" w:fill="CDE9F6"/>
          </w:tcPr>
          <w:p>
            <w:pPr>
              <w:spacing w:after="0"/>
              <w:rPr>
                <w:sz w:val="5"/>
                <w:szCs w:val="5"/>
                <w:color w:val="auto"/>
              </w:rPr>
            </w:pPr>
          </w:p>
        </w:tc>
        <w:tc>
          <w:tcPr>
            <w:tcW w:w="80" w:type="dxa"/>
            <w:vAlign w:val="bottom"/>
            <w:tcBorders>
              <w:top w:val="single" w:sz="8" w:color="CDE9F6"/>
            </w:tcBorders>
            <w:shd w:val="clear" w:color="auto" w:fill="CDE9F6"/>
          </w:tcPr>
          <w:p>
            <w:pPr>
              <w:spacing w:after="0"/>
              <w:rPr>
                <w:sz w:val="5"/>
                <w:szCs w:val="5"/>
                <w:color w:val="auto"/>
              </w:rPr>
            </w:pPr>
          </w:p>
        </w:tc>
        <w:tc>
          <w:tcPr>
            <w:tcW w:w="220" w:type="dxa"/>
            <w:vAlign w:val="bottom"/>
            <w:tcBorders>
              <w:top w:val="single" w:sz="8" w:color="CDE9F6"/>
            </w:tcBorders>
            <w:shd w:val="clear" w:color="auto" w:fill="CDE9F6"/>
          </w:tcPr>
          <w:p>
            <w:pPr>
              <w:spacing w:after="0"/>
              <w:rPr>
                <w:sz w:val="5"/>
                <w:szCs w:val="5"/>
                <w:color w:val="auto"/>
              </w:rPr>
            </w:pPr>
          </w:p>
        </w:tc>
        <w:tc>
          <w:tcPr>
            <w:tcW w:w="200" w:type="dxa"/>
            <w:vAlign w:val="bottom"/>
            <w:tcBorders>
              <w:top w:val="single" w:sz="8" w:color="CDE9F6"/>
            </w:tcBorders>
            <w:shd w:val="clear" w:color="auto" w:fill="CDE9F6"/>
          </w:tcPr>
          <w:p>
            <w:pPr>
              <w:spacing w:after="0"/>
              <w:rPr>
                <w:sz w:val="5"/>
                <w:szCs w:val="5"/>
                <w:color w:val="auto"/>
              </w:rPr>
            </w:pPr>
          </w:p>
        </w:tc>
        <w:tc>
          <w:tcPr>
            <w:tcW w:w="20" w:type="dxa"/>
            <w:vAlign w:val="bottom"/>
            <w:tcBorders>
              <w:top w:val="single" w:sz="8" w:color="CDE9F6"/>
            </w:tcBorders>
            <w:shd w:val="clear" w:color="auto" w:fill="CDE9F6"/>
          </w:tcPr>
          <w:p>
            <w:pPr>
              <w:spacing w:after="0"/>
              <w:rPr>
                <w:sz w:val="5"/>
                <w:szCs w:val="5"/>
                <w:color w:val="auto"/>
              </w:rPr>
            </w:pPr>
          </w:p>
        </w:tc>
        <w:tc>
          <w:tcPr>
            <w:tcW w:w="80" w:type="dxa"/>
            <w:vAlign w:val="bottom"/>
            <w:tcBorders>
              <w:top w:val="single" w:sz="8" w:color="CDE9F6"/>
            </w:tcBorders>
            <w:shd w:val="clear" w:color="auto" w:fill="CDE9F6"/>
          </w:tcPr>
          <w:p>
            <w:pPr>
              <w:spacing w:after="0"/>
              <w:rPr>
                <w:sz w:val="5"/>
                <w:szCs w:val="5"/>
                <w:color w:val="auto"/>
              </w:rPr>
            </w:pPr>
          </w:p>
        </w:tc>
        <w:tc>
          <w:tcPr>
            <w:tcW w:w="60" w:type="dxa"/>
            <w:vAlign w:val="bottom"/>
            <w:tcBorders>
              <w:top w:val="single" w:sz="8" w:color="CDE9F6"/>
            </w:tcBorders>
            <w:shd w:val="clear" w:color="auto" w:fill="CDE9F6"/>
          </w:tcPr>
          <w:p>
            <w:pPr>
              <w:spacing w:after="0"/>
              <w:rPr>
                <w:sz w:val="5"/>
                <w:szCs w:val="5"/>
                <w:color w:val="auto"/>
              </w:rPr>
            </w:pPr>
          </w:p>
        </w:tc>
        <w:tc>
          <w:tcPr>
            <w:tcW w:w="240" w:type="dxa"/>
            <w:vAlign w:val="bottom"/>
            <w:tcBorders>
              <w:top w:val="single" w:sz="8" w:color="CDE9F6"/>
            </w:tcBorders>
            <w:shd w:val="clear" w:color="auto" w:fill="CDE9F6"/>
          </w:tcPr>
          <w:p>
            <w:pPr>
              <w:spacing w:after="0"/>
              <w:rPr>
                <w:sz w:val="5"/>
                <w:szCs w:val="5"/>
                <w:color w:val="auto"/>
              </w:rPr>
            </w:pPr>
          </w:p>
        </w:tc>
        <w:tc>
          <w:tcPr>
            <w:tcW w:w="540" w:type="dxa"/>
            <w:vAlign w:val="bottom"/>
            <w:tcBorders>
              <w:top w:val="single" w:sz="8" w:color="CDE9F6"/>
            </w:tcBorders>
            <w:shd w:val="clear" w:color="auto" w:fill="CDE9F6"/>
          </w:tcPr>
          <w:p>
            <w:pPr>
              <w:spacing w:after="0"/>
              <w:rPr>
                <w:sz w:val="5"/>
                <w:szCs w:val="5"/>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7300" w:type="dxa"/>
            <w:vAlign w:val="bottom"/>
            <w:gridSpan w:val="42"/>
          </w:tcPr>
          <w:p>
            <w:pPr>
              <w:spacing w:after="0" w:line="171" w:lineRule="exact"/>
              <w:rPr>
                <w:sz w:val="20"/>
                <w:szCs w:val="20"/>
                <w:color w:val="auto"/>
              </w:rPr>
            </w:pPr>
            <w:r>
              <w:rPr>
                <w:rFonts w:ascii="Times New Roman" w:cs="Times New Roman" w:eastAsia="Times New Roman" w:hAnsi="Times New Roman"/>
                <w:sz w:val="17"/>
                <w:szCs w:val="17"/>
                <w:color w:val="0000EE"/>
              </w:rPr>
              <w:t>PROPOSAL THREE — ADVISORY VOTE TO APPROVE NAMED EXECUTIVE OFFICER</w:t>
            </w: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700" w:type="dxa"/>
            <w:vAlign w:val="bottom"/>
            <w:tcBorders>
              <w:top w:val="single" w:sz="8" w:color="0000EE"/>
            </w:tcBorders>
            <w:gridSpan w:val="37"/>
          </w:tcPr>
          <w:p>
            <w:pPr>
              <w:ind w:left="140"/>
              <w:spacing w:after="0" w:line="189" w:lineRule="exact"/>
              <w:rPr>
                <w:sz w:val="20"/>
                <w:szCs w:val="20"/>
                <w:color w:val="auto"/>
              </w:rPr>
            </w:pPr>
            <w:r>
              <w:rPr>
                <w:rFonts w:ascii="Times New Roman" w:cs="Times New Roman" w:eastAsia="Times New Roman" w:hAnsi="Times New Roman"/>
                <w:sz w:val="17"/>
                <w:szCs w:val="17"/>
                <w:color w:val="0000EE"/>
              </w:rPr>
              <w:t>COMPENSATION</w:t>
            </w:r>
          </w:p>
        </w:tc>
        <w:tc>
          <w:tcPr>
            <w:tcW w:w="600" w:type="dxa"/>
            <w:vAlign w:val="bottom"/>
            <w:gridSpan w:val="5"/>
          </w:tcPr>
          <w:p>
            <w:pPr>
              <w:spacing w:after="0"/>
              <w:rPr>
                <w:sz w:val="16"/>
                <w:szCs w:val="16"/>
                <w:color w:val="auto"/>
              </w:rPr>
            </w:pPr>
          </w:p>
        </w:tc>
        <w:tc>
          <w:tcPr>
            <w:tcW w:w="540" w:type="dxa"/>
            <w:vAlign w:val="bottom"/>
          </w:tcPr>
          <w:p>
            <w:pPr>
              <w:jc w:val="center"/>
              <w:spacing w:after="0" w:line="189" w:lineRule="exact"/>
              <w:rPr>
                <w:sz w:val="20"/>
                <w:szCs w:val="20"/>
                <w:color w:val="auto"/>
              </w:rPr>
            </w:pPr>
            <w:r>
              <w:rPr>
                <w:rFonts w:ascii="Times New Roman" w:cs="Times New Roman" w:eastAsia="Times New Roman" w:hAnsi="Times New Roman"/>
                <w:sz w:val="17"/>
                <w:szCs w:val="17"/>
                <w:color w:val="auto"/>
              </w:rPr>
              <w:t>18</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5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5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300" w:type="dxa"/>
            <w:vAlign w:val="bottom"/>
            <w:gridSpan w:val="42"/>
            <w:shd w:val="clear" w:color="auto" w:fill="CDE9F6"/>
          </w:tcPr>
          <w:p>
            <w:pPr>
              <w:spacing w:after="0"/>
              <w:rPr>
                <w:sz w:val="20"/>
                <w:szCs w:val="20"/>
                <w:color w:val="auto"/>
              </w:rPr>
            </w:pPr>
            <w:r>
              <w:rPr>
                <w:rFonts w:ascii="Times New Roman" w:cs="Times New Roman" w:eastAsia="Times New Roman" w:hAnsi="Times New Roman"/>
                <w:sz w:val="17"/>
                <w:szCs w:val="17"/>
                <w:color w:val="0000EE"/>
              </w:rPr>
              <w:t>CORPORATE SOCIAL RESPONSIBILITY</w:t>
            </w:r>
          </w:p>
        </w:tc>
        <w:tc>
          <w:tcPr>
            <w:tcW w:w="540" w:type="dxa"/>
            <w:vAlign w:val="bottom"/>
            <w:shd w:val="clear" w:color="auto" w:fill="CDE9F6"/>
          </w:tcPr>
          <w:p>
            <w:pPr>
              <w:jc w:val="center"/>
              <w:spacing w:after="0"/>
              <w:rPr>
                <w:sz w:val="20"/>
                <w:szCs w:val="20"/>
                <w:color w:val="auto"/>
              </w:rPr>
            </w:pPr>
            <w:r>
              <w:rPr>
                <w:rFonts w:ascii="Times New Roman" w:cs="Times New Roman" w:eastAsia="Times New Roman" w:hAnsi="Times New Roman"/>
                <w:sz w:val="17"/>
                <w:szCs w:val="17"/>
                <w:color w:val="auto"/>
              </w:rPr>
              <w:t>19</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Borders>
              <w:top w:val="single" w:sz="8" w:color="0000EE"/>
            </w:tcBorders>
            <w:shd w:val="clear" w:color="auto" w:fill="CDE9F6"/>
          </w:tcPr>
          <w:p>
            <w:pPr>
              <w:spacing w:after="0"/>
              <w:rPr>
                <w:sz w:val="5"/>
                <w:szCs w:val="5"/>
                <w:color w:val="auto"/>
              </w:rPr>
            </w:pPr>
          </w:p>
        </w:tc>
        <w:tc>
          <w:tcPr>
            <w:tcW w:w="180" w:type="dxa"/>
            <w:vAlign w:val="bottom"/>
            <w:tcBorders>
              <w:top w:val="single" w:sz="8" w:color="0000EE"/>
            </w:tcBorders>
            <w:shd w:val="clear" w:color="auto" w:fill="CDE9F6"/>
          </w:tcPr>
          <w:p>
            <w:pPr>
              <w:spacing w:after="0"/>
              <w:rPr>
                <w:sz w:val="5"/>
                <w:szCs w:val="5"/>
                <w:color w:val="auto"/>
              </w:rPr>
            </w:pPr>
          </w:p>
        </w:tc>
        <w:tc>
          <w:tcPr>
            <w:tcW w:w="380" w:type="dxa"/>
            <w:vAlign w:val="bottom"/>
            <w:tcBorders>
              <w:top w:val="single" w:sz="8" w:color="0000EE"/>
            </w:tcBorders>
            <w:shd w:val="clear" w:color="auto" w:fill="CDE9F6"/>
          </w:tcPr>
          <w:p>
            <w:pPr>
              <w:spacing w:after="0"/>
              <w:rPr>
                <w:sz w:val="5"/>
                <w:szCs w:val="5"/>
                <w:color w:val="auto"/>
              </w:rPr>
            </w:pPr>
          </w:p>
        </w:tc>
        <w:tc>
          <w:tcPr>
            <w:tcW w:w="160" w:type="dxa"/>
            <w:vAlign w:val="bottom"/>
            <w:tcBorders>
              <w:top w:val="single" w:sz="8" w:color="0000EE"/>
            </w:tcBorders>
            <w:shd w:val="clear" w:color="auto" w:fill="CDE9F6"/>
          </w:tcPr>
          <w:p>
            <w:pPr>
              <w:spacing w:after="0"/>
              <w:rPr>
                <w:sz w:val="5"/>
                <w:szCs w:val="5"/>
                <w:color w:val="auto"/>
              </w:rPr>
            </w:pPr>
          </w:p>
        </w:tc>
        <w:tc>
          <w:tcPr>
            <w:tcW w:w="80" w:type="dxa"/>
            <w:vAlign w:val="bottom"/>
            <w:tcBorders>
              <w:top w:val="single" w:sz="8" w:color="0000EE"/>
            </w:tcBorders>
            <w:shd w:val="clear" w:color="auto" w:fill="CDE9F6"/>
          </w:tcPr>
          <w:p>
            <w:pPr>
              <w:spacing w:after="0"/>
              <w:rPr>
                <w:sz w:val="5"/>
                <w:szCs w:val="5"/>
                <w:color w:val="auto"/>
              </w:rPr>
            </w:pPr>
          </w:p>
        </w:tc>
        <w:tc>
          <w:tcPr>
            <w:tcW w:w="500" w:type="dxa"/>
            <w:vAlign w:val="bottom"/>
            <w:tcBorders>
              <w:top w:val="single" w:sz="8" w:color="0000EE"/>
            </w:tcBorders>
            <w:shd w:val="clear" w:color="auto" w:fill="CDE9F6"/>
          </w:tcPr>
          <w:p>
            <w:pPr>
              <w:spacing w:after="0"/>
              <w:rPr>
                <w:sz w:val="5"/>
                <w:szCs w:val="5"/>
                <w:color w:val="auto"/>
              </w:rPr>
            </w:pPr>
          </w:p>
        </w:tc>
        <w:tc>
          <w:tcPr>
            <w:tcW w:w="60" w:type="dxa"/>
            <w:vAlign w:val="bottom"/>
            <w:tcBorders>
              <w:top w:val="single" w:sz="8" w:color="0000EE"/>
            </w:tcBorders>
            <w:shd w:val="clear" w:color="auto" w:fill="CDE9F6"/>
          </w:tcPr>
          <w:p>
            <w:pPr>
              <w:spacing w:after="0"/>
              <w:rPr>
                <w:sz w:val="5"/>
                <w:szCs w:val="5"/>
                <w:color w:val="auto"/>
              </w:rPr>
            </w:pPr>
          </w:p>
        </w:tc>
        <w:tc>
          <w:tcPr>
            <w:tcW w:w="260" w:type="dxa"/>
            <w:vAlign w:val="bottom"/>
            <w:tcBorders>
              <w:top w:val="single" w:sz="8" w:color="0000EE"/>
            </w:tcBorders>
            <w:shd w:val="clear" w:color="auto" w:fill="CDE9F6"/>
          </w:tcPr>
          <w:p>
            <w:pPr>
              <w:spacing w:after="0"/>
              <w:rPr>
                <w:sz w:val="5"/>
                <w:szCs w:val="5"/>
                <w:color w:val="auto"/>
              </w:rPr>
            </w:pPr>
          </w:p>
        </w:tc>
        <w:tc>
          <w:tcPr>
            <w:tcW w:w="80" w:type="dxa"/>
            <w:vAlign w:val="bottom"/>
            <w:tcBorders>
              <w:top w:val="single" w:sz="8" w:color="0000EE"/>
            </w:tcBorders>
            <w:shd w:val="clear" w:color="auto" w:fill="CDE9F6"/>
          </w:tcPr>
          <w:p>
            <w:pPr>
              <w:spacing w:after="0"/>
              <w:rPr>
                <w:sz w:val="5"/>
                <w:szCs w:val="5"/>
                <w:color w:val="auto"/>
              </w:rPr>
            </w:pPr>
          </w:p>
        </w:tc>
        <w:tc>
          <w:tcPr>
            <w:tcW w:w="600" w:type="dxa"/>
            <w:vAlign w:val="bottom"/>
            <w:tcBorders>
              <w:top w:val="single" w:sz="8" w:color="0000EE"/>
            </w:tcBorders>
            <w:shd w:val="clear" w:color="auto" w:fill="CDE9F6"/>
          </w:tcPr>
          <w:p>
            <w:pPr>
              <w:spacing w:after="0"/>
              <w:rPr>
                <w:sz w:val="5"/>
                <w:szCs w:val="5"/>
                <w:color w:val="auto"/>
              </w:rPr>
            </w:pPr>
          </w:p>
        </w:tc>
        <w:tc>
          <w:tcPr>
            <w:tcW w:w="120" w:type="dxa"/>
            <w:vAlign w:val="bottom"/>
            <w:tcBorders>
              <w:top w:val="single" w:sz="8" w:color="0000EE"/>
            </w:tcBorders>
            <w:shd w:val="clear" w:color="auto" w:fill="CDE9F6"/>
          </w:tcPr>
          <w:p>
            <w:pPr>
              <w:spacing w:after="0"/>
              <w:rPr>
                <w:sz w:val="5"/>
                <w:szCs w:val="5"/>
                <w:color w:val="auto"/>
              </w:rPr>
            </w:pPr>
          </w:p>
        </w:tc>
        <w:tc>
          <w:tcPr>
            <w:tcW w:w="140" w:type="dxa"/>
            <w:vAlign w:val="bottom"/>
            <w:tcBorders>
              <w:top w:val="single" w:sz="8" w:color="0000EE"/>
            </w:tcBorders>
            <w:shd w:val="clear" w:color="auto" w:fill="CDE9F6"/>
          </w:tcPr>
          <w:p>
            <w:pPr>
              <w:spacing w:after="0"/>
              <w:rPr>
                <w:sz w:val="5"/>
                <w:szCs w:val="5"/>
                <w:color w:val="auto"/>
              </w:rPr>
            </w:pPr>
          </w:p>
        </w:tc>
        <w:tc>
          <w:tcPr>
            <w:tcW w:w="80" w:type="dxa"/>
            <w:vAlign w:val="bottom"/>
            <w:tcBorders>
              <w:top w:val="single" w:sz="8" w:color="0000EE"/>
            </w:tcBorders>
            <w:shd w:val="clear" w:color="auto" w:fill="CDE9F6"/>
          </w:tcPr>
          <w:p>
            <w:pPr>
              <w:spacing w:after="0"/>
              <w:rPr>
                <w:sz w:val="5"/>
                <w:szCs w:val="5"/>
                <w:color w:val="auto"/>
              </w:rPr>
            </w:pPr>
          </w:p>
        </w:tc>
        <w:tc>
          <w:tcPr>
            <w:tcW w:w="140" w:type="dxa"/>
            <w:vAlign w:val="bottom"/>
            <w:tcBorders>
              <w:top w:val="single" w:sz="8" w:color="0000EE"/>
            </w:tcBorders>
            <w:shd w:val="clear" w:color="auto" w:fill="CDE9F6"/>
          </w:tcPr>
          <w:p>
            <w:pPr>
              <w:spacing w:after="0"/>
              <w:rPr>
                <w:sz w:val="5"/>
                <w:szCs w:val="5"/>
                <w:color w:val="auto"/>
              </w:rPr>
            </w:pPr>
          </w:p>
        </w:tc>
        <w:tc>
          <w:tcPr>
            <w:tcW w:w="20" w:type="dxa"/>
            <w:vAlign w:val="bottom"/>
            <w:tcBorders>
              <w:top w:val="single" w:sz="8" w:color="0000EE"/>
            </w:tcBorders>
            <w:shd w:val="clear" w:color="auto" w:fill="CDE9F6"/>
          </w:tcPr>
          <w:p>
            <w:pPr>
              <w:spacing w:after="0"/>
              <w:rPr>
                <w:sz w:val="5"/>
                <w:szCs w:val="5"/>
                <w:color w:val="auto"/>
              </w:rPr>
            </w:pPr>
          </w:p>
        </w:tc>
        <w:tc>
          <w:tcPr>
            <w:tcW w:w="20" w:type="dxa"/>
            <w:vAlign w:val="bottom"/>
            <w:tcBorders>
              <w:top w:val="single" w:sz="8" w:color="0000EE"/>
            </w:tcBorders>
            <w:shd w:val="clear" w:color="auto" w:fill="CDE9F6"/>
          </w:tcPr>
          <w:p>
            <w:pPr>
              <w:spacing w:after="0"/>
              <w:rPr>
                <w:sz w:val="5"/>
                <w:szCs w:val="5"/>
                <w:color w:val="auto"/>
              </w:rPr>
            </w:pPr>
          </w:p>
        </w:tc>
        <w:tc>
          <w:tcPr>
            <w:tcW w:w="140" w:type="dxa"/>
            <w:vAlign w:val="bottom"/>
            <w:tcBorders>
              <w:top w:val="single" w:sz="8" w:color="0000EE"/>
            </w:tcBorders>
            <w:shd w:val="clear" w:color="auto" w:fill="CDE9F6"/>
          </w:tcPr>
          <w:p>
            <w:pPr>
              <w:spacing w:after="0"/>
              <w:rPr>
                <w:sz w:val="5"/>
                <w:szCs w:val="5"/>
                <w:color w:val="auto"/>
              </w:rPr>
            </w:pPr>
          </w:p>
        </w:tc>
        <w:tc>
          <w:tcPr>
            <w:tcW w:w="60" w:type="dxa"/>
            <w:vAlign w:val="bottom"/>
            <w:tcBorders>
              <w:top w:val="single" w:sz="8" w:color="CDE9F6"/>
            </w:tcBorders>
            <w:shd w:val="clear" w:color="auto" w:fill="CDE9F6"/>
          </w:tcPr>
          <w:p>
            <w:pPr>
              <w:spacing w:after="0"/>
              <w:rPr>
                <w:sz w:val="5"/>
                <w:szCs w:val="5"/>
                <w:color w:val="auto"/>
              </w:rPr>
            </w:pPr>
          </w:p>
        </w:tc>
        <w:tc>
          <w:tcPr>
            <w:tcW w:w="500" w:type="dxa"/>
            <w:vAlign w:val="bottom"/>
            <w:tcBorders>
              <w:top w:val="single" w:sz="8" w:color="CDE9F6"/>
            </w:tcBorders>
            <w:shd w:val="clear" w:color="auto" w:fill="CDE9F6"/>
          </w:tcPr>
          <w:p>
            <w:pPr>
              <w:spacing w:after="0"/>
              <w:rPr>
                <w:sz w:val="5"/>
                <w:szCs w:val="5"/>
                <w:color w:val="auto"/>
              </w:rPr>
            </w:pPr>
          </w:p>
        </w:tc>
        <w:tc>
          <w:tcPr>
            <w:tcW w:w="80" w:type="dxa"/>
            <w:vAlign w:val="bottom"/>
            <w:tcBorders>
              <w:top w:val="single" w:sz="8" w:color="CDE9F6"/>
            </w:tcBorders>
            <w:shd w:val="clear" w:color="auto" w:fill="CDE9F6"/>
          </w:tcPr>
          <w:p>
            <w:pPr>
              <w:spacing w:after="0"/>
              <w:rPr>
                <w:sz w:val="5"/>
                <w:szCs w:val="5"/>
                <w:color w:val="auto"/>
              </w:rPr>
            </w:pPr>
          </w:p>
        </w:tc>
        <w:tc>
          <w:tcPr>
            <w:tcW w:w="80" w:type="dxa"/>
            <w:vAlign w:val="bottom"/>
            <w:tcBorders>
              <w:top w:val="single" w:sz="8" w:color="CDE9F6"/>
            </w:tcBorders>
            <w:shd w:val="clear" w:color="auto" w:fill="CDE9F6"/>
          </w:tcPr>
          <w:p>
            <w:pPr>
              <w:spacing w:after="0"/>
              <w:rPr>
                <w:sz w:val="5"/>
                <w:szCs w:val="5"/>
                <w:color w:val="auto"/>
              </w:rPr>
            </w:pPr>
          </w:p>
        </w:tc>
        <w:tc>
          <w:tcPr>
            <w:tcW w:w="120" w:type="dxa"/>
            <w:vAlign w:val="bottom"/>
            <w:tcBorders>
              <w:top w:val="single" w:sz="8" w:color="CDE9F6"/>
            </w:tcBorders>
            <w:shd w:val="clear" w:color="auto" w:fill="CDE9F6"/>
          </w:tcPr>
          <w:p>
            <w:pPr>
              <w:spacing w:after="0"/>
              <w:rPr>
                <w:sz w:val="5"/>
                <w:szCs w:val="5"/>
                <w:color w:val="auto"/>
              </w:rPr>
            </w:pPr>
          </w:p>
        </w:tc>
        <w:tc>
          <w:tcPr>
            <w:tcW w:w="60" w:type="dxa"/>
            <w:vAlign w:val="bottom"/>
            <w:tcBorders>
              <w:top w:val="single" w:sz="8" w:color="CDE9F6"/>
            </w:tcBorders>
            <w:shd w:val="clear" w:color="auto" w:fill="CDE9F6"/>
          </w:tcPr>
          <w:p>
            <w:pPr>
              <w:spacing w:after="0"/>
              <w:rPr>
                <w:sz w:val="5"/>
                <w:szCs w:val="5"/>
                <w:color w:val="auto"/>
              </w:rPr>
            </w:pPr>
          </w:p>
        </w:tc>
        <w:tc>
          <w:tcPr>
            <w:tcW w:w="160" w:type="dxa"/>
            <w:vAlign w:val="bottom"/>
            <w:tcBorders>
              <w:top w:val="single" w:sz="8" w:color="CDE9F6"/>
            </w:tcBorders>
            <w:shd w:val="clear" w:color="auto" w:fill="CDE9F6"/>
          </w:tcPr>
          <w:p>
            <w:pPr>
              <w:spacing w:after="0"/>
              <w:rPr>
                <w:sz w:val="5"/>
                <w:szCs w:val="5"/>
                <w:color w:val="auto"/>
              </w:rPr>
            </w:pPr>
          </w:p>
        </w:tc>
        <w:tc>
          <w:tcPr>
            <w:tcW w:w="340" w:type="dxa"/>
            <w:vAlign w:val="bottom"/>
            <w:tcBorders>
              <w:top w:val="single" w:sz="8" w:color="CDE9F6"/>
            </w:tcBorders>
            <w:shd w:val="clear" w:color="auto" w:fill="CDE9F6"/>
          </w:tcPr>
          <w:p>
            <w:pPr>
              <w:spacing w:after="0"/>
              <w:rPr>
                <w:sz w:val="5"/>
                <w:szCs w:val="5"/>
                <w:color w:val="auto"/>
              </w:rPr>
            </w:pPr>
          </w:p>
        </w:tc>
        <w:tc>
          <w:tcPr>
            <w:tcW w:w="100" w:type="dxa"/>
            <w:vAlign w:val="bottom"/>
            <w:tcBorders>
              <w:top w:val="single" w:sz="8" w:color="CDE9F6"/>
            </w:tcBorders>
            <w:shd w:val="clear" w:color="auto" w:fill="CDE9F6"/>
          </w:tcPr>
          <w:p>
            <w:pPr>
              <w:spacing w:after="0"/>
              <w:rPr>
                <w:sz w:val="5"/>
                <w:szCs w:val="5"/>
                <w:color w:val="auto"/>
              </w:rPr>
            </w:pPr>
          </w:p>
        </w:tc>
        <w:tc>
          <w:tcPr>
            <w:tcW w:w="80" w:type="dxa"/>
            <w:vAlign w:val="bottom"/>
            <w:tcBorders>
              <w:top w:val="single" w:sz="8" w:color="CDE9F6"/>
            </w:tcBorders>
            <w:shd w:val="clear" w:color="auto" w:fill="CDE9F6"/>
          </w:tcPr>
          <w:p>
            <w:pPr>
              <w:spacing w:after="0"/>
              <w:rPr>
                <w:sz w:val="5"/>
                <w:szCs w:val="5"/>
                <w:color w:val="auto"/>
              </w:rPr>
            </w:pPr>
          </w:p>
        </w:tc>
        <w:tc>
          <w:tcPr>
            <w:tcW w:w="20" w:type="dxa"/>
            <w:vAlign w:val="bottom"/>
            <w:tcBorders>
              <w:top w:val="single" w:sz="8" w:color="CDE9F6"/>
            </w:tcBorders>
            <w:shd w:val="clear" w:color="auto" w:fill="CDE9F6"/>
          </w:tcPr>
          <w:p>
            <w:pPr>
              <w:spacing w:after="0"/>
              <w:rPr>
                <w:sz w:val="5"/>
                <w:szCs w:val="5"/>
                <w:color w:val="auto"/>
              </w:rPr>
            </w:pPr>
          </w:p>
        </w:tc>
        <w:tc>
          <w:tcPr>
            <w:tcW w:w="180" w:type="dxa"/>
            <w:vAlign w:val="bottom"/>
            <w:tcBorders>
              <w:top w:val="single" w:sz="8" w:color="CDE9F6"/>
            </w:tcBorders>
            <w:shd w:val="clear" w:color="auto" w:fill="CDE9F6"/>
          </w:tcPr>
          <w:p>
            <w:pPr>
              <w:spacing w:after="0"/>
              <w:rPr>
                <w:sz w:val="5"/>
                <w:szCs w:val="5"/>
                <w:color w:val="auto"/>
              </w:rPr>
            </w:pPr>
          </w:p>
        </w:tc>
        <w:tc>
          <w:tcPr>
            <w:tcW w:w="160" w:type="dxa"/>
            <w:vAlign w:val="bottom"/>
            <w:tcBorders>
              <w:top w:val="single" w:sz="8" w:color="CDE9F6"/>
            </w:tcBorders>
            <w:shd w:val="clear" w:color="auto" w:fill="CDE9F6"/>
          </w:tcPr>
          <w:p>
            <w:pPr>
              <w:spacing w:after="0"/>
              <w:rPr>
                <w:sz w:val="5"/>
                <w:szCs w:val="5"/>
                <w:color w:val="auto"/>
              </w:rPr>
            </w:pPr>
          </w:p>
        </w:tc>
        <w:tc>
          <w:tcPr>
            <w:tcW w:w="100" w:type="dxa"/>
            <w:vAlign w:val="bottom"/>
            <w:tcBorders>
              <w:top w:val="single" w:sz="8" w:color="CDE9F6"/>
            </w:tcBorders>
            <w:shd w:val="clear" w:color="auto" w:fill="CDE9F6"/>
          </w:tcPr>
          <w:p>
            <w:pPr>
              <w:spacing w:after="0"/>
              <w:rPr>
                <w:sz w:val="5"/>
                <w:szCs w:val="5"/>
                <w:color w:val="auto"/>
              </w:rPr>
            </w:pPr>
          </w:p>
        </w:tc>
        <w:tc>
          <w:tcPr>
            <w:tcW w:w="40" w:type="dxa"/>
            <w:vAlign w:val="bottom"/>
            <w:tcBorders>
              <w:top w:val="single" w:sz="8" w:color="CDE9F6"/>
            </w:tcBorders>
            <w:shd w:val="clear" w:color="auto" w:fill="CDE9F6"/>
          </w:tcPr>
          <w:p>
            <w:pPr>
              <w:spacing w:after="0"/>
              <w:rPr>
                <w:sz w:val="5"/>
                <w:szCs w:val="5"/>
                <w:color w:val="auto"/>
              </w:rPr>
            </w:pPr>
          </w:p>
        </w:tc>
        <w:tc>
          <w:tcPr>
            <w:tcW w:w="460" w:type="dxa"/>
            <w:vAlign w:val="bottom"/>
            <w:tcBorders>
              <w:top w:val="single" w:sz="8" w:color="CDE9F6"/>
            </w:tcBorders>
            <w:shd w:val="clear" w:color="auto" w:fill="CDE9F6"/>
          </w:tcPr>
          <w:p>
            <w:pPr>
              <w:spacing w:after="0"/>
              <w:rPr>
                <w:sz w:val="5"/>
                <w:szCs w:val="5"/>
                <w:color w:val="auto"/>
              </w:rPr>
            </w:pPr>
          </w:p>
        </w:tc>
        <w:tc>
          <w:tcPr>
            <w:tcW w:w="60" w:type="dxa"/>
            <w:vAlign w:val="bottom"/>
            <w:tcBorders>
              <w:top w:val="single" w:sz="8" w:color="CDE9F6"/>
            </w:tcBorders>
            <w:shd w:val="clear" w:color="auto" w:fill="CDE9F6"/>
          </w:tcPr>
          <w:p>
            <w:pPr>
              <w:spacing w:after="0"/>
              <w:rPr>
                <w:sz w:val="5"/>
                <w:szCs w:val="5"/>
                <w:color w:val="auto"/>
              </w:rPr>
            </w:pPr>
          </w:p>
        </w:tc>
        <w:tc>
          <w:tcPr>
            <w:tcW w:w="700" w:type="dxa"/>
            <w:vAlign w:val="bottom"/>
            <w:tcBorders>
              <w:top w:val="single" w:sz="8" w:color="CDE9F6"/>
            </w:tcBorders>
            <w:shd w:val="clear" w:color="auto" w:fill="CDE9F6"/>
          </w:tcPr>
          <w:p>
            <w:pPr>
              <w:spacing w:after="0"/>
              <w:rPr>
                <w:sz w:val="5"/>
                <w:szCs w:val="5"/>
                <w:color w:val="auto"/>
              </w:rPr>
            </w:pPr>
          </w:p>
        </w:tc>
        <w:tc>
          <w:tcPr>
            <w:tcW w:w="80" w:type="dxa"/>
            <w:vAlign w:val="bottom"/>
            <w:tcBorders>
              <w:top w:val="single" w:sz="8" w:color="CDE9F6"/>
            </w:tcBorders>
            <w:shd w:val="clear" w:color="auto" w:fill="CDE9F6"/>
          </w:tcPr>
          <w:p>
            <w:pPr>
              <w:spacing w:after="0"/>
              <w:rPr>
                <w:sz w:val="5"/>
                <w:szCs w:val="5"/>
                <w:color w:val="auto"/>
              </w:rPr>
            </w:pPr>
          </w:p>
        </w:tc>
        <w:tc>
          <w:tcPr>
            <w:tcW w:w="220" w:type="dxa"/>
            <w:vAlign w:val="bottom"/>
            <w:tcBorders>
              <w:top w:val="single" w:sz="8" w:color="CDE9F6"/>
            </w:tcBorders>
            <w:shd w:val="clear" w:color="auto" w:fill="CDE9F6"/>
          </w:tcPr>
          <w:p>
            <w:pPr>
              <w:spacing w:after="0"/>
              <w:rPr>
                <w:sz w:val="5"/>
                <w:szCs w:val="5"/>
                <w:color w:val="auto"/>
              </w:rPr>
            </w:pPr>
          </w:p>
        </w:tc>
        <w:tc>
          <w:tcPr>
            <w:tcW w:w="200" w:type="dxa"/>
            <w:vAlign w:val="bottom"/>
            <w:tcBorders>
              <w:top w:val="single" w:sz="8" w:color="CDE9F6"/>
            </w:tcBorders>
            <w:shd w:val="clear" w:color="auto" w:fill="CDE9F6"/>
          </w:tcPr>
          <w:p>
            <w:pPr>
              <w:spacing w:after="0"/>
              <w:rPr>
                <w:sz w:val="5"/>
                <w:szCs w:val="5"/>
                <w:color w:val="auto"/>
              </w:rPr>
            </w:pPr>
          </w:p>
        </w:tc>
        <w:tc>
          <w:tcPr>
            <w:tcW w:w="20" w:type="dxa"/>
            <w:vAlign w:val="bottom"/>
            <w:tcBorders>
              <w:top w:val="single" w:sz="8" w:color="CDE9F6"/>
            </w:tcBorders>
            <w:shd w:val="clear" w:color="auto" w:fill="CDE9F6"/>
          </w:tcPr>
          <w:p>
            <w:pPr>
              <w:spacing w:after="0"/>
              <w:rPr>
                <w:sz w:val="5"/>
                <w:szCs w:val="5"/>
                <w:color w:val="auto"/>
              </w:rPr>
            </w:pPr>
          </w:p>
        </w:tc>
        <w:tc>
          <w:tcPr>
            <w:tcW w:w="80" w:type="dxa"/>
            <w:vAlign w:val="bottom"/>
            <w:tcBorders>
              <w:top w:val="single" w:sz="8" w:color="CDE9F6"/>
            </w:tcBorders>
            <w:shd w:val="clear" w:color="auto" w:fill="CDE9F6"/>
          </w:tcPr>
          <w:p>
            <w:pPr>
              <w:spacing w:after="0"/>
              <w:rPr>
                <w:sz w:val="5"/>
                <w:szCs w:val="5"/>
                <w:color w:val="auto"/>
              </w:rPr>
            </w:pPr>
          </w:p>
        </w:tc>
        <w:tc>
          <w:tcPr>
            <w:tcW w:w="60" w:type="dxa"/>
            <w:vAlign w:val="bottom"/>
            <w:tcBorders>
              <w:top w:val="single" w:sz="8" w:color="CDE9F6"/>
            </w:tcBorders>
            <w:shd w:val="clear" w:color="auto" w:fill="CDE9F6"/>
          </w:tcPr>
          <w:p>
            <w:pPr>
              <w:spacing w:after="0"/>
              <w:rPr>
                <w:sz w:val="5"/>
                <w:szCs w:val="5"/>
                <w:color w:val="auto"/>
              </w:rPr>
            </w:pPr>
          </w:p>
        </w:tc>
        <w:tc>
          <w:tcPr>
            <w:tcW w:w="240" w:type="dxa"/>
            <w:vAlign w:val="bottom"/>
            <w:tcBorders>
              <w:top w:val="single" w:sz="8" w:color="CDE9F6"/>
            </w:tcBorders>
            <w:shd w:val="clear" w:color="auto" w:fill="CDE9F6"/>
          </w:tcPr>
          <w:p>
            <w:pPr>
              <w:spacing w:after="0"/>
              <w:rPr>
                <w:sz w:val="5"/>
                <w:szCs w:val="5"/>
                <w:color w:val="auto"/>
              </w:rPr>
            </w:pPr>
          </w:p>
        </w:tc>
        <w:tc>
          <w:tcPr>
            <w:tcW w:w="540" w:type="dxa"/>
            <w:vAlign w:val="bottom"/>
            <w:tcBorders>
              <w:top w:val="single" w:sz="8" w:color="CDE9F6"/>
            </w:tcBorders>
            <w:shd w:val="clear" w:color="auto" w:fill="CDE9F6"/>
          </w:tcPr>
          <w:p>
            <w:pPr>
              <w:spacing w:after="0"/>
              <w:rPr>
                <w:sz w:val="5"/>
                <w:szCs w:val="5"/>
                <w:color w:val="auto"/>
              </w:rPr>
            </w:pPr>
          </w:p>
        </w:tc>
        <w:tc>
          <w:tcPr>
            <w:tcW w:w="0" w:type="dxa"/>
            <w:vAlign w:val="bottom"/>
          </w:tcPr>
          <w:p>
            <w:pPr>
              <w:spacing w:after="0"/>
              <w:rPr>
                <w:sz w:val="1"/>
                <w:szCs w:val="1"/>
                <w:color w:val="auto"/>
              </w:rPr>
            </w:pPr>
          </w:p>
        </w:tc>
      </w:tr>
    </w:tbl>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 w:name="page4"/>
    <w:bookmarkEnd w:id="3"/>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70" w:lineRule="exact"/>
        <w:rPr>
          <w:sz w:val="20"/>
          <w:szCs w:val="20"/>
          <w:color w:val="auto"/>
        </w:rPr>
      </w:pPr>
    </w:p>
    <w:tbl>
      <w:tblPr>
        <w:tblLayout w:type="fixed"/>
        <w:tblInd w:w="580" w:type="dxa"/>
        <w:tblCellMar>
          <w:top w:w="0" w:type="dxa"/>
          <w:left w:w="0" w:type="dxa"/>
          <w:bottom w:w="0" w:type="dxa"/>
          <w:right w:w="0" w:type="dxa"/>
        </w:tblCellMar>
      </w:tblPr>
      <w:tr>
        <w:trPr>
          <w:trHeight w:val="184"/>
        </w:trPr>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3"/>
        </w:trPr>
        <w:tc>
          <w:tcPr>
            <w:tcW w:w="160" w:type="dxa"/>
            <w:vAlign w:val="bottom"/>
            <w:tcBorders>
              <w:bottom w:val="single" w:sz="8" w:color="CDE9F6"/>
            </w:tcBorders>
          </w:tcPr>
          <w:p>
            <w:pPr>
              <w:spacing w:after="0"/>
              <w:rPr>
                <w:sz w:val="2"/>
                <w:szCs w:val="2"/>
                <w:color w:val="auto"/>
              </w:rPr>
            </w:pPr>
          </w:p>
        </w:tc>
        <w:tc>
          <w:tcPr>
            <w:tcW w:w="960" w:type="dxa"/>
            <w:vAlign w:val="bottom"/>
            <w:tcBorders>
              <w:bottom w:val="single" w:sz="8" w:color="CDE9F6"/>
            </w:tcBorders>
          </w:tcPr>
          <w:p>
            <w:pPr>
              <w:spacing w:after="0"/>
              <w:rPr>
                <w:sz w:val="2"/>
                <w:szCs w:val="2"/>
                <w:color w:val="auto"/>
              </w:rPr>
            </w:pPr>
          </w:p>
        </w:tc>
        <w:tc>
          <w:tcPr>
            <w:tcW w:w="300" w:type="dxa"/>
            <w:vAlign w:val="bottom"/>
            <w:tcBorders>
              <w:bottom w:val="single" w:sz="8" w:color="CDE9F6"/>
            </w:tcBorders>
          </w:tcPr>
          <w:p>
            <w:pPr>
              <w:spacing w:after="0"/>
              <w:rPr>
                <w:sz w:val="2"/>
                <w:szCs w:val="2"/>
                <w:color w:val="auto"/>
              </w:rPr>
            </w:pPr>
          </w:p>
        </w:tc>
        <w:tc>
          <w:tcPr>
            <w:tcW w:w="340" w:type="dxa"/>
            <w:vAlign w:val="bottom"/>
            <w:tcBorders>
              <w:bottom w:val="single" w:sz="8" w:color="CDE9F6"/>
            </w:tcBorders>
          </w:tcPr>
          <w:p>
            <w:pPr>
              <w:spacing w:after="0"/>
              <w:rPr>
                <w:sz w:val="2"/>
                <w:szCs w:val="2"/>
                <w:color w:val="auto"/>
              </w:rPr>
            </w:pPr>
          </w:p>
        </w:tc>
        <w:tc>
          <w:tcPr>
            <w:tcW w:w="80" w:type="dxa"/>
            <w:vAlign w:val="bottom"/>
            <w:tcBorders>
              <w:bottom w:val="single" w:sz="8" w:color="CDE9F6"/>
            </w:tcBorders>
          </w:tcPr>
          <w:p>
            <w:pPr>
              <w:spacing w:after="0"/>
              <w:rPr>
                <w:sz w:val="2"/>
                <w:szCs w:val="2"/>
                <w:color w:val="auto"/>
              </w:rPr>
            </w:pPr>
          </w:p>
        </w:tc>
        <w:tc>
          <w:tcPr>
            <w:tcW w:w="40" w:type="dxa"/>
            <w:vAlign w:val="bottom"/>
            <w:tcBorders>
              <w:bottom w:val="single" w:sz="8" w:color="CDE9F6"/>
            </w:tcBorders>
          </w:tcPr>
          <w:p>
            <w:pPr>
              <w:spacing w:after="0"/>
              <w:rPr>
                <w:sz w:val="2"/>
                <w:szCs w:val="2"/>
                <w:color w:val="auto"/>
              </w:rPr>
            </w:pPr>
          </w:p>
        </w:tc>
        <w:tc>
          <w:tcPr>
            <w:tcW w:w="160" w:type="dxa"/>
            <w:vAlign w:val="bottom"/>
            <w:tcBorders>
              <w:bottom w:val="single" w:sz="8" w:color="CDE9F6"/>
            </w:tcBorders>
          </w:tcPr>
          <w:p>
            <w:pPr>
              <w:spacing w:after="0"/>
              <w:rPr>
                <w:sz w:val="2"/>
                <w:szCs w:val="2"/>
                <w:color w:val="auto"/>
              </w:rPr>
            </w:pPr>
          </w:p>
        </w:tc>
        <w:tc>
          <w:tcPr>
            <w:tcW w:w="20" w:type="dxa"/>
            <w:vAlign w:val="bottom"/>
            <w:tcBorders>
              <w:bottom w:val="single" w:sz="8" w:color="CDE9F6"/>
            </w:tcBorders>
          </w:tcPr>
          <w:p>
            <w:pPr>
              <w:spacing w:after="0"/>
              <w:rPr>
                <w:sz w:val="2"/>
                <w:szCs w:val="2"/>
                <w:color w:val="auto"/>
              </w:rPr>
            </w:pPr>
          </w:p>
        </w:tc>
        <w:tc>
          <w:tcPr>
            <w:tcW w:w="40" w:type="dxa"/>
            <w:vAlign w:val="bottom"/>
            <w:tcBorders>
              <w:bottom w:val="single" w:sz="8" w:color="CDE9F6"/>
            </w:tcBorders>
          </w:tcPr>
          <w:p>
            <w:pPr>
              <w:spacing w:after="0"/>
              <w:rPr>
                <w:sz w:val="2"/>
                <w:szCs w:val="2"/>
                <w:color w:val="auto"/>
              </w:rPr>
            </w:pPr>
          </w:p>
        </w:tc>
        <w:tc>
          <w:tcPr>
            <w:tcW w:w="60" w:type="dxa"/>
            <w:vAlign w:val="bottom"/>
            <w:tcBorders>
              <w:bottom w:val="single" w:sz="8" w:color="CDE9F6"/>
            </w:tcBorders>
          </w:tcPr>
          <w:p>
            <w:pPr>
              <w:spacing w:after="0"/>
              <w:rPr>
                <w:sz w:val="2"/>
                <w:szCs w:val="2"/>
                <w:color w:val="auto"/>
              </w:rPr>
            </w:pPr>
          </w:p>
        </w:tc>
        <w:tc>
          <w:tcPr>
            <w:tcW w:w="20" w:type="dxa"/>
            <w:vAlign w:val="bottom"/>
            <w:tcBorders>
              <w:bottom w:val="single" w:sz="8" w:color="CDE9F6"/>
            </w:tcBorders>
          </w:tcPr>
          <w:p>
            <w:pPr>
              <w:spacing w:after="0"/>
              <w:rPr>
                <w:sz w:val="2"/>
                <w:szCs w:val="2"/>
                <w:color w:val="auto"/>
              </w:rPr>
            </w:pPr>
          </w:p>
        </w:tc>
        <w:tc>
          <w:tcPr>
            <w:tcW w:w="60" w:type="dxa"/>
            <w:vAlign w:val="bottom"/>
            <w:tcBorders>
              <w:bottom w:val="single" w:sz="8" w:color="CDE9F6"/>
            </w:tcBorders>
          </w:tcPr>
          <w:p>
            <w:pPr>
              <w:spacing w:after="0"/>
              <w:rPr>
                <w:sz w:val="2"/>
                <w:szCs w:val="2"/>
                <w:color w:val="auto"/>
              </w:rPr>
            </w:pPr>
          </w:p>
        </w:tc>
        <w:tc>
          <w:tcPr>
            <w:tcW w:w="20" w:type="dxa"/>
            <w:vAlign w:val="bottom"/>
            <w:tcBorders>
              <w:bottom w:val="single" w:sz="8" w:color="CDE9F6"/>
            </w:tcBorders>
          </w:tcPr>
          <w:p>
            <w:pPr>
              <w:spacing w:after="0"/>
              <w:rPr>
                <w:sz w:val="2"/>
                <w:szCs w:val="2"/>
                <w:color w:val="auto"/>
              </w:rPr>
            </w:pPr>
          </w:p>
        </w:tc>
        <w:tc>
          <w:tcPr>
            <w:tcW w:w="60" w:type="dxa"/>
            <w:vAlign w:val="bottom"/>
            <w:tcBorders>
              <w:bottom w:val="single" w:sz="8" w:color="CDE9F6"/>
            </w:tcBorders>
          </w:tcPr>
          <w:p>
            <w:pPr>
              <w:spacing w:after="0"/>
              <w:rPr>
                <w:sz w:val="2"/>
                <w:szCs w:val="2"/>
                <w:color w:val="auto"/>
              </w:rPr>
            </w:pPr>
          </w:p>
        </w:tc>
        <w:tc>
          <w:tcPr>
            <w:tcW w:w="40" w:type="dxa"/>
            <w:vAlign w:val="bottom"/>
            <w:tcBorders>
              <w:bottom w:val="single" w:sz="8" w:color="CDE9F6"/>
            </w:tcBorders>
          </w:tcPr>
          <w:p>
            <w:pPr>
              <w:spacing w:after="0"/>
              <w:rPr>
                <w:sz w:val="2"/>
                <w:szCs w:val="2"/>
                <w:color w:val="auto"/>
              </w:rPr>
            </w:pPr>
          </w:p>
        </w:tc>
        <w:tc>
          <w:tcPr>
            <w:tcW w:w="60" w:type="dxa"/>
            <w:vAlign w:val="bottom"/>
            <w:tcBorders>
              <w:bottom w:val="single" w:sz="8" w:color="CDE9F6"/>
            </w:tcBorders>
          </w:tcPr>
          <w:p>
            <w:pPr>
              <w:spacing w:after="0"/>
              <w:rPr>
                <w:sz w:val="2"/>
                <w:szCs w:val="2"/>
                <w:color w:val="auto"/>
              </w:rPr>
            </w:pPr>
          </w:p>
        </w:tc>
        <w:tc>
          <w:tcPr>
            <w:tcW w:w="60" w:type="dxa"/>
            <w:vAlign w:val="bottom"/>
            <w:tcBorders>
              <w:bottom w:val="single" w:sz="8" w:color="CDE9F6"/>
            </w:tcBorders>
          </w:tcPr>
          <w:p>
            <w:pPr>
              <w:spacing w:after="0"/>
              <w:rPr>
                <w:sz w:val="2"/>
                <w:szCs w:val="2"/>
                <w:color w:val="auto"/>
              </w:rPr>
            </w:pPr>
          </w:p>
        </w:tc>
        <w:tc>
          <w:tcPr>
            <w:tcW w:w="60" w:type="dxa"/>
            <w:vAlign w:val="bottom"/>
            <w:tcBorders>
              <w:bottom w:val="single" w:sz="8" w:color="CDE9F6"/>
            </w:tcBorders>
          </w:tcPr>
          <w:p>
            <w:pPr>
              <w:spacing w:after="0"/>
              <w:rPr>
                <w:sz w:val="2"/>
                <w:szCs w:val="2"/>
                <w:color w:val="auto"/>
              </w:rPr>
            </w:pPr>
          </w:p>
        </w:tc>
        <w:tc>
          <w:tcPr>
            <w:tcW w:w="20" w:type="dxa"/>
            <w:vAlign w:val="bottom"/>
            <w:tcBorders>
              <w:bottom w:val="single" w:sz="8" w:color="CDE9F6"/>
            </w:tcBorders>
          </w:tcPr>
          <w:p>
            <w:pPr>
              <w:spacing w:after="0"/>
              <w:rPr>
                <w:sz w:val="2"/>
                <w:szCs w:val="2"/>
                <w:color w:val="auto"/>
              </w:rPr>
            </w:pPr>
          </w:p>
        </w:tc>
        <w:tc>
          <w:tcPr>
            <w:tcW w:w="160" w:type="dxa"/>
            <w:vAlign w:val="bottom"/>
            <w:tcBorders>
              <w:bottom w:val="single" w:sz="8" w:color="CDE9F6"/>
            </w:tcBorders>
          </w:tcPr>
          <w:p>
            <w:pPr>
              <w:spacing w:after="0"/>
              <w:rPr>
                <w:sz w:val="2"/>
                <w:szCs w:val="2"/>
                <w:color w:val="auto"/>
              </w:rPr>
            </w:pPr>
          </w:p>
        </w:tc>
        <w:tc>
          <w:tcPr>
            <w:tcW w:w="80" w:type="dxa"/>
            <w:vAlign w:val="bottom"/>
            <w:tcBorders>
              <w:bottom w:val="single" w:sz="8" w:color="CDE9F6"/>
            </w:tcBorders>
          </w:tcPr>
          <w:p>
            <w:pPr>
              <w:spacing w:after="0"/>
              <w:rPr>
                <w:sz w:val="2"/>
                <w:szCs w:val="2"/>
                <w:color w:val="auto"/>
              </w:rPr>
            </w:pPr>
          </w:p>
        </w:tc>
        <w:tc>
          <w:tcPr>
            <w:tcW w:w="120" w:type="dxa"/>
            <w:vAlign w:val="bottom"/>
            <w:tcBorders>
              <w:bottom w:val="single" w:sz="8" w:color="CDE9F6"/>
            </w:tcBorders>
          </w:tcPr>
          <w:p>
            <w:pPr>
              <w:spacing w:after="0"/>
              <w:rPr>
                <w:sz w:val="2"/>
                <w:szCs w:val="2"/>
                <w:color w:val="auto"/>
              </w:rPr>
            </w:pPr>
          </w:p>
        </w:tc>
        <w:tc>
          <w:tcPr>
            <w:tcW w:w="20" w:type="dxa"/>
            <w:vAlign w:val="bottom"/>
            <w:tcBorders>
              <w:bottom w:val="single" w:sz="8" w:color="CDE9F6"/>
            </w:tcBorders>
          </w:tcPr>
          <w:p>
            <w:pPr>
              <w:spacing w:after="0"/>
              <w:rPr>
                <w:sz w:val="2"/>
                <w:szCs w:val="2"/>
                <w:color w:val="auto"/>
              </w:rPr>
            </w:pPr>
          </w:p>
        </w:tc>
        <w:tc>
          <w:tcPr>
            <w:tcW w:w="20" w:type="dxa"/>
            <w:vAlign w:val="bottom"/>
            <w:tcBorders>
              <w:bottom w:val="single" w:sz="8" w:color="CDE9F6"/>
            </w:tcBorders>
          </w:tcPr>
          <w:p>
            <w:pPr>
              <w:spacing w:after="0"/>
              <w:rPr>
                <w:sz w:val="2"/>
                <w:szCs w:val="2"/>
                <w:color w:val="auto"/>
              </w:rPr>
            </w:pPr>
          </w:p>
        </w:tc>
        <w:tc>
          <w:tcPr>
            <w:tcW w:w="200" w:type="dxa"/>
            <w:vAlign w:val="bottom"/>
            <w:tcBorders>
              <w:bottom w:val="single" w:sz="8" w:color="CDE9F6"/>
            </w:tcBorders>
          </w:tcPr>
          <w:p>
            <w:pPr>
              <w:spacing w:after="0"/>
              <w:rPr>
                <w:sz w:val="2"/>
                <w:szCs w:val="2"/>
                <w:color w:val="auto"/>
              </w:rPr>
            </w:pPr>
          </w:p>
        </w:tc>
        <w:tc>
          <w:tcPr>
            <w:tcW w:w="20" w:type="dxa"/>
            <w:vAlign w:val="bottom"/>
            <w:tcBorders>
              <w:bottom w:val="single" w:sz="8" w:color="CDE9F6"/>
            </w:tcBorders>
          </w:tcPr>
          <w:p>
            <w:pPr>
              <w:spacing w:after="0"/>
              <w:rPr>
                <w:sz w:val="2"/>
                <w:szCs w:val="2"/>
                <w:color w:val="auto"/>
              </w:rPr>
            </w:pPr>
          </w:p>
        </w:tc>
        <w:tc>
          <w:tcPr>
            <w:tcW w:w="60" w:type="dxa"/>
            <w:vAlign w:val="bottom"/>
            <w:tcBorders>
              <w:bottom w:val="single" w:sz="8" w:color="CDE9F6"/>
            </w:tcBorders>
          </w:tcPr>
          <w:p>
            <w:pPr>
              <w:spacing w:after="0"/>
              <w:rPr>
                <w:sz w:val="2"/>
                <w:szCs w:val="2"/>
                <w:color w:val="auto"/>
              </w:rPr>
            </w:pPr>
          </w:p>
        </w:tc>
        <w:tc>
          <w:tcPr>
            <w:tcW w:w="200" w:type="dxa"/>
            <w:vAlign w:val="bottom"/>
            <w:tcBorders>
              <w:bottom w:val="single" w:sz="8" w:color="CDE9F6"/>
            </w:tcBorders>
          </w:tcPr>
          <w:p>
            <w:pPr>
              <w:spacing w:after="0"/>
              <w:rPr>
                <w:sz w:val="2"/>
                <w:szCs w:val="2"/>
                <w:color w:val="auto"/>
              </w:rPr>
            </w:pPr>
          </w:p>
        </w:tc>
        <w:tc>
          <w:tcPr>
            <w:tcW w:w="820" w:type="dxa"/>
            <w:vAlign w:val="bottom"/>
            <w:tcBorders>
              <w:bottom w:val="single" w:sz="8" w:color="CDE9F6"/>
            </w:tcBorders>
          </w:tcPr>
          <w:p>
            <w:pPr>
              <w:spacing w:after="0"/>
              <w:rPr>
                <w:sz w:val="2"/>
                <w:szCs w:val="2"/>
                <w:color w:val="auto"/>
              </w:rPr>
            </w:pPr>
          </w:p>
        </w:tc>
        <w:tc>
          <w:tcPr>
            <w:tcW w:w="120" w:type="dxa"/>
            <w:vAlign w:val="bottom"/>
            <w:tcBorders>
              <w:bottom w:val="single" w:sz="8" w:color="CDE9F6"/>
            </w:tcBorders>
          </w:tcPr>
          <w:p>
            <w:pPr>
              <w:spacing w:after="0"/>
              <w:rPr>
                <w:sz w:val="2"/>
                <w:szCs w:val="2"/>
                <w:color w:val="auto"/>
              </w:rPr>
            </w:pPr>
          </w:p>
        </w:tc>
        <w:tc>
          <w:tcPr>
            <w:tcW w:w="340" w:type="dxa"/>
            <w:vAlign w:val="bottom"/>
            <w:tcBorders>
              <w:bottom w:val="single" w:sz="8" w:color="CDE9F6"/>
            </w:tcBorders>
          </w:tcPr>
          <w:p>
            <w:pPr>
              <w:spacing w:after="0"/>
              <w:rPr>
                <w:sz w:val="2"/>
                <w:szCs w:val="2"/>
                <w:color w:val="auto"/>
              </w:rPr>
            </w:pPr>
          </w:p>
        </w:tc>
        <w:tc>
          <w:tcPr>
            <w:tcW w:w="40" w:type="dxa"/>
            <w:vAlign w:val="bottom"/>
            <w:tcBorders>
              <w:bottom w:val="single" w:sz="8" w:color="CDE9F6"/>
            </w:tcBorders>
          </w:tcPr>
          <w:p>
            <w:pPr>
              <w:spacing w:after="0"/>
              <w:rPr>
                <w:sz w:val="2"/>
                <w:szCs w:val="2"/>
                <w:color w:val="auto"/>
              </w:rPr>
            </w:pPr>
          </w:p>
        </w:tc>
        <w:tc>
          <w:tcPr>
            <w:tcW w:w="600" w:type="dxa"/>
            <w:vAlign w:val="bottom"/>
            <w:tcBorders>
              <w:bottom w:val="single" w:sz="8" w:color="CDE9F6"/>
            </w:tcBorders>
          </w:tcPr>
          <w:p>
            <w:pPr>
              <w:spacing w:after="0"/>
              <w:rPr>
                <w:sz w:val="2"/>
                <w:szCs w:val="2"/>
                <w:color w:val="auto"/>
              </w:rPr>
            </w:pPr>
          </w:p>
        </w:tc>
        <w:tc>
          <w:tcPr>
            <w:tcW w:w="220" w:type="dxa"/>
            <w:vAlign w:val="bottom"/>
            <w:tcBorders>
              <w:bottom w:val="single" w:sz="8" w:color="CDE9F6"/>
            </w:tcBorders>
          </w:tcPr>
          <w:p>
            <w:pPr>
              <w:spacing w:after="0"/>
              <w:rPr>
                <w:sz w:val="2"/>
                <w:szCs w:val="2"/>
                <w:color w:val="auto"/>
              </w:rPr>
            </w:pPr>
          </w:p>
        </w:tc>
        <w:tc>
          <w:tcPr>
            <w:tcW w:w="220" w:type="dxa"/>
            <w:vAlign w:val="bottom"/>
            <w:tcBorders>
              <w:bottom w:val="single" w:sz="8" w:color="CDE9F6"/>
            </w:tcBorders>
          </w:tcPr>
          <w:p>
            <w:pPr>
              <w:spacing w:after="0"/>
              <w:rPr>
                <w:sz w:val="2"/>
                <w:szCs w:val="2"/>
                <w:color w:val="auto"/>
              </w:rPr>
            </w:pPr>
          </w:p>
        </w:tc>
        <w:tc>
          <w:tcPr>
            <w:tcW w:w="1520" w:type="dxa"/>
            <w:vAlign w:val="bottom"/>
            <w:tcBorders>
              <w:bottom w:val="single" w:sz="8" w:color="CDE9F6"/>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35"/>
        </w:trPr>
        <w:tc>
          <w:tcPr>
            <w:tcW w:w="2260" w:type="dxa"/>
            <w:vAlign w:val="bottom"/>
            <w:tcBorders>
              <w:bottom w:val="single" w:sz="8" w:color="0000EE"/>
            </w:tcBorders>
            <w:gridSpan w:val="13"/>
            <w:shd w:val="clear" w:color="auto" w:fill="CDE9F6"/>
          </w:tcPr>
          <w:p>
            <w:pPr>
              <w:spacing w:after="0" w:line="176" w:lineRule="exact"/>
              <w:rPr>
                <w:sz w:val="20"/>
                <w:szCs w:val="20"/>
                <w:color w:val="auto"/>
              </w:rPr>
            </w:pPr>
            <w:r>
              <w:rPr>
                <w:rFonts w:ascii="Times New Roman" w:cs="Times New Roman" w:eastAsia="Times New Roman" w:hAnsi="Times New Roman"/>
                <w:sz w:val="17"/>
                <w:szCs w:val="17"/>
                <w:color w:val="0000EE"/>
              </w:rPr>
              <w:t>CORPORATE GOVERNANCE</w:t>
            </w:r>
          </w:p>
        </w:tc>
        <w:tc>
          <w:tcPr>
            <w:tcW w:w="5060" w:type="dxa"/>
            <w:vAlign w:val="bottom"/>
            <w:tcBorders>
              <w:bottom w:val="single" w:sz="8" w:color="CDE9F6"/>
            </w:tcBorders>
            <w:gridSpan w:val="23"/>
            <w:shd w:val="clear" w:color="auto" w:fill="CDE9F6"/>
          </w:tcPr>
          <w:p>
            <w:pPr>
              <w:spacing w:after="0"/>
              <w:rPr>
                <w:sz w:val="20"/>
                <w:szCs w:val="20"/>
                <w:color w:val="auto"/>
              </w:rPr>
            </w:pPr>
          </w:p>
        </w:tc>
        <w:tc>
          <w:tcPr>
            <w:tcW w:w="540" w:type="dxa"/>
            <w:vAlign w:val="bottom"/>
            <w:tcBorders>
              <w:bottom w:val="single" w:sz="8" w:color="CDE9F6"/>
            </w:tcBorders>
            <w:shd w:val="clear" w:color="auto" w:fill="CDE9F6"/>
          </w:tcPr>
          <w:p>
            <w:pPr>
              <w:jc w:val="center"/>
              <w:spacing w:after="0" w:line="176" w:lineRule="exact"/>
              <w:rPr>
                <w:sz w:val="20"/>
                <w:szCs w:val="20"/>
                <w:color w:val="auto"/>
              </w:rPr>
            </w:pPr>
            <w:r>
              <w:rPr>
                <w:rFonts w:ascii="Times New Roman" w:cs="Times New Roman" w:eastAsia="Times New Roman" w:hAnsi="Times New Roman"/>
                <w:sz w:val="17"/>
                <w:szCs w:val="17"/>
                <w:color w:val="auto"/>
              </w:rPr>
              <w:t>22</w:t>
            </w:r>
          </w:p>
        </w:tc>
      </w:tr>
      <w:tr>
        <w:trPr>
          <w:trHeight w:val="196"/>
        </w:trPr>
        <w:tc>
          <w:tcPr>
            <w:tcW w:w="7320" w:type="dxa"/>
            <w:vAlign w:val="bottom"/>
            <w:gridSpan w:val="36"/>
          </w:tcPr>
          <w:p>
            <w:pPr>
              <w:ind w:left="160"/>
              <w:spacing w:after="0"/>
              <w:rPr>
                <w:sz w:val="20"/>
                <w:szCs w:val="20"/>
                <w:color w:val="auto"/>
              </w:rPr>
            </w:pPr>
            <w:r>
              <w:rPr>
                <w:rFonts w:ascii="Times New Roman" w:cs="Times New Roman" w:eastAsia="Times New Roman" w:hAnsi="Times New Roman"/>
                <w:sz w:val="17"/>
                <w:szCs w:val="17"/>
                <w:color w:val="0000EE"/>
              </w:rPr>
              <w:t>Corporate Governance Guidelines</w:t>
            </w:r>
          </w:p>
        </w:tc>
        <w:tc>
          <w:tcPr>
            <w:tcW w:w="5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22</w:t>
            </w:r>
          </w:p>
        </w:tc>
      </w:tr>
      <w:tr>
        <w:trPr>
          <w:trHeight w:val="59"/>
        </w:trPr>
        <w:tc>
          <w:tcPr>
            <w:tcW w:w="160" w:type="dxa"/>
            <w:vAlign w:val="bottom"/>
          </w:tcPr>
          <w:p>
            <w:pPr>
              <w:spacing w:after="0"/>
              <w:rPr>
                <w:sz w:val="5"/>
                <w:szCs w:val="5"/>
                <w:color w:val="auto"/>
              </w:rPr>
            </w:pPr>
          </w:p>
        </w:tc>
        <w:tc>
          <w:tcPr>
            <w:tcW w:w="96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520" w:type="dxa"/>
            <w:vAlign w:val="bottom"/>
          </w:tcPr>
          <w:p>
            <w:pPr>
              <w:spacing w:after="0"/>
              <w:rPr>
                <w:sz w:val="5"/>
                <w:szCs w:val="5"/>
                <w:color w:val="auto"/>
              </w:rPr>
            </w:pPr>
          </w:p>
        </w:tc>
        <w:tc>
          <w:tcPr>
            <w:tcW w:w="540" w:type="dxa"/>
            <w:vAlign w:val="bottom"/>
          </w:tcPr>
          <w:p>
            <w:pPr>
              <w:spacing w:after="0"/>
              <w:rPr>
                <w:sz w:val="5"/>
                <w:szCs w:val="5"/>
                <w:color w:val="auto"/>
              </w:rPr>
            </w:pPr>
          </w:p>
        </w:tc>
      </w:tr>
      <w:tr>
        <w:trPr>
          <w:trHeight w:val="255"/>
        </w:trPr>
        <w:tc>
          <w:tcPr>
            <w:tcW w:w="160" w:type="dxa"/>
            <w:vAlign w:val="bottom"/>
            <w:shd w:val="clear" w:color="auto" w:fill="CDE9F6"/>
          </w:tcPr>
          <w:p>
            <w:pPr>
              <w:spacing w:after="0"/>
              <w:rPr>
                <w:sz w:val="22"/>
                <w:szCs w:val="22"/>
                <w:color w:val="auto"/>
              </w:rPr>
            </w:pPr>
          </w:p>
        </w:tc>
        <w:tc>
          <w:tcPr>
            <w:tcW w:w="7160" w:type="dxa"/>
            <w:vAlign w:val="bottom"/>
            <w:gridSpan w:val="35"/>
            <w:shd w:val="clear" w:color="auto" w:fill="CDE9F6"/>
          </w:tcPr>
          <w:p>
            <w:pPr>
              <w:spacing w:after="0"/>
              <w:rPr>
                <w:sz w:val="20"/>
                <w:szCs w:val="20"/>
                <w:color w:val="auto"/>
              </w:rPr>
            </w:pPr>
            <w:r>
              <w:rPr>
                <w:rFonts w:ascii="Times New Roman" w:cs="Times New Roman" w:eastAsia="Times New Roman" w:hAnsi="Times New Roman"/>
                <w:sz w:val="17"/>
                <w:szCs w:val="17"/>
                <w:color w:val="0000EE"/>
              </w:rPr>
              <w:t>Code of Business Conduct and Ethics</w:t>
            </w:r>
          </w:p>
        </w:tc>
        <w:tc>
          <w:tcPr>
            <w:tcW w:w="540" w:type="dxa"/>
            <w:vAlign w:val="bottom"/>
            <w:shd w:val="clear" w:color="auto" w:fill="CDE9F6"/>
          </w:tcPr>
          <w:p>
            <w:pPr>
              <w:jc w:val="center"/>
              <w:spacing w:after="0"/>
              <w:rPr>
                <w:sz w:val="20"/>
                <w:szCs w:val="20"/>
                <w:color w:val="auto"/>
              </w:rPr>
            </w:pPr>
            <w:r>
              <w:rPr>
                <w:rFonts w:ascii="Times New Roman" w:cs="Times New Roman" w:eastAsia="Times New Roman" w:hAnsi="Times New Roman"/>
                <w:sz w:val="17"/>
                <w:szCs w:val="17"/>
                <w:color w:val="auto"/>
              </w:rPr>
              <w:t>22</w:t>
            </w:r>
          </w:p>
        </w:tc>
      </w:tr>
      <w:tr>
        <w:trPr>
          <w:trHeight w:val="196"/>
        </w:trPr>
        <w:tc>
          <w:tcPr>
            <w:tcW w:w="160" w:type="dxa"/>
            <w:vAlign w:val="bottom"/>
            <w:tcBorders>
              <w:top w:val="single" w:sz="8" w:color="CDE9F6"/>
            </w:tcBorders>
          </w:tcPr>
          <w:p>
            <w:pPr>
              <w:spacing w:after="0"/>
              <w:rPr>
                <w:sz w:val="17"/>
                <w:szCs w:val="17"/>
                <w:color w:val="auto"/>
              </w:rPr>
            </w:pPr>
          </w:p>
        </w:tc>
        <w:tc>
          <w:tcPr>
            <w:tcW w:w="2640" w:type="dxa"/>
            <w:vAlign w:val="bottom"/>
            <w:tcBorders>
              <w:top w:val="single" w:sz="8" w:color="0000EE"/>
            </w:tcBorders>
            <w:gridSpan w:val="20"/>
          </w:tcPr>
          <w:p>
            <w:pPr>
              <w:spacing w:after="0"/>
              <w:rPr>
                <w:sz w:val="20"/>
                <w:szCs w:val="20"/>
                <w:color w:val="auto"/>
              </w:rPr>
            </w:pPr>
            <w:r>
              <w:rPr>
                <w:rFonts w:ascii="Times New Roman" w:cs="Times New Roman" w:eastAsia="Times New Roman" w:hAnsi="Times New Roman"/>
                <w:sz w:val="17"/>
                <w:szCs w:val="17"/>
                <w:color w:val="0000EE"/>
              </w:rPr>
              <w:t>Human Capital Management</w:t>
            </w:r>
          </w:p>
        </w:tc>
        <w:tc>
          <w:tcPr>
            <w:tcW w:w="4520" w:type="dxa"/>
            <w:vAlign w:val="bottom"/>
            <w:tcBorders>
              <w:top w:val="single" w:sz="8" w:color="CDE9F6"/>
            </w:tcBorders>
            <w:gridSpan w:val="15"/>
          </w:tcPr>
          <w:p>
            <w:pPr>
              <w:spacing w:after="0"/>
              <w:rPr>
                <w:sz w:val="17"/>
                <w:szCs w:val="17"/>
                <w:color w:val="auto"/>
              </w:rPr>
            </w:pPr>
          </w:p>
        </w:tc>
        <w:tc>
          <w:tcPr>
            <w:tcW w:w="540" w:type="dxa"/>
            <w:vAlign w:val="bottom"/>
            <w:tcBorders>
              <w:top w:val="single" w:sz="8" w:color="CDE9F6"/>
            </w:tcBorders>
          </w:tcPr>
          <w:p>
            <w:pPr>
              <w:jc w:val="center"/>
              <w:spacing w:after="0"/>
              <w:rPr>
                <w:sz w:val="20"/>
                <w:szCs w:val="20"/>
                <w:color w:val="auto"/>
              </w:rPr>
            </w:pPr>
            <w:r>
              <w:rPr>
                <w:rFonts w:ascii="Times New Roman" w:cs="Times New Roman" w:eastAsia="Times New Roman" w:hAnsi="Times New Roman"/>
                <w:sz w:val="17"/>
                <w:szCs w:val="17"/>
                <w:color w:val="auto"/>
              </w:rPr>
              <w:t>22</w:t>
            </w:r>
          </w:p>
        </w:tc>
      </w:tr>
      <w:tr>
        <w:trPr>
          <w:trHeight w:val="59"/>
        </w:trPr>
        <w:tc>
          <w:tcPr>
            <w:tcW w:w="160" w:type="dxa"/>
            <w:vAlign w:val="bottom"/>
          </w:tcPr>
          <w:p>
            <w:pPr>
              <w:spacing w:after="0"/>
              <w:rPr>
                <w:sz w:val="5"/>
                <w:szCs w:val="5"/>
                <w:color w:val="auto"/>
              </w:rPr>
            </w:pPr>
          </w:p>
        </w:tc>
        <w:tc>
          <w:tcPr>
            <w:tcW w:w="96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520" w:type="dxa"/>
            <w:vAlign w:val="bottom"/>
          </w:tcPr>
          <w:p>
            <w:pPr>
              <w:spacing w:after="0"/>
              <w:rPr>
                <w:sz w:val="5"/>
                <w:szCs w:val="5"/>
                <w:color w:val="auto"/>
              </w:rPr>
            </w:pPr>
          </w:p>
        </w:tc>
        <w:tc>
          <w:tcPr>
            <w:tcW w:w="540" w:type="dxa"/>
            <w:vAlign w:val="bottom"/>
          </w:tcPr>
          <w:p>
            <w:pPr>
              <w:spacing w:after="0"/>
              <w:rPr>
                <w:sz w:val="5"/>
                <w:szCs w:val="5"/>
                <w:color w:val="auto"/>
              </w:rPr>
            </w:pPr>
          </w:p>
        </w:tc>
      </w:tr>
      <w:tr>
        <w:trPr>
          <w:trHeight w:val="255"/>
        </w:trPr>
        <w:tc>
          <w:tcPr>
            <w:tcW w:w="160" w:type="dxa"/>
            <w:vAlign w:val="bottom"/>
            <w:shd w:val="clear" w:color="auto" w:fill="CDE9F6"/>
          </w:tcPr>
          <w:p>
            <w:pPr>
              <w:spacing w:after="0"/>
              <w:rPr>
                <w:sz w:val="22"/>
                <w:szCs w:val="22"/>
                <w:color w:val="auto"/>
              </w:rPr>
            </w:pPr>
          </w:p>
        </w:tc>
        <w:tc>
          <w:tcPr>
            <w:tcW w:w="7160" w:type="dxa"/>
            <w:vAlign w:val="bottom"/>
            <w:gridSpan w:val="35"/>
            <w:shd w:val="clear" w:color="auto" w:fill="CDE9F6"/>
          </w:tcPr>
          <w:p>
            <w:pPr>
              <w:spacing w:after="0"/>
              <w:rPr>
                <w:sz w:val="20"/>
                <w:szCs w:val="20"/>
                <w:color w:val="auto"/>
              </w:rPr>
            </w:pPr>
            <w:r>
              <w:rPr>
                <w:rFonts w:ascii="Times New Roman" w:cs="Times New Roman" w:eastAsia="Times New Roman" w:hAnsi="Times New Roman"/>
                <w:sz w:val="17"/>
                <w:szCs w:val="17"/>
                <w:color w:val="0000EE"/>
              </w:rPr>
              <w:t>Majority Voting Standard for Director Elections and Director Resignation Policy</w:t>
            </w:r>
          </w:p>
        </w:tc>
        <w:tc>
          <w:tcPr>
            <w:tcW w:w="540" w:type="dxa"/>
            <w:vAlign w:val="bottom"/>
            <w:shd w:val="clear" w:color="auto" w:fill="CDE9F6"/>
          </w:tcPr>
          <w:p>
            <w:pPr>
              <w:jc w:val="center"/>
              <w:spacing w:after="0"/>
              <w:rPr>
                <w:sz w:val="20"/>
                <w:szCs w:val="20"/>
                <w:color w:val="auto"/>
              </w:rPr>
            </w:pPr>
            <w:r>
              <w:rPr>
                <w:rFonts w:ascii="Times New Roman" w:cs="Times New Roman" w:eastAsia="Times New Roman" w:hAnsi="Times New Roman"/>
                <w:sz w:val="17"/>
                <w:szCs w:val="17"/>
                <w:color w:val="auto"/>
              </w:rPr>
              <w:t>22</w:t>
            </w:r>
          </w:p>
        </w:tc>
      </w:tr>
      <w:tr>
        <w:trPr>
          <w:trHeight w:val="196"/>
        </w:trPr>
        <w:tc>
          <w:tcPr>
            <w:tcW w:w="160" w:type="dxa"/>
            <w:vAlign w:val="bottom"/>
            <w:tcBorders>
              <w:top w:val="single" w:sz="8" w:color="CDE9F6"/>
            </w:tcBorders>
          </w:tcPr>
          <w:p>
            <w:pPr>
              <w:spacing w:after="0"/>
              <w:rPr>
                <w:sz w:val="17"/>
                <w:szCs w:val="17"/>
                <w:color w:val="auto"/>
              </w:rPr>
            </w:pPr>
          </w:p>
        </w:tc>
        <w:tc>
          <w:tcPr>
            <w:tcW w:w="5640" w:type="dxa"/>
            <w:vAlign w:val="bottom"/>
            <w:tcBorders>
              <w:top w:val="single" w:sz="8" w:color="0000EE"/>
            </w:tcBorders>
            <w:gridSpan w:val="34"/>
          </w:tcPr>
          <w:p>
            <w:pPr>
              <w:spacing w:after="0"/>
              <w:rPr>
                <w:sz w:val="20"/>
                <w:szCs w:val="20"/>
                <w:color w:val="auto"/>
              </w:rPr>
            </w:pPr>
            <w:r>
              <w:rPr>
                <w:rFonts w:ascii="Times New Roman" w:cs="Times New Roman" w:eastAsia="Times New Roman" w:hAnsi="Times New Roman"/>
                <w:sz w:val="17"/>
                <w:szCs w:val="17"/>
                <w:color w:val="0000EE"/>
              </w:rPr>
              <w:t>Director Independence</w:t>
            </w:r>
          </w:p>
        </w:tc>
        <w:tc>
          <w:tcPr>
            <w:tcW w:w="1520" w:type="dxa"/>
            <w:vAlign w:val="bottom"/>
            <w:tcBorders>
              <w:top w:val="single" w:sz="8" w:color="CDE9F6"/>
            </w:tcBorders>
          </w:tcPr>
          <w:p>
            <w:pPr>
              <w:spacing w:after="0"/>
              <w:rPr>
                <w:sz w:val="17"/>
                <w:szCs w:val="17"/>
                <w:color w:val="auto"/>
              </w:rPr>
            </w:pPr>
          </w:p>
        </w:tc>
        <w:tc>
          <w:tcPr>
            <w:tcW w:w="540" w:type="dxa"/>
            <w:vAlign w:val="bottom"/>
            <w:tcBorders>
              <w:top w:val="single" w:sz="8" w:color="CDE9F6"/>
            </w:tcBorders>
          </w:tcPr>
          <w:p>
            <w:pPr>
              <w:jc w:val="center"/>
              <w:spacing w:after="0"/>
              <w:rPr>
                <w:sz w:val="20"/>
                <w:szCs w:val="20"/>
                <w:color w:val="auto"/>
              </w:rPr>
            </w:pPr>
            <w:r>
              <w:rPr>
                <w:rFonts w:ascii="Times New Roman" w:cs="Times New Roman" w:eastAsia="Times New Roman" w:hAnsi="Times New Roman"/>
                <w:sz w:val="17"/>
                <w:szCs w:val="17"/>
                <w:color w:val="auto"/>
              </w:rPr>
              <w:t>23</w:t>
            </w:r>
          </w:p>
        </w:tc>
      </w:tr>
      <w:tr>
        <w:trPr>
          <w:trHeight w:val="59"/>
        </w:trPr>
        <w:tc>
          <w:tcPr>
            <w:tcW w:w="160" w:type="dxa"/>
            <w:vAlign w:val="bottom"/>
          </w:tcPr>
          <w:p>
            <w:pPr>
              <w:spacing w:after="0"/>
              <w:rPr>
                <w:sz w:val="5"/>
                <w:szCs w:val="5"/>
                <w:color w:val="auto"/>
              </w:rPr>
            </w:pPr>
          </w:p>
        </w:tc>
        <w:tc>
          <w:tcPr>
            <w:tcW w:w="96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520" w:type="dxa"/>
            <w:vAlign w:val="bottom"/>
          </w:tcPr>
          <w:p>
            <w:pPr>
              <w:spacing w:after="0"/>
              <w:rPr>
                <w:sz w:val="5"/>
                <w:szCs w:val="5"/>
                <w:color w:val="auto"/>
              </w:rPr>
            </w:pPr>
          </w:p>
        </w:tc>
        <w:tc>
          <w:tcPr>
            <w:tcW w:w="540" w:type="dxa"/>
            <w:vAlign w:val="bottom"/>
          </w:tcPr>
          <w:p>
            <w:pPr>
              <w:spacing w:after="0"/>
              <w:rPr>
                <w:sz w:val="5"/>
                <w:szCs w:val="5"/>
                <w:color w:val="auto"/>
              </w:rPr>
            </w:pPr>
          </w:p>
        </w:tc>
      </w:tr>
      <w:tr>
        <w:trPr>
          <w:trHeight w:val="255"/>
        </w:trPr>
        <w:tc>
          <w:tcPr>
            <w:tcW w:w="160" w:type="dxa"/>
            <w:vAlign w:val="bottom"/>
            <w:tcBorders>
              <w:bottom w:val="single" w:sz="8" w:color="CDE9F6"/>
            </w:tcBorders>
            <w:shd w:val="clear" w:color="auto" w:fill="CDE9F6"/>
          </w:tcPr>
          <w:p>
            <w:pPr>
              <w:spacing w:after="0"/>
              <w:rPr>
                <w:sz w:val="22"/>
                <w:szCs w:val="22"/>
                <w:color w:val="auto"/>
              </w:rPr>
            </w:pPr>
          </w:p>
        </w:tc>
        <w:tc>
          <w:tcPr>
            <w:tcW w:w="2320" w:type="dxa"/>
            <w:vAlign w:val="bottom"/>
            <w:tcBorders>
              <w:bottom w:val="single" w:sz="8" w:color="0000EE"/>
            </w:tcBorders>
            <w:gridSpan w:val="16"/>
            <w:shd w:val="clear" w:color="auto" w:fill="CDE9F6"/>
          </w:tcPr>
          <w:p>
            <w:pPr>
              <w:spacing w:after="0"/>
              <w:rPr>
                <w:sz w:val="20"/>
                <w:szCs w:val="20"/>
                <w:color w:val="auto"/>
              </w:rPr>
            </w:pPr>
            <w:r>
              <w:rPr>
                <w:rFonts w:ascii="Times New Roman" w:cs="Times New Roman" w:eastAsia="Times New Roman" w:hAnsi="Times New Roman"/>
                <w:sz w:val="17"/>
                <w:szCs w:val="17"/>
                <w:color w:val="0000EE"/>
              </w:rPr>
              <w:t>Board Meetings and Committees</w:t>
            </w:r>
          </w:p>
        </w:tc>
        <w:tc>
          <w:tcPr>
            <w:tcW w:w="4840" w:type="dxa"/>
            <w:vAlign w:val="bottom"/>
            <w:tcBorders>
              <w:bottom w:val="single" w:sz="8" w:color="CDE9F6"/>
            </w:tcBorders>
            <w:gridSpan w:val="19"/>
            <w:shd w:val="clear" w:color="auto" w:fill="CDE9F6"/>
          </w:tcPr>
          <w:p>
            <w:pPr>
              <w:spacing w:after="0"/>
              <w:rPr>
                <w:sz w:val="22"/>
                <w:szCs w:val="22"/>
                <w:color w:val="auto"/>
              </w:rPr>
            </w:pPr>
          </w:p>
        </w:tc>
        <w:tc>
          <w:tcPr>
            <w:tcW w:w="540" w:type="dxa"/>
            <w:vAlign w:val="bottom"/>
            <w:tcBorders>
              <w:bottom w:val="single" w:sz="8" w:color="CDE9F6"/>
            </w:tcBorders>
            <w:shd w:val="clear" w:color="auto" w:fill="CDE9F6"/>
          </w:tcPr>
          <w:p>
            <w:pPr>
              <w:jc w:val="center"/>
              <w:spacing w:after="0"/>
              <w:rPr>
                <w:sz w:val="20"/>
                <w:szCs w:val="20"/>
                <w:color w:val="auto"/>
              </w:rPr>
            </w:pPr>
            <w:r>
              <w:rPr>
                <w:rFonts w:ascii="Times New Roman" w:cs="Times New Roman" w:eastAsia="Times New Roman" w:hAnsi="Times New Roman"/>
                <w:sz w:val="17"/>
                <w:szCs w:val="17"/>
                <w:color w:val="auto"/>
              </w:rPr>
              <w:t>23</w:t>
            </w:r>
          </w:p>
        </w:tc>
      </w:tr>
      <w:tr>
        <w:trPr>
          <w:trHeight w:val="196"/>
        </w:trPr>
        <w:tc>
          <w:tcPr>
            <w:tcW w:w="7320" w:type="dxa"/>
            <w:vAlign w:val="bottom"/>
            <w:gridSpan w:val="36"/>
          </w:tcPr>
          <w:p>
            <w:pPr>
              <w:ind w:left="160"/>
              <w:spacing w:after="0"/>
              <w:rPr>
                <w:sz w:val="20"/>
                <w:szCs w:val="20"/>
                <w:color w:val="auto"/>
              </w:rPr>
            </w:pPr>
            <w:r>
              <w:rPr>
                <w:rFonts w:ascii="Times New Roman" w:cs="Times New Roman" w:eastAsia="Times New Roman" w:hAnsi="Times New Roman"/>
                <w:sz w:val="17"/>
                <w:szCs w:val="17"/>
                <w:color w:val="0000EE"/>
              </w:rPr>
              <w:t>Human Resources Committee Interlocks and Insider Participation</w:t>
            </w:r>
          </w:p>
        </w:tc>
        <w:tc>
          <w:tcPr>
            <w:tcW w:w="5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25</w:t>
            </w:r>
          </w:p>
        </w:tc>
      </w:tr>
      <w:tr>
        <w:trPr>
          <w:trHeight w:val="59"/>
        </w:trPr>
        <w:tc>
          <w:tcPr>
            <w:tcW w:w="160" w:type="dxa"/>
            <w:vAlign w:val="bottom"/>
          </w:tcPr>
          <w:p>
            <w:pPr>
              <w:spacing w:after="0"/>
              <w:rPr>
                <w:sz w:val="5"/>
                <w:szCs w:val="5"/>
                <w:color w:val="auto"/>
              </w:rPr>
            </w:pPr>
          </w:p>
        </w:tc>
        <w:tc>
          <w:tcPr>
            <w:tcW w:w="96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8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520" w:type="dxa"/>
            <w:vAlign w:val="bottom"/>
          </w:tcPr>
          <w:p>
            <w:pPr>
              <w:spacing w:after="0"/>
              <w:rPr>
                <w:sz w:val="5"/>
                <w:szCs w:val="5"/>
                <w:color w:val="auto"/>
              </w:rPr>
            </w:pPr>
          </w:p>
        </w:tc>
        <w:tc>
          <w:tcPr>
            <w:tcW w:w="540" w:type="dxa"/>
            <w:vAlign w:val="bottom"/>
          </w:tcPr>
          <w:p>
            <w:pPr>
              <w:spacing w:after="0"/>
              <w:rPr>
                <w:sz w:val="5"/>
                <w:szCs w:val="5"/>
                <w:color w:val="auto"/>
              </w:rPr>
            </w:pPr>
          </w:p>
        </w:tc>
      </w:tr>
      <w:tr>
        <w:trPr>
          <w:trHeight w:val="255"/>
        </w:trPr>
        <w:tc>
          <w:tcPr>
            <w:tcW w:w="160" w:type="dxa"/>
            <w:vAlign w:val="bottom"/>
            <w:tcBorders>
              <w:bottom w:val="single" w:sz="8" w:color="CDE9F6"/>
            </w:tcBorders>
            <w:shd w:val="clear" w:color="auto" w:fill="CDE9F6"/>
          </w:tcPr>
          <w:p>
            <w:pPr>
              <w:spacing w:after="0"/>
              <w:rPr>
                <w:sz w:val="22"/>
                <w:szCs w:val="22"/>
                <w:color w:val="auto"/>
              </w:rPr>
            </w:pPr>
          </w:p>
        </w:tc>
        <w:tc>
          <w:tcPr>
            <w:tcW w:w="2800" w:type="dxa"/>
            <w:vAlign w:val="bottom"/>
            <w:tcBorders>
              <w:bottom w:val="single" w:sz="8" w:color="0000EE"/>
            </w:tcBorders>
            <w:gridSpan w:val="23"/>
            <w:shd w:val="clear" w:color="auto" w:fill="CDE9F6"/>
          </w:tcPr>
          <w:p>
            <w:pPr>
              <w:spacing w:after="0"/>
              <w:rPr>
                <w:sz w:val="20"/>
                <w:szCs w:val="20"/>
                <w:color w:val="auto"/>
              </w:rPr>
            </w:pPr>
            <w:r>
              <w:rPr>
                <w:rFonts w:ascii="Times New Roman" w:cs="Times New Roman" w:eastAsia="Times New Roman" w:hAnsi="Times New Roman"/>
                <w:sz w:val="17"/>
                <w:szCs w:val="17"/>
                <w:color w:val="0000EE"/>
              </w:rPr>
              <w:t>Anti-Hedging and Anti-Pledging Policy</w:t>
            </w:r>
          </w:p>
        </w:tc>
        <w:tc>
          <w:tcPr>
            <w:tcW w:w="4360" w:type="dxa"/>
            <w:vAlign w:val="bottom"/>
            <w:tcBorders>
              <w:bottom w:val="single" w:sz="8" w:color="CDE9F6"/>
            </w:tcBorders>
            <w:gridSpan w:val="12"/>
            <w:shd w:val="clear" w:color="auto" w:fill="CDE9F6"/>
          </w:tcPr>
          <w:p>
            <w:pPr>
              <w:spacing w:after="0"/>
              <w:rPr>
                <w:sz w:val="22"/>
                <w:szCs w:val="22"/>
                <w:color w:val="auto"/>
              </w:rPr>
            </w:pPr>
          </w:p>
        </w:tc>
        <w:tc>
          <w:tcPr>
            <w:tcW w:w="540" w:type="dxa"/>
            <w:vAlign w:val="bottom"/>
            <w:tcBorders>
              <w:bottom w:val="single" w:sz="8" w:color="CDE9F6"/>
            </w:tcBorders>
            <w:shd w:val="clear" w:color="auto" w:fill="CDE9F6"/>
          </w:tcPr>
          <w:p>
            <w:pPr>
              <w:jc w:val="center"/>
              <w:spacing w:after="0"/>
              <w:rPr>
                <w:sz w:val="20"/>
                <w:szCs w:val="20"/>
                <w:color w:val="auto"/>
              </w:rPr>
            </w:pPr>
            <w:r>
              <w:rPr>
                <w:rFonts w:ascii="Times New Roman" w:cs="Times New Roman" w:eastAsia="Times New Roman" w:hAnsi="Times New Roman"/>
                <w:sz w:val="17"/>
                <w:szCs w:val="17"/>
                <w:color w:val="auto"/>
              </w:rPr>
              <w:t>26</w:t>
            </w:r>
          </w:p>
        </w:tc>
      </w:tr>
      <w:tr>
        <w:trPr>
          <w:trHeight w:val="196"/>
        </w:trPr>
        <w:tc>
          <w:tcPr>
            <w:tcW w:w="7320" w:type="dxa"/>
            <w:vAlign w:val="bottom"/>
            <w:gridSpan w:val="36"/>
          </w:tcPr>
          <w:p>
            <w:pPr>
              <w:ind w:left="160"/>
              <w:spacing w:after="0"/>
              <w:rPr>
                <w:sz w:val="20"/>
                <w:szCs w:val="20"/>
                <w:color w:val="auto"/>
              </w:rPr>
            </w:pPr>
            <w:r>
              <w:rPr>
                <w:rFonts w:ascii="Times New Roman" w:cs="Times New Roman" w:eastAsia="Times New Roman" w:hAnsi="Times New Roman"/>
                <w:sz w:val="17"/>
                <w:szCs w:val="17"/>
                <w:color w:val="0000EE"/>
              </w:rPr>
              <w:t>Board Leadership Structure</w:t>
            </w:r>
          </w:p>
        </w:tc>
        <w:tc>
          <w:tcPr>
            <w:tcW w:w="5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26</w:t>
            </w:r>
          </w:p>
        </w:tc>
      </w:tr>
      <w:tr>
        <w:trPr>
          <w:trHeight w:val="59"/>
        </w:trPr>
        <w:tc>
          <w:tcPr>
            <w:tcW w:w="160" w:type="dxa"/>
            <w:vAlign w:val="bottom"/>
          </w:tcPr>
          <w:p>
            <w:pPr>
              <w:spacing w:after="0"/>
              <w:rPr>
                <w:sz w:val="5"/>
                <w:szCs w:val="5"/>
                <w:color w:val="auto"/>
              </w:rPr>
            </w:pPr>
          </w:p>
        </w:tc>
        <w:tc>
          <w:tcPr>
            <w:tcW w:w="96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520" w:type="dxa"/>
            <w:vAlign w:val="bottom"/>
          </w:tcPr>
          <w:p>
            <w:pPr>
              <w:spacing w:after="0"/>
              <w:rPr>
                <w:sz w:val="5"/>
                <w:szCs w:val="5"/>
                <w:color w:val="auto"/>
              </w:rPr>
            </w:pPr>
          </w:p>
        </w:tc>
        <w:tc>
          <w:tcPr>
            <w:tcW w:w="540" w:type="dxa"/>
            <w:vAlign w:val="bottom"/>
          </w:tcPr>
          <w:p>
            <w:pPr>
              <w:spacing w:after="0"/>
              <w:rPr>
                <w:sz w:val="5"/>
                <w:szCs w:val="5"/>
                <w:color w:val="auto"/>
              </w:rPr>
            </w:pPr>
          </w:p>
        </w:tc>
      </w:tr>
      <w:tr>
        <w:trPr>
          <w:trHeight w:val="255"/>
        </w:trPr>
        <w:tc>
          <w:tcPr>
            <w:tcW w:w="160" w:type="dxa"/>
            <w:vAlign w:val="bottom"/>
            <w:shd w:val="clear" w:color="auto" w:fill="CDE9F6"/>
          </w:tcPr>
          <w:p>
            <w:pPr>
              <w:spacing w:after="0"/>
              <w:rPr>
                <w:sz w:val="22"/>
                <w:szCs w:val="22"/>
                <w:color w:val="auto"/>
              </w:rPr>
            </w:pPr>
          </w:p>
        </w:tc>
        <w:tc>
          <w:tcPr>
            <w:tcW w:w="7160" w:type="dxa"/>
            <w:vAlign w:val="bottom"/>
            <w:gridSpan w:val="35"/>
            <w:shd w:val="clear" w:color="auto" w:fill="CDE9F6"/>
          </w:tcPr>
          <w:p>
            <w:pPr>
              <w:spacing w:after="0"/>
              <w:rPr>
                <w:sz w:val="20"/>
                <w:szCs w:val="20"/>
                <w:color w:val="auto"/>
              </w:rPr>
            </w:pPr>
            <w:r>
              <w:rPr>
                <w:rFonts w:ascii="Times New Roman" w:cs="Times New Roman" w:eastAsia="Times New Roman" w:hAnsi="Times New Roman"/>
                <w:sz w:val="17"/>
                <w:szCs w:val="17"/>
                <w:color w:val="0000EE"/>
              </w:rPr>
              <w:t>Board of Directors’ Role in Risk Oversight</w:t>
            </w:r>
          </w:p>
        </w:tc>
        <w:tc>
          <w:tcPr>
            <w:tcW w:w="540" w:type="dxa"/>
            <w:vAlign w:val="bottom"/>
            <w:shd w:val="clear" w:color="auto" w:fill="CDE9F6"/>
          </w:tcPr>
          <w:p>
            <w:pPr>
              <w:jc w:val="center"/>
              <w:spacing w:after="0"/>
              <w:rPr>
                <w:sz w:val="20"/>
                <w:szCs w:val="20"/>
                <w:color w:val="auto"/>
              </w:rPr>
            </w:pPr>
            <w:r>
              <w:rPr>
                <w:rFonts w:ascii="Times New Roman" w:cs="Times New Roman" w:eastAsia="Times New Roman" w:hAnsi="Times New Roman"/>
                <w:sz w:val="17"/>
                <w:szCs w:val="17"/>
                <w:color w:val="auto"/>
              </w:rPr>
              <w:t>27</w:t>
            </w:r>
          </w:p>
        </w:tc>
      </w:tr>
      <w:tr>
        <w:trPr>
          <w:trHeight w:val="196"/>
        </w:trPr>
        <w:tc>
          <w:tcPr>
            <w:tcW w:w="160" w:type="dxa"/>
            <w:vAlign w:val="bottom"/>
            <w:tcBorders>
              <w:top w:val="single" w:sz="8" w:color="CDE9F6"/>
            </w:tcBorders>
          </w:tcPr>
          <w:p>
            <w:pPr>
              <w:spacing w:after="0"/>
              <w:rPr>
                <w:sz w:val="17"/>
                <w:szCs w:val="17"/>
                <w:color w:val="auto"/>
              </w:rPr>
            </w:pPr>
          </w:p>
        </w:tc>
        <w:tc>
          <w:tcPr>
            <w:tcW w:w="3020" w:type="dxa"/>
            <w:vAlign w:val="bottom"/>
            <w:tcBorders>
              <w:top w:val="single" w:sz="8" w:color="0000EE"/>
            </w:tcBorders>
            <w:gridSpan w:val="25"/>
          </w:tcPr>
          <w:p>
            <w:pPr>
              <w:spacing w:after="0"/>
              <w:rPr>
                <w:sz w:val="20"/>
                <w:szCs w:val="20"/>
                <w:color w:val="auto"/>
              </w:rPr>
            </w:pPr>
            <w:r>
              <w:rPr>
                <w:rFonts w:ascii="Times New Roman" w:cs="Times New Roman" w:eastAsia="Times New Roman" w:hAnsi="Times New Roman"/>
                <w:sz w:val="17"/>
                <w:szCs w:val="17"/>
                <w:color w:val="0000EE"/>
              </w:rPr>
              <w:t>Cybersecurity Risk Oversight</w:t>
            </w:r>
          </w:p>
        </w:tc>
        <w:tc>
          <w:tcPr>
            <w:tcW w:w="4140" w:type="dxa"/>
            <w:vAlign w:val="bottom"/>
            <w:tcBorders>
              <w:top w:val="single" w:sz="8" w:color="CDE9F6"/>
            </w:tcBorders>
            <w:gridSpan w:val="10"/>
          </w:tcPr>
          <w:p>
            <w:pPr>
              <w:spacing w:after="0"/>
              <w:rPr>
                <w:sz w:val="17"/>
                <w:szCs w:val="17"/>
                <w:color w:val="auto"/>
              </w:rPr>
            </w:pPr>
          </w:p>
        </w:tc>
        <w:tc>
          <w:tcPr>
            <w:tcW w:w="540" w:type="dxa"/>
            <w:vAlign w:val="bottom"/>
            <w:tcBorders>
              <w:top w:val="single" w:sz="8" w:color="CDE9F6"/>
            </w:tcBorders>
          </w:tcPr>
          <w:p>
            <w:pPr>
              <w:jc w:val="center"/>
              <w:spacing w:after="0"/>
              <w:rPr>
                <w:sz w:val="20"/>
                <w:szCs w:val="20"/>
                <w:color w:val="auto"/>
              </w:rPr>
            </w:pPr>
            <w:r>
              <w:rPr>
                <w:rFonts w:ascii="Times New Roman" w:cs="Times New Roman" w:eastAsia="Times New Roman" w:hAnsi="Times New Roman"/>
                <w:sz w:val="17"/>
                <w:szCs w:val="17"/>
                <w:color w:val="auto"/>
              </w:rPr>
              <w:t>28</w:t>
            </w:r>
          </w:p>
        </w:tc>
      </w:tr>
      <w:tr>
        <w:trPr>
          <w:trHeight w:val="59"/>
        </w:trPr>
        <w:tc>
          <w:tcPr>
            <w:tcW w:w="160" w:type="dxa"/>
            <w:vAlign w:val="bottom"/>
          </w:tcPr>
          <w:p>
            <w:pPr>
              <w:spacing w:after="0"/>
              <w:rPr>
                <w:sz w:val="5"/>
                <w:szCs w:val="5"/>
                <w:color w:val="auto"/>
              </w:rPr>
            </w:pPr>
          </w:p>
        </w:tc>
        <w:tc>
          <w:tcPr>
            <w:tcW w:w="96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520" w:type="dxa"/>
            <w:vAlign w:val="bottom"/>
          </w:tcPr>
          <w:p>
            <w:pPr>
              <w:spacing w:after="0"/>
              <w:rPr>
                <w:sz w:val="5"/>
                <w:szCs w:val="5"/>
                <w:color w:val="auto"/>
              </w:rPr>
            </w:pPr>
          </w:p>
        </w:tc>
        <w:tc>
          <w:tcPr>
            <w:tcW w:w="540" w:type="dxa"/>
            <w:vAlign w:val="bottom"/>
          </w:tcPr>
          <w:p>
            <w:pPr>
              <w:spacing w:after="0"/>
              <w:rPr>
                <w:sz w:val="5"/>
                <w:szCs w:val="5"/>
                <w:color w:val="auto"/>
              </w:rPr>
            </w:pPr>
          </w:p>
        </w:tc>
      </w:tr>
      <w:tr>
        <w:trPr>
          <w:trHeight w:val="255"/>
        </w:trPr>
        <w:tc>
          <w:tcPr>
            <w:tcW w:w="160" w:type="dxa"/>
            <w:vAlign w:val="bottom"/>
            <w:shd w:val="clear" w:color="auto" w:fill="CDE9F6"/>
          </w:tcPr>
          <w:p>
            <w:pPr>
              <w:spacing w:after="0"/>
              <w:rPr>
                <w:sz w:val="22"/>
                <w:szCs w:val="22"/>
                <w:color w:val="auto"/>
              </w:rPr>
            </w:pPr>
          </w:p>
        </w:tc>
        <w:tc>
          <w:tcPr>
            <w:tcW w:w="7160" w:type="dxa"/>
            <w:vAlign w:val="bottom"/>
            <w:gridSpan w:val="35"/>
            <w:shd w:val="clear" w:color="auto" w:fill="CDE9F6"/>
          </w:tcPr>
          <w:p>
            <w:pPr>
              <w:spacing w:after="0"/>
              <w:rPr>
                <w:sz w:val="20"/>
                <w:szCs w:val="20"/>
                <w:color w:val="auto"/>
              </w:rPr>
            </w:pPr>
            <w:r>
              <w:rPr>
                <w:rFonts w:ascii="Times New Roman" w:cs="Times New Roman" w:eastAsia="Times New Roman" w:hAnsi="Times New Roman"/>
                <w:sz w:val="17"/>
                <w:szCs w:val="17"/>
                <w:color w:val="0000EE"/>
              </w:rPr>
              <w:t>Management Succession Planning</w:t>
            </w:r>
          </w:p>
        </w:tc>
        <w:tc>
          <w:tcPr>
            <w:tcW w:w="540" w:type="dxa"/>
            <w:vAlign w:val="bottom"/>
            <w:shd w:val="clear" w:color="auto" w:fill="CDE9F6"/>
          </w:tcPr>
          <w:p>
            <w:pPr>
              <w:jc w:val="center"/>
              <w:spacing w:after="0"/>
              <w:rPr>
                <w:sz w:val="20"/>
                <w:szCs w:val="20"/>
                <w:color w:val="auto"/>
              </w:rPr>
            </w:pPr>
            <w:r>
              <w:rPr>
                <w:rFonts w:ascii="Times New Roman" w:cs="Times New Roman" w:eastAsia="Times New Roman" w:hAnsi="Times New Roman"/>
                <w:sz w:val="17"/>
                <w:szCs w:val="17"/>
                <w:color w:val="auto"/>
              </w:rPr>
              <w:t>30</w:t>
            </w:r>
          </w:p>
        </w:tc>
      </w:tr>
      <w:tr>
        <w:trPr>
          <w:trHeight w:val="196"/>
        </w:trPr>
        <w:tc>
          <w:tcPr>
            <w:tcW w:w="160" w:type="dxa"/>
            <w:vAlign w:val="bottom"/>
            <w:tcBorders>
              <w:top w:val="single" w:sz="8" w:color="CDE9F6"/>
            </w:tcBorders>
          </w:tcPr>
          <w:p>
            <w:pPr>
              <w:spacing w:after="0"/>
              <w:rPr>
                <w:sz w:val="17"/>
                <w:szCs w:val="17"/>
                <w:color w:val="auto"/>
              </w:rPr>
            </w:pPr>
          </w:p>
        </w:tc>
        <w:tc>
          <w:tcPr>
            <w:tcW w:w="2400" w:type="dxa"/>
            <w:vAlign w:val="bottom"/>
            <w:tcBorders>
              <w:top w:val="single" w:sz="8" w:color="0000EE"/>
            </w:tcBorders>
            <w:gridSpan w:val="18"/>
          </w:tcPr>
          <w:p>
            <w:pPr>
              <w:spacing w:after="0"/>
              <w:rPr>
                <w:sz w:val="20"/>
                <w:szCs w:val="20"/>
                <w:color w:val="auto"/>
              </w:rPr>
            </w:pPr>
            <w:r>
              <w:rPr>
                <w:rFonts w:ascii="Times New Roman" w:cs="Times New Roman" w:eastAsia="Times New Roman" w:hAnsi="Times New Roman"/>
                <w:sz w:val="17"/>
                <w:szCs w:val="17"/>
                <w:color w:val="0000EE"/>
              </w:rPr>
              <w:t>Oversight of Corporate Strategy</w:t>
            </w:r>
          </w:p>
        </w:tc>
        <w:tc>
          <w:tcPr>
            <w:tcW w:w="4760" w:type="dxa"/>
            <w:vAlign w:val="bottom"/>
            <w:tcBorders>
              <w:top w:val="single" w:sz="8" w:color="CDE9F6"/>
            </w:tcBorders>
            <w:gridSpan w:val="17"/>
          </w:tcPr>
          <w:p>
            <w:pPr>
              <w:spacing w:after="0"/>
              <w:rPr>
                <w:sz w:val="17"/>
                <w:szCs w:val="17"/>
                <w:color w:val="auto"/>
              </w:rPr>
            </w:pPr>
          </w:p>
        </w:tc>
        <w:tc>
          <w:tcPr>
            <w:tcW w:w="540" w:type="dxa"/>
            <w:vAlign w:val="bottom"/>
            <w:tcBorders>
              <w:top w:val="single" w:sz="8" w:color="CDE9F6"/>
            </w:tcBorders>
          </w:tcPr>
          <w:p>
            <w:pPr>
              <w:jc w:val="center"/>
              <w:spacing w:after="0"/>
              <w:rPr>
                <w:sz w:val="20"/>
                <w:szCs w:val="20"/>
                <w:color w:val="auto"/>
              </w:rPr>
            </w:pPr>
            <w:r>
              <w:rPr>
                <w:rFonts w:ascii="Times New Roman" w:cs="Times New Roman" w:eastAsia="Times New Roman" w:hAnsi="Times New Roman"/>
                <w:sz w:val="17"/>
                <w:szCs w:val="17"/>
                <w:color w:val="auto"/>
              </w:rPr>
              <w:t>30</w:t>
            </w:r>
          </w:p>
        </w:tc>
      </w:tr>
      <w:tr>
        <w:trPr>
          <w:trHeight w:val="59"/>
        </w:trPr>
        <w:tc>
          <w:tcPr>
            <w:tcW w:w="160" w:type="dxa"/>
            <w:vAlign w:val="bottom"/>
          </w:tcPr>
          <w:p>
            <w:pPr>
              <w:spacing w:after="0"/>
              <w:rPr>
                <w:sz w:val="5"/>
                <w:szCs w:val="5"/>
                <w:color w:val="auto"/>
              </w:rPr>
            </w:pPr>
          </w:p>
        </w:tc>
        <w:tc>
          <w:tcPr>
            <w:tcW w:w="96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520" w:type="dxa"/>
            <w:vAlign w:val="bottom"/>
          </w:tcPr>
          <w:p>
            <w:pPr>
              <w:spacing w:after="0"/>
              <w:rPr>
                <w:sz w:val="5"/>
                <w:szCs w:val="5"/>
                <w:color w:val="auto"/>
              </w:rPr>
            </w:pPr>
          </w:p>
        </w:tc>
        <w:tc>
          <w:tcPr>
            <w:tcW w:w="540" w:type="dxa"/>
            <w:vAlign w:val="bottom"/>
          </w:tcPr>
          <w:p>
            <w:pPr>
              <w:spacing w:after="0"/>
              <w:rPr>
                <w:sz w:val="5"/>
                <w:szCs w:val="5"/>
                <w:color w:val="auto"/>
              </w:rPr>
            </w:pPr>
          </w:p>
        </w:tc>
      </w:tr>
      <w:tr>
        <w:trPr>
          <w:trHeight w:val="255"/>
        </w:trPr>
        <w:tc>
          <w:tcPr>
            <w:tcW w:w="160" w:type="dxa"/>
            <w:vAlign w:val="bottom"/>
            <w:tcBorders>
              <w:bottom w:val="single" w:sz="8" w:color="CDE9F6"/>
            </w:tcBorders>
            <w:shd w:val="clear" w:color="auto" w:fill="CDE9F6"/>
          </w:tcPr>
          <w:p>
            <w:pPr>
              <w:spacing w:after="0"/>
              <w:rPr>
                <w:sz w:val="22"/>
                <w:szCs w:val="22"/>
                <w:color w:val="auto"/>
              </w:rPr>
            </w:pPr>
          </w:p>
        </w:tc>
        <w:tc>
          <w:tcPr>
            <w:tcW w:w="5420" w:type="dxa"/>
            <w:vAlign w:val="bottom"/>
            <w:tcBorders>
              <w:bottom w:val="single" w:sz="8" w:color="0000EE"/>
            </w:tcBorders>
            <w:gridSpan w:val="33"/>
            <w:shd w:val="clear" w:color="auto" w:fill="CDE9F6"/>
          </w:tcPr>
          <w:p>
            <w:pPr>
              <w:spacing w:after="0"/>
              <w:rPr>
                <w:sz w:val="20"/>
                <w:szCs w:val="20"/>
                <w:color w:val="auto"/>
              </w:rPr>
            </w:pPr>
            <w:r>
              <w:rPr>
                <w:rFonts w:ascii="Times New Roman" w:cs="Times New Roman" w:eastAsia="Times New Roman" w:hAnsi="Times New Roman"/>
                <w:sz w:val="17"/>
                <w:szCs w:val="17"/>
                <w:color w:val="0000EE"/>
              </w:rPr>
              <w:t>Process for Recommending Candidates for Election to the Board of Directors</w:t>
            </w:r>
          </w:p>
        </w:tc>
        <w:tc>
          <w:tcPr>
            <w:tcW w:w="1740" w:type="dxa"/>
            <w:vAlign w:val="bottom"/>
            <w:tcBorders>
              <w:bottom w:val="single" w:sz="8" w:color="CDE9F6"/>
            </w:tcBorders>
            <w:gridSpan w:val="2"/>
            <w:shd w:val="clear" w:color="auto" w:fill="CDE9F6"/>
          </w:tcPr>
          <w:p>
            <w:pPr>
              <w:spacing w:after="0"/>
              <w:rPr>
                <w:sz w:val="22"/>
                <w:szCs w:val="22"/>
                <w:color w:val="auto"/>
              </w:rPr>
            </w:pPr>
          </w:p>
        </w:tc>
        <w:tc>
          <w:tcPr>
            <w:tcW w:w="540" w:type="dxa"/>
            <w:vAlign w:val="bottom"/>
            <w:tcBorders>
              <w:bottom w:val="single" w:sz="8" w:color="CDE9F6"/>
            </w:tcBorders>
            <w:shd w:val="clear" w:color="auto" w:fill="CDE9F6"/>
          </w:tcPr>
          <w:p>
            <w:pPr>
              <w:jc w:val="center"/>
              <w:spacing w:after="0"/>
              <w:rPr>
                <w:sz w:val="20"/>
                <w:szCs w:val="20"/>
                <w:color w:val="auto"/>
              </w:rPr>
            </w:pPr>
            <w:r>
              <w:rPr>
                <w:rFonts w:ascii="Times New Roman" w:cs="Times New Roman" w:eastAsia="Times New Roman" w:hAnsi="Times New Roman"/>
                <w:sz w:val="17"/>
                <w:szCs w:val="17"/>
                <w:color w:val="auto"/>
              </w:rPr>
              <w:t>30</w:t>
            </w:r>
          </w:p>
        </w:tc>
      </w:tr>
      <w:tr>
        <w:trPr>
          <w:trHeight w:val="196"/>
        </w:trPr>
        <w:tc>
          <w:tcPr>
            <w:tcW w:w="7320" w:type="dxa"/>
            <w:vAlign w:val="bottom"/>
            <w:gridSpan w:val="36"/>
          </w:tcPr>
          <w:p>
            <w:pPr>
              <w:ind w:left="160"/>
              <w:spacing w:after="0"/>
              <w:rPr>
                <w:sz w:val="20"/>
                <w:szCs w:val="20"/>
                <w:color w:val="auto"/>
              </w:rPr>
            </w:pPr>
            <w:r>
              <w:rPr>
                <w:rFonts w:ascii="Times New Roman" w:cs="Times New Roman" w:eastAsia="Times New Roman" w:hAnsi="Times New Roman"/>
                <w:sz w:val="17"/>
                <w:szCs w:val="17"/>
                <w:color w:val="0000EE"/>
              </w:rPr>
              <w:t>Proxy Access</w:t>
            </w:r>
          </w:p>
        </w:tc>
        <w:tc>
          <w:tcPr>
            <w:tcW w:w="5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31</w:t>
            </w:r>
          </w:p>
        </w:tc>
      </w:tr>
      <w:tr>
        <w:trPr>
          <w:trHeight w:val="59"/>
        </w:trPr>
        <w:tc>
          <w:tcPr>
            <w:tcW w:w="160" w:type="dxa"/>
            <w:vAlign w:val="bottom"/>
          </w:tcPr>
          <w:p>
            <w:pPr>
              <w:spacing w:after="0"/>
              <w:rPr>
                <w:sz w:val="5"/>
                <w:szCs w:val="5"/>
                <w:color w:val="auto"/>
              </w:rPr>
            </w:pPr>
          </w:p>
        </w:tc>
        <w:tc>
          <w:tcPr>
            <w:tcW w:w="960" w:type="dxa"/>
            <w:vAlign w:val="bottom"/>
            <w:tcBorders>
              <w:top w:val="single" w:sz="8" w:color="0000EE"/>
            </w:tcBorders>
          </w:tcPr>
          <w:p>
            <w:pPr>
              <w:spacing w:after="0"/>
              <w:rPr>
                <w:sz w:val="5"/>
                <w:szCs w:val="5"/>
                <w:color w:val="auto"/>
              </w:rPr>
            </w:pPr>
          </w:p>
        </w:tc>
        <w:tc>
          <w:tcPr>
            <w:tcW w:w="3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520" w:type="dxa"/>
            <w:vAlign w:val="bottom"/>
          </w:tcPr>
          <w:p>
            <w:pPr>
              <w:spacing w:after="0"/>
              <w:rPr>
                <w:sz w:val="5"/>
                <w:szCs w:val="5"/>
                <w:color w:val="auto"/>
              </w:rPr>
            </w:pPr>
          </w:p>
        </w:tc>
        <w:tc>
          <w:tcPr>
            <w:tcW w:w="540" w:type="dxa"/>
            <w:vAlign w:val="bottom"/>
          </w:tcPr>
          <w:p>
            <w:pPr>
              <w:spacing w:after="0"/>
              <w:rPr>
                <w:sz w:val="5"/>
                <w:szCs w:val="5"/>
                <w:color w:val="auto"/>
              </w:rPr>
            </w:pPr>
          </w:p>
        </w:tc>
      </w:tr>
      <w:tr>
        <w:trPr>
          <w:trHeight w:val="255"/>
        </w:trPr>
        <w:tc>
          <w:tcPr>
            <w:tcW w:w="160" w:type="dxa"/>
            <w:vAlign w:val="bottom"/>
            <w:tcBorders>
              <w:bottom w:val="single" w:sz="8" w:color="CDE9F6"/>
            </w:tcBorders>
            <w:shd w:val="clear" w:color="auto" w:fill="CDE9F6"/>
          </w:tcPr>
          <w:p>
            <w:pPr>
              <w:spacing w:after="0"/>
              <w:rPr>
                <w:sz w:val="22"/>
                <w:szCs w:val="22"/>
                <w:color w:val="auto"/>
              </w:rPr>
            </w:pPr>
          </w:p>
        </w:tc>
        <w:tc>
          <w:tcPr>
            <w:tcW w:w="5200" w:type="dxa"/>
            <w:vAlign w:val="bottom"/>
            <w:tcBorders>
              <w:bottom w:val="single" w:sz="8" w:color="0000EE"/>
            </w:tcBorders>
            <w:gridSpan w:val="32"/>
            <w:shd w:val="clear" w:color="auto" w:fill="CDE9F6"/>
          </w:tcPr>
          <w:p>
            <w:pPr>
              <w:spacing w:after="0"/>
              <w:rPr>
                <w:sz w:val="20"/>
                <w:szCs w:val="20"/>
                <w:color w:val="auto"/>
              </w:rPr>
            </w:pPr>
            <w:r>
              <w:rPr>
                <w:rFonts w:ascii="Times New Roman" w:cs="Times New Roman" w:eastAsia="Times New Roman" w:hAnsi="Times New Roman"/>
                <w:sz w:val="17"/>
                <w:szCs w:val="17"/>
                <w:color w:val="0000EE"/>
              </w:rPr>
              <w:t>Attendance at Annual Meetings of Stockholders by the Board of Directors</w:t>
            </w:r>
          </w:p>
        </w:tc>
        <w:tc>
          <w:tcPr>
            <w:tcW w:w="1960" w:type="dxa"/>
            <w:vAlign w:val="bottom"/>
            <w:tcBorders>
              <w:bottom w:val="single" w:sz="8" w:color="CDE9F6"/>
            </w:tcBorders>
            <w:gridSpan w:val="3"/>
            <w:shd w:val="clear" w:color="auto" w:fill="CDE9F6"/>
          </w:tcPr>
          <w:p>
            <w:pPr>
              <w:spacing w:after="0"/>
              <w:rPr>
                <w:sz w:val="22"/>
                <w:szCs w:val="22"/>
                <w:color w:val="auto"/>
              </w:rPr>
            </w:pPr>
          </w:p>
        </w:tc>
        <w:tc>
          <w:tcPr>
            <w:tcW w:w="540" w:type="dxa"/>
            <w:vAlign w:val="bottom"/>
            <w:tcBorders>
              <w:bottom w:val="single" w:sz="8" w:color="CDE9F6"/>
            </w:tcBorders>
            <w:shd w:val="clear" w:color="auto" w:fill="CDE9F6"/>
          </w:tcPr>
          <w:p>
            <w:pPr>
              <w:jc w:val="center"/>
              <w:spacing w:after="0"/>
              <w:rPr>
                <w:sz w:val="20"/>
                <w:szCs w:val="20"/>
                <w:color w:val="auto"/>
              </w:rPr>
            </w:pPr>
            <w:r>
              <w:rPr>
                <w:rFonts w:ascii="Times New Roman" w:cs="Times New Roman" w:eastAsia="Times New Roman" w:hAnsi="Times New Roman"/>
                <w:sz w:val="17"/>
                <w:szCs w:val="17"/>
                <w:color w:val="auto"/>
              </w:rPr>
              <w:t>32</w:t>
            </w:r>
          </w:p>
        </w:tc>
      </w:tr>
      <w:tr>
        <w:trPr>
          <w:trHeight w:val="196"/>
        </w:trPr>
        <w:tc>
          <w:tcPr>
            <w:tcW w:w="7320" w:type="dxa"/>
            <w:vAlign w:val="bottom"/>
            <w:gridSpan w:val="36"/>
          </w:tcPr>
          <w:p>
            <w:pPr>
              <w:ind w:left="160"/>
              <w:spacing w:after="0"/>
              <w:rPr>
                <w:sz w:val="20"/>
                <w:szCs w:val="20"/>
                <w:color w:val="auto"/>
              </w:rPr>
            </w:pPr>
            <w:r>
              <w:rPr>
                <w:rFonts w:ascii="Times New Roman" w:cs="Times New Roman" w:eastAsia="Times New Roman" w:hAnsi="Times New Roman"/>
                <w:sz w:val="17"/>
                <w:szCs w:val="17"/>
                <w:color w:val="0000EE"/>
              </w:rPr>
              <w:t>Contacting the Board of Directors</w:t>
            </w:r>
          </w:p>
        </w:tc>
        <w:tc>
          <w:tcPr>
            <w:tcW w:w="5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32</w:t>
            </w:r>
          </w:p>
        </w:tc>
      </w:tr>
      <w:tr>
        <w:trPr>
          <w:trHeight w:val="59"/>
        </w:trPr>
        <w:tc>
          <w:tcPr>
            <w:tcW w:w="160" w:type="dxa"/>
            <w:vAlign w:val="bottom"/>
          </w:tcPr>
          <w:p>
            <w:pPr>
              <w:spacing w:after="0"/>
              <w:rPr>
                <w:sz w:val="5"/>
                <w:szCs w:val="5"/>
                <w:color w:val="auto"/>
              </w:rPr>
            </w:pPr>
          </w:p>
        </w:tc>
        <w:tc>
          <w:tcPr>
            <w:tcW w:w="96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520" w:type="dxa"/>
            <w:vAlign w:val="bottom"/>
          </w:tcPr>
          <w:p>
            <w:pPr>
              <w:spacing w:after="0"/>
              <w:rPr>
                <w:sz w:val="5"/>
                <w:szCs w:val="5"/>
                <w:color w:val="auto"/>
              </w:rPr>
            </w:pPr>
          </w:p>
        </w:tc>
        <w:tc>
          <w:tcPr>
            <w:tcW w:w="540" w:type="dxa"/>
            <w:vAlign w:val="bottom"/>
          </w:tcPr>
          <w:p>
            <w:pPr>
              <w:spacing w:after="0"/>
              <w:rPr>
                <w:sz w:val="5"/>
                <w:szCs w:val="5"/>
                <w:color w:val="auto"/>
              </w:rPr>
            </w:pPr>
          </w:p>
        </w:tc>
      </w:tr>
      <w:tr>
        <w:trPr>
          <w:trHeight w:val="255"/>
        </w:trPr>
        <w:tc>
          <w:tcPr>
            <w:tcW w:w="1840" w:type="dxa"/>
            <w:vAlign w:val="bottom"/>
            <w:tcBorders>
              <w:bottom w:val="single" w:sz="8" w:color="0000EE"/>
            </w:tcBorders>
            <w:gridSpan w:val="5"/>
            <w:shd w:val="clear" w:color="auto" w:fill="CDE9F6"/>
          </w:tcPr>
          <w:p>
            <w:pPr>
              <w:spacing w:after="0"/>
              <w:rPr>
                <w:sz w:val="20"/>
                <w:szCs w:val="20"/>
                <w:color w:val="auto"/>
              </w:rPr>
            </w:pPr>
            <w:r>
              <w:rPr>
                <w:rFonts w:ascii="Times New Roman" w:cs="Times New Roman" w:eastAsia="Times New Roman" w:hAnsi="Times New Roman"/>
                <w:sz w:val="17"/>
                <w:szCs w:val="17"/>
                <w:color w:val="0000EE"/>
              </w:rPr>
              <w:t>EXECUTIVE OFFICERS</w:t>
            </w:r>
          </w:p>
        </w:tc>
        <w:tc>
          <w:tcPr>
            <w:tcW w:w="5480" w:type="dxa"/>
            <w:vAlign w:val="bottom"/>
            <w:tcBorders>
              <w:bottom w:val="single" w:sz="8" w:color="CDE9F6"/>
            </w:tcBorders>
            <w:gridSpan w:val="31"/>
            <w:shd w:val="clear" w:color="auto" w:fill="CDE9F6"/>
          </w:tcPr>
          <w:p>
            <w:pPr>
              <w:spacing w:after="0"/>
              <w:rPr>
                <w:sz w:val="22"/>
                <w:szCs w:val="22"/>
                <w:color w:val="auto"/>
              </w:rPr>
            </w:pPr>
          </w:p>
        </w:tc>
        <w:tc>
          <w:tcPr>
            <w:tcW w:w="540" w:type="dxa"/>
            <w:vAlign w:val="bottom"/>
            <w:tcBorders>
              <w:bottom w:val="single" w:sz="8" w:color="CDE9F6"/>
            </w:tcBorders>
            <w:shd w:val="clear" w:color="auto" w:fill="CDE9F6"/>
          </w:tcPr>
          <w:p>
            <w:pPr>
              <w:jc w:val="center"/>
              <w:spacing w:after="0"/>
              <w:rPr>
                <w:sz w:val="20"/>
                <w:szCs w:val="20"/>
                <w:color w:val="auto"/>
              </w:rPr>
            </w:pPr>
            <w:r>
              <w:rPr>
                <w:rFonts w:ascii="Times New Roman" w:cs="Times New Roman" w:eastAsia="Times New Roman" w:hAnsi="Times New Roman"/>
                <w:sz w:val="17"/>
                <w:szCs w:val="17"/>
                <w:color w:val="auto"/>
              </w:rPr>
              <w:t>33</w:t>
            </w:r>
          </w:p>
        </w:tc>
      </w:tr>
      <w:tr>
        <w:trPr>
          <w:trHeight w:val="196"/>
        </w:trPr>
        <w:tc>
          <w:tcPr>
            <w:tcW w:w="7320" w:type="dxa"/>
            <w:vAlign w:val="bottom"/>
            <w:gridSpan w:val="36"/>
          </w:tcPr>
          <w:p>
            <w:pPr>
              <w:spacing w:after="0"/>
              <w:rPr>
                <w:sz w:val="20"/>
                <w:szCs w:val="20"/>
                <w:color w:val="auto"/>
              </w:rPr>
            </w:pPr>
            <w:r>
              <w:rPr>
                <w:rFonts w:ascii="Times New Roman" w:cs="Times New Roman" w:eastAsia="Times New Roman" w:hAnsi="Times New Roman"/>
                <w:sz w:val="17"/>
                <w:szCs w:val="17"/>
                <w:color w:val="0000EE"/>
              </w:rPr>
              <w:t>EXECUTIVE COMPENSATION</w:t>
            </w:r>
          </w:p>
        </w:tc>
        <w:tc>
          <w:tcPr>
            <w:tcW w:w="5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34</w:t>
            </w:r>
          </w:p>
        </w:tc>
      </w:tr>
      <w:tr>
        <w:trPr>
          <w:trHeight w:val="59"/>
        </w:trPr>
        <w:tc>
          <w:tcPr>
            <w:tcW w:w="160" w:type="dxa"/>
            <w:vAlign w:val="bottom"/>
            <w:tcBorders>
              <w:top w:val="single" w:sz="8" w:color="0000EE"/>
            </w:tcBorders>
          </w:tcPr>
          <w:p>
            <w:pPr>
              <w:spacing w:after="0"/>
              <w:rPr>
                <w:sz w:val="5"/>
                <w:szCs w:val="5"/>
                <w:color w:val="auto"/>
              </w:rPr>
            </w:pPr>
          </w:p>
        </w:tc>
        <w:tc>
          <w:tcPr>
            <w:tcW w:w="96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520" w:type="dxa"/>
            <w:vAlign w:val="bottom"/>
          </w:tcPr>
          <w:p>
            <w:pPr>
              <w:spacing w:after="0"/>
              <w:rPr>
                <w:sz w:val="5"/>
                <w:szCs w:val="5"/>
                <w:color w:val="auto"/>
              </w:rPr>
            </w:pPr>
          </w:p>
        </w:tc>
        <w:tc>
          <w:tcPr>
            <w:tcW w:w="540" w:type="dxa"/>
            <w:vAlign w:val="bottom"/>
          </w:tcPr>
          <w:p>
            <w:pPr>
              <w:spacing w:after="0"/>
              <w:rPr>
                <w:sz w:val="5"/>
                <w:szCs w:val="5"/>
                <w:color w:val="auto"/>
              </w:rPr>
            </w:pPr>
          </w:p>
        </w:tc>
      </w:tr>
      <w:tr>
        <w:trPr>
          <w:trHeight w:val="255"/>
        </w:trPr>
        <w:tc>
          <w:tcPr>
            <w:tcW w:w="160" w:type="dxa"/>
            <w:vAlign w:val="bottom"/>
            <w:tcBorders>
              <w:bottom w:val="single" w:sz="8" w:color="CDE9F6"/>
            </w:tcBorders>
            <w:shd w:val="clear" w:color="auto" w:fill="CDE9F6"/>
          </w:tcPr>
          <w:p>
            <w:pPr>
              <w:spacing w:after="0"/>
              <w:rPr>
                <w:sz w:val="22"/>
                <w:szCs w:val="22"/>
                <w:color w:val="auto"/>
              </w:rPr>
            </w:pPr>
          </w:p>
        </w:tc>
        <w:tc>
          <w:tcPr>
            <w:tcW w:w="2780" w:type="dxa"/>
            <w:vAlign w:val="bottom"/>
            <w:tcBorders>
              <w:bottom w:val="single" w:sz="8" w:color="0000EE"/>
            </w:tcBorders>
            <w:gridSpan w:val="22"/>
            <w:shd w:val="clear" w:color="auto" w:fill="CDE9F6"/>
          </w:tcPr>
          <w:p>
            <w:pPr>
              <w:spacing w:after="0"/>
              <w:rPr>
                <w:sz w:val="20"/>
                <w:szCs w:val="20"/>
                <w:color w:val="auto"/>
              </w:rPr>
            </w:pPr>
            <w:r>
              <w:rPr>
                <w:rFonts w:ascii="Times New Roman" w:cs="Times New Roman" w:eastAsia="Times New Roman" w:hAnsi="Times New Roman"/>
                <w:sz w:val="17"/>
                <w:szCs w:val="17"/>
                <w:color w:val="0000EE"/>
              </w:rPr>
              <w:t>Compensation Discussion and Analysis</w:t>
            </w:r>
          </w:p>
        </w:tc>
        <w:tc>
          <w:tcPr>
            <w:tcW w:w="4380" w:type="dxa"/>
            <w:vAlign w:val="bottom"/>
            <w:tcBorders>
              <w:bottom w:val="single" w:sz="8" w:color="CDE9F6"/>
            </w:tcBorders>
            <w:gridSpan w:val="13"/>
            <w:shd w:val="clear" w:color="auto" w:fill="CDE9F6"/>
          </w:tcPr>
          <w:p>
            <w:pPr>
              <w:spacing w:after="0"/>
              <w:rPr>
                <w:sz w:val="22"/>
                <w:szCs w:val="22"/>
                <w:color w:val="auto"/>
              </w:rPr>
            </w:pPr>
          </w:p>
        </w:tc>
        <w:tc>
          <w:tcPr>
            <w:tcW w:w="540" w:type="dxa"/>
            <w:vAlign w:val="bottom"/>
            <w:tcBorders>
              <w:bottom w:val="single" w:sz="8" w:color="CDE9F6"/>
            </w:tcBorders>
            <w:shd w:val="clear" w:color="auto" w:fill="CDE9F6"/>
          </w:tcPr>
          <w:p>
            <w:pPr>
              <w:jc w:val="center"/>
              <w:spacing w:after="0"/>
              <w:rPr>
                <w:sz w:val="20"/>
                <w:szCs w:val="20"/>
                <w:color w:val="auto"/>
              </w:rPr>
            </w:pPr>
            <w:r>
              <w:rPr>
                <w:rFonts w:ascii="Times New Roman" w:cs="Times New Roman" w:eastAsia="Times New Roman" w:hAnsi="Times New Roman"/>
                <w:sz w:val="17"/>
                <w:szCs w:val="17"/>
                <w:color w:val="auto"/>
              </w:rPr>
              <w:t>34</w:t>
            </w:r>
          </w:p>
        </w:tc>
      </w:tr>
      <w:tr>
        <w:trPr>
          <w:trHeight w:val="196"/>
        </w:trPr>
        <w:tc>
          <w:tcPr>
            <w:tcW w:w="7320" w:type="dxa"/>
            <w:vAlign w:val="bottom"/>
            <w:gridSpan w:val="36"/>
          </w:tcPr>
          <w:p>
            <w:pPr>
              <w:ind w:left="160"/>
              <w:spacing w:after="0"/>
              <w:rPr>
                <w:sz w:val="20"/>
                <w:szCs w:val="20"/>
                <w:color w:val="auto"/>
              </w:rPr>
            </w:pPr>
            <w:r>
              <w:rPr>
                <w:rFonts w:ascii="Times New Roman" w:cs="Times New Roman" w:eastAsia="Times New Roman" w:hAnsi="Times New Roman"/>
                <w:sz w:val="17"/>
                <w:szCs w:val="17"/>
                <w:color w:val="0000EE"/>
              </w:rPr>
              <w:t>2025 Summary Compensation Table</w:t>
            </w:r>
          </w:p>
        </w:tc>
        <w:tc>
          <w:tcPr>
            <w:tcW w:w="5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46</w:t>
            </w:r>
          </w:p>
        </w:tc>
      </w:tr>
      <w:tr>
        <w:trPr>
          <w:trHeight w:val="59"/>
        </w:trPr>
        <w:tc>
          <w:tcPr>
            <w:tcW w:w="160" w:type="dxa"/>
            <w:vAlign w:val="bottom"/>
          </w:tcPr>
          <w:p>
            <w:pPr>
              <w:spacing w:after="0"/>
              <w:rPr>
                <w:sz w:val="5"/>
                <w:szCs w:val="5"/>
                <w:color w:val="auto"/>
              </w:rPr>
            </w:pPr>
          </w:p>
        </w:tc>
        <w:tc>
          <w:tcPr>
            <w:tcW w:w="96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520" w:type="dxa"/>
            <w:vAlign w:val="bottom"/>
          </w:tcPr>
          <w:p>
            <w:pPr>
              <w:spacing w:after="0"/>
              <w:rPr>
                <w:sz w:val="5"/>
                <w:szCs w:val="5"/>
                <w:color w:val="auto"/>
              </w:rPr>
            </w:pPr>
          </w:p>
        </w:tc>
        <w:tc>
          <w:tcPr>
            <w:tcW w:w="540" w:type="dxa"/>
            <w:vAlign w:val="bottom"/>
          </w:tcPr>
          <w:p>
            <w:pPr>
              <w:spacing w:after="0"/>
              <w:rPr>
                <w:sz w:val="5"/>
                <w:szCs w:val="5"/>
                <w:color w:val="auto"/>
              </w:rPr>
            </w:pPr>
          </w:p>
        </w:tc>
      </w:tr>
      <w:tr>
        <w:trPr>
          <w:trHeight w:val="255"/>
        </w:trPr>
        <w:tc>
          <w:tcPr>
            <w:tcW w:w="160" w:type="dxa"/>
            <w:vAlign w:val="bottom"/>
            <w:tcBorders>
              <w:bottom w:val="single" w:sz="8" w:color="CDE9F6"/>
            </w:tcBorders>
            <w:shd w:val="clear" w:color="auto" w:fill="CDE9F6"/>
          </w:tcPr>
          <w:p>
            <w:pPr>
              <w:spacing w:after="0"/>
              <w:rPr>
                <w:sz w:val="22"/>
                <w:szCs w:val="22"/>
                <w:color w:val="auto"/>
              </w:rPr>
            </w:pPr>
          </w:p>
        </w:tc>
        <w:tc>
          <w:tcPr>
            <w:tcW w:w="3080" w:type="dxa"/>
            <w:vAlign w:val="bottom"/>
            <w:tcBorders>
              <w:bottom w:val="single" w:sz="8" w:color="0000EE"/>
            </w:tcBorders>
            <w:gridSpan w:val="26"/>
            <w:shd w:val="clear" w:color="auto" w:fill="CDE9F6"/>
          </w:tcPr>
          <w:p>
            <w:pPr>
              <w:spacing w:after="0"/>
              <w:rPr>
                <w:sz w:val="20"/>
                <w:szCs w:val="20"/>
                <w:color w:val="auto"/>
              </w:rPr>
            </w:pPr>
            <w:r>
              <w:rPr>
                <w:rFonts w:ascii="Times New Roman" w:cs="Times New Roman" w:eastAsia="Times New Roman" w:hAnsi="Times New Roman"/>
                <w:sz w:val="17"/>
                <w:szCs w:val="17"/>
                <w:color w:val="0000EE"/>
              </w:rPr>
              <w:t>Grants of Plan-Based Awards in 2025 Table</w:t>
            </w:r>
          </w:p>
        </w:tc>
        <w:tc>
          <w:tcPr>
            <w:tcW w:w="4080" w:type="dxa"/>
            <w:vAlign w:val="bottom"/>
            <w:tcBorders>
              <w:bottom w:val="single" w:sz="8" w:color="CDE9F6"/>
            </w:tcBorders>
            <w:gridSpan w:val="9"/>
            <w:shd w:val="clear" w:color="auto" w:fill="CDE9F6"/>
          </w:tcPr>
          <w:p>
            <w:pPr>
              <w:spacing w:after="0"/>
              <w:rPr>
                <w:sz w:val="22"/>
                <w:szCs w:val="22"/>
                <w:color w:val="auto"/>
              </w:rPr>
            </w:pPr>
          </w:p>
        </w:tc>
        <w:tc>
          <w:tcPr>
            <w:tcW w:w="540" w:type="dxa"/>
            <w:vAlign w:val="bottom"/>
            <w:tcBorders>
              <w:bottom w:val="single" w:sz="8" w:color="CDE9F6"/>
            </w:tcBorders>
            <w:shd w:val="clear" w:color="auto" w:fill="CDE9F6"/>
          </w:tcPr>
          <w:p>
            <w:pPr>
              <w:jc w:val="center"/>
              <w:spacing w:after="0"/>
              <w:rPr>
                <w:sz w:val="20"/>
                <w:szCs w:val="20"/>
                <w:color w:val="auto"/>
              </w:rPr>
            </w:pPr>
            <w:r>
              <w:rPr>
                <w:rFonts w:ascii="Times New Roman" w:cs="Times New Roman" w:eastAsia="Times New Roman" w:hAnsi="Times New Roman"/>
                <w:sz w:val="17"/>
                <w:szCs w:val="17"/>
                <w:color w:val="auto"/>
              </w:rPr>
              <w:t>47</w:t>
            </w:r>
          </w:p>
        </w:tc>
      </w:tr>
      <w:tr>
        <w:trPr>
          <w:trHeight w:val="196"/>
        </w:trPr>
        <w:tc>
          <w:tcPr>
            <w:tcW w:w="7320" w:type="dxa"/>
            <w:vAlign w:val="bottom"/>
            <w:gridSpan w:val="36"/>
          </w:tcPr>
          <w:p>
            <w:pPr>
              <w:ind w:left="160"/>
              <w:spacing w:after="0"/>
              <w:rPr>
                <w:sz w:val="20"/>
                <w:szCs w:val="20"/>
                <w:color w:val="auto"/>
              </w:rPr>
            </w:pPr>
            <w:r>
              <w:rPr>
                <w:rFonts w:ascii="Times New Roman" w:cs="Times New Roman" w:eastAsia="Times New Roman" w:hAnsi="Times New Roman"/>
                <w:sz w:val="17"/>
                <w:szCs w:val="17"/>
                <w:color w:val="0000EE"/>
              </w:rPr>
              <w:t>Outstanding Equity Awards at 2025 Fiscal Year-End Table</w:t>
            </w:r>
          </w:p>
        </w:tc>
        <w:tc>
          <w:tcPr>
            <w:tcW w:w="5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48</w:t>
            </w:r>
          </w:p>
        </w:tc>
      </w:tr>
      <w:tr>
        <w:trPr>
          <w:trHeight w:val="59"/>
        </w:trPr>
        <w:tc>
          <w:tcPr>
            <w:tcW w:w="160" w:type="dxa"/>
            <w:vAlign w:val="bottom"/>
          </w:tcPr>
          <w:p>
            <w:pPr>
              <w:spacing w:after="0"/>
              <w:rPr>
                <w:sz w:val="5"/>
                <w:szCs w:val="5"/>
                <w:color w:val="auto"/>
              </w:rPr>
            </w:pPr>
          </w:p>
        </w:tc>
        <w:tc>
          <w:tcPr>
            <w:tcW w:w="96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820" w:type="dxa"/>
            <w:vAlign w:val="bottom"/>
            <w:tcBorders>
              <w:top w:val="single" w:sz="8" w:color="0000EE"/>
            </w:tcBorders>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520" w:type="dxa"/>
            <w:vAlign w:val="bottom"/>
          </w:tcPr>
          <w:p>
            <w:pPr>
              <w:spacing w:after="0"/>
              <w:rPr>
                <w:sz w:val="5"/>
                <w:szCs w:val="5"/>
                <w:color w:val="auto"/>
              </w:rPr>
            </w:pPr>
          </w:p>
        </w:tc>
        <w:tc>
          <w:tcPr>
            <w:tcW w:w="540" w:type="dxa"/>
            <w:vAlign w:val="bottom"/>
          </w:tcPr>
          <w:p>
            <w:pPr>
              <w:spacing w:after="0"/>
              <w:rPr>
                <w:sz w:val="5"/>
                <w:szCs w:val="5"/>
                <w:color w:val="auto"/>
              </w:rPr>
            </w:pPr>
          </w:p>
        </w:tc>
      </w:tr>
      <w:tr>
        <w:trPr>
          <w:trHeight w:val="255"/>
        </w:trPr>
        <w:tc>
          <w:tcPr>
            <w:tcW w:w="160" w:type="dxa"/>
            <w:vAlign w:val="bottom"/>
            <w:tcBorders>
              <w:bottom w:val="single" w:sz="8" w:color="CDE9F6"/>
            </w:tcBorders>
            <w:shd w:val="clear" w:color="auto" w:fill="CDE9F6"/>
          </w:tcPr>
          <w:p>
            <w:pPr>
              <w:spacing w:after="0"/>
              <w:rPr>
                <w:sz w:val="22"/>
                <w:szCs w:val="22"/>
                <w:color w:val="auto"/>
              </w:rPr>
            </w:pPr>
          </w:p>
        </w:tc>
        <w:tc>
          <w:tcPr>
            <w:tcW w:w="3280" w:type="dxa"/>
            <w:vAlign w:val="bottom"/>
            <w:tcBorders>
              <w:bottom w:val="single" w:sz="8" w:color="0000EE"/>
            </w:tcBorders>
            <w:gridSpan w:val="27"/>
            <w:shd w:val="clear" w:color="auto" w:fill="CDE9F6"/>
          </w:tcPr>
          <w:p>
            <w:pPr>
              <w:spacing w:after="0"/>
              <w:rPr>
                <w:sz w:val="20"/>
                <w:szCs w:val="20"/>
                <w:color w:val="auto"/>
              </w:rPr>
            </w:pPr>
            <w:r>
              <w:rPr>
                <w:rFonts w:ascii="Times New Roman" w:cs="Times New Roman" w:eastAsia="Times New Roman" w:hAnsi="Times New Roman"/>
                <w:sz w:val="17"/>
                <w:szCs w:val="17"/>
                <w:color w:val="0000EE"/>
              </w:rPr>
              <w:t>2025 Option Exercises and Stock Vested Table</w:t>
            </w:r>
          </w:p>
        </w:tc>
        <w:tc>
          <w:tcPr>
            <w:tcW w:w="3880" w:type="dxa"/>
            <w:vAlign w:val="bottom"/>
            <w:tcBorders>
              <w:bottom w:val="single" w:sz="8" w:color="CDE9F6"/>
            </w:tcBorders>
            <w:gridSpan w:val="8"/>
            <w:shd w:val="clear" w:color="auto" w:fill="CDE9F6"/>
          </w:tcPr>
          <w:p>
            <w:pPr>
              <w:spacing w:after="0"/>
              <w:rPr>
                <w:sz w:val="22"/>
                <w:szCs w:val="22"/>
                <w:color w:val="auto"/>
              </w:rPr>
            </w:pPr>
          </w:p>
        </w:tc>
        <w:tc>
          <w:tcPr>
            <w:tcW w:w="540" w:type="dxa"/>
            <w:vAlign w:val="bottom"/>
            <w:tcBorders>
              <w:bottom w:val="single" w:sz="8" w:color="CDE9F6"/>
            </w:tcBorders>
            <w:shd w:val="clear" w:color="auto" w:fill="CDE9F6"/>
          </w:tcPr>
          <w:p>
            <w:pPr>
              <w:jc w:val="center"/>
              <w:spacing w:after="0"/>
              <w:rPr>
                <w:sz w:val="20"/>
                <w:szCs w:val="20"/>
                <w:color w:val="auto"/>
              </w:rPr>
            </w:pPr>
            <w:r>
              <w:rPr>
                <w:rFonts w:ascii="Times New Roman" w:cs="Times New Roman" w:eastAsia="Times New Roman" w:hAnsi="Times New Roman"/>
                <w:sz w:val="17"/>
                <w:szCs w:val="17"/>
                <w:color w:val="auto"/>
              </w:rPr>
              <w:t>49</w:t>
            </w:r>
          </w:p>
        </w:tc>
      </w:tr>
      <w:tr>
        <w:trPr>
          <w:trHeight w:val="196"/>
        </w:trPr>
        <w:tc>
          <w:tcPr>
            <w:tcW w:w="7320" w:type="dxa"/>
            <w:vAlign w:val="bottom"/>
            <w:gridSpan w:val="36"/>
          </w:tcPr>
          <w:p>
            <w:pPr>
              <w:ind w:left="160"/>
              <w:spacing w:after="0"/>
              <w:rPr>
                <w:sz w:val="20"/>
                <w:szCs w:val="20"/>
                <w:color w:val="auto"/>
              </w:rPr>
            </w:pPr>
            <w:r>
              <w:rPr>
                <w:rFonts w:ascii="Times New Roman" w:cs="Times New Roman" w:eastAsia="Times New Roman" w:hAnsi="Times New Roman"/>
                <w:sz w:val="17"/>
                <w:szCs w:val="17"/>
                <w:color w:val="0000EE"/>
              </w:rPr>
              <w:t>Potential Payments Upon Termination or Change of Control</w:t>
            </w:r>
          </w:p>
        </w:tc>
        <w:tc>
          <w:tcPr>
            <w:tcW w:w="5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49</w:t>
            </w:r>
          </w:p>
        </w:tc>
      </w:tr>
      <w:tr>
        <w:trPr>
          <w:trHeight w:val="59"/>
        </w:trPr>
        <w:tc>
          <w:tcPr>
            <w:tcW w:w="160" w:type="dxa"/>
            <w:vAlign w:val="bottom"/>
          </w:tcPr>
          <w:p>
            <w:pPr>
              <w:spacing w:after="0"/>
              <w:rPr>
                <w:sz w:val="5"/>
                <w:szCs w:val="5"/>
                <w:color w:val="auto"/>
              </w:rPr>
            </w:pPr>
          </w:p>
        </w:tc>
        <w:tc>
          <w:tcPr>
            <w:tcW w:w="96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8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520" w:type="dxa"/>
            <w:vAlign w:val="bottom"/>
          </w:tcPr>
          <w:p>
            <w:pPr>
              <w:spacing w:after="0"/>
              <w:rPr>
                <w:sz w:val="5"/>
                <w:szCs w:val="5"/>
                <w:color w:val="auto"/>
              </w:rPr>
            </w:pPr>
          </w:p>
        </w:tc>
        <w:tc>
          <w:tcPr>
            <w:tcW w:w="540" w:type="dxa"/>
            <w:vAlign w:val="bottom"/>
          </w:tcPr>
          <w:p>
            <w:pPr>
              <w:spacing w:after="0"/>
              <w:rPr>
                <w:sz w:val="5"/>
                <w:szCs w:val="5"/>
                <w:color w:val="auto"/>
              </w:rPr>
            </w:pPr>
          </w:p>
        </w:tc>
      </w:tr>
      <w:tr>
        <w:trPr>
          <w:trHeight w:val="255"/>
        </w:trPr>
        <w:tc>
          <w:tcPr>
            <w:tcW w:w="160" w:type="dxa"/>
            <w:vAlign w:val="bottom"/>
            <w:tcBorders>
              <w:bottom w:val="single" w:sz="8" w:color="CDE9F6"/>
            </w:tcBorders>
            <w:shd w:val="clear" w:color="auto" w:fill="CDE9F6"/>
          </w:tcPr>
          <w:p>
            <w:pPr>
              <w:spacing w:after="0"/>
              <w:rPr>
                <w:sz w:val="22"/>
                <w:szCs w:val="22"/>
                <w:color w:val="auto"/>
              </w:rPr>
            </w:pPr>
          </w:p>
        </w:tc>
        <w:tc>
          <w:tcPr>
            <w:tcW w:w="1720" w:type="dxa"/>
            <w:vAlign w:val="bottom"/>
            <w:tcBorders>
              <w:bottom w:val="single" w:sz="8" w:color="0000EE"/>
            </w:tcBorders>
            <w:gridSpan w:val="5"/>
            <w:shd w:val="clear" w:color="auto" w:fill="CDE9F6"/>
          </w:tcPr>
          <w:p>
            <w:pPr>
              <w:spacing w:after="0"/>
              <w:rPr>
                <w:sz w:val="20"/>
                <w:szCs w:val="20"/>
                <w:color w:val="auto"/>
              </w:rPr>
            </w:pPr>
            <w:r>
              <w:rPr>
                <w:rFonts w:ascii="Times New Roman" w:cs="Times New Roman" w:eastAsia="Times New Roman" w:hAnsi="Times New Roman"/>
                <w:sz w:val="17"/>
                <w:szCs w:val="17"/>
                <w:color w:val="0000EE"/>
              </w:rPr>
              <w:t>Pay Versus Performance</w:t>
            </w:r>
          </w:p>
        </w:tc>
        <w:tc>
          <w:tcPr>
            <w:tcW w:w="5440" w:type="dxa"/>
            <w:vAlign w:val="bottom"/>
            <w:tcBorders>
              <w:bottom w:val="single" w:sz="8" w:color="CDE9F6"/>
            </w:tcBorders>
            <w:gridSpan w:val="30"/>
            <w:shd w:val="clear" w:color="auto" w:fill="CDE9F6"/>
          </w:tcPr>
          <w:p>
            <w:pPr>
              <w:spacing w:after="0"/>
              <w:rPr>
                <w:sz w:val="22"/>
                <w:szCs w:val="22"/>
                <w:color w:val="auto"/>
              </w:rPr>
            </w:pPr>
          </w:p>
        </w:tc>
        <w:tc>
          <w:tcPr>
            <w:tcW w:w="540" w:type="dxa"/>
            <w:vAlign w:val="bottom"/>
            <w:tcBorders>
              <w:bottom w:val="single" w:sz="8" w:color="CDE9F6"/>
            </w:tcBorders>
            <w:shd w:val="clear" w:color="auto" w:fill="CDE9F6"/>
          </w:tcPr>
          <w:p>
            <w:pPr>
              <w:jc w:val="center"/>
              <w:spacing w:after="0"/>
              <w:rPr>
                <w:sz w:val="20"/>
                <w:szCs w:val="20"/>
                <w:color w:val="auto"/>
              </w:rPr>
            </w:pPr>
            <w:r>
              <w:rPr>
                <w:rFonts w:ascii="Times New Roman" w:cs="Times New Roman" w:eastAsia="Times New Roman" w:hAnsi="Times New Roman"/>
                <w:sz w:val="17"/>
                <w:szCs w:val="17"/>
                <w:color w:val="auto"/>
              </w:rPr>
              <w:t>53</w:t>
            </w:r>
          </w:p>
        </w:tc>
      </w:tr>
      <w:tr>
        <w:trPr>
          <w:trHeight w:val="196"/>
        </w:trPr>
        <w:tc>
          <w:tcPr>
            <w:tcW w:w="7320" w:type="dxa"/>
            <w:vAlign w:val="bottom"/>
            <w:gridSpan w:val="36"/>
          </w:tcPr>
          <w:p>
            <w:pPr>
              <w:ind w:left="160"/>
              <w:spacing w:after="0"/>
              <w:rPr>
                <w:sz w:val="20"/>
                <w:szCs w:val="20"/>
                <w:color w:val="auto"/>
              </w:rPr>
            </w:pPr>
            <w:r>
              <w:rPr>
                <w:rFonts w:ascii="Times New Roman" w:cs="Times New Roman" w:eastAsia="Times New Roman" w:hAnsi="Times New Roman"/>
                <w:sz w:val="17"/>
                <w:szCs w:val="17"/>
                <w:color w:val="0000EE"/>
              </w:rPr>
              <w:t>CEO Pay Ratio Disclosure</w:t>
            </w:r>
          </w:p>
        </w:tc>
        <w:tc>
          <w:tcPr>
            <w:tcW w:w="5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57</w:t>
            </w:r>
          </w:p>
        </w:tc>
      </w:tr>
      <w:tr>
        <w:trPr>
          <w:trHeight w:val="59"/>
        </w:trPr>
        <w:tc>
          <w:tcPr>
            <w:tcW w:w="160" w:type="dxa"/>
            <w:vAlign w:val="bottom"/>
          </w:tcPr>
          <w:p>
            <w:pPr>
              <w:spacing w:after="0"/>
              <w:rPr>
                <w:sz w:val="5"/>
                <w:szCs w:val="5"/>
                <w:color w:val="auto"/>
              </w:rPr>
            </w:pPr>
          </w:p>
        </w:tc>
        <w:tc>
          <w:tcPr>
            <w:tcW w:w="96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520" w:type="dxa"/>
            <w:vAlign w:val="bottom"/>
          </w:tcPr>
          <w:p>
            <w:pPr>
              <w:spacing w:after="0"/>
              <w:rPr>
                <w:sz w:val="5"/>
                <w:szCs w:val="5"/>
                <w:color w:val="auto"/>
              </w:rPr>
            </w:pPr>
          </w:p>
        </w:tc>
        <w:tc>
          <w:tcPr>
            <w:tcW w:w="540" w:type="dxa"/>
            <w:vAlign w:val="bottom"/>
          </w:tcPr>
          <w:p>
            <w:pPr>
              <w:spacing w:after="0"/>
              <w:rPr>
                <w:sz w:val="5"/>
                <w:szCs w:val="5"/>
                <w:color w:val="auto"/>
              </w:rPr>
            </w:pPr>
          </w:p>
        </w:tc>
      </w:tr>
      <w:tr>
        <w:trPr>
          <w:trHeight w:val="255"/>
        </w:trPr>
        <w:tc>
          <w:tcPr>
            <w:tcW w:w="160" w:type="dxa"/>
            <w:vAlign w:val="bottom"/>
            <w:tcBorders>
              <w:bottom w:val="single" w:sz="8" w:color="CDE9F6"/>
            </w:tcBorders>
            <w:shd w:val="clear" w:color="auto" w:fill="CDE9F6"/>
          </w:tcPr>
          <w:p>
            <w:pPr>
              <w:spacing w:after="0"/>
              <w:rPr>
                <w:sz w:val="22"/>
                <w:szCs w:val="22"/>
                <w:color w:val="auto"/>
              </w:rPr>
            </w:pPr>
          </w:p>
        </w:tc>
        <w:tc>
          <w:tcPr>
            <w:tcW w:w="1900" w:type="dxa"/>
            <w:vAlign w:val="bottom"/>
            <w:tcBorders>
              <w:bottom w:val="single" w:sz="8" w:color="0000EE"/>
            </w:tcBorders>
            <w:gridSpan w:val="7"/>
            <w:shd w:val="clear" w:color="auto" w:fill="CDE9F6"/>
          </w:tcPr>
          <w:p>
            <w:pPr>
              <w:spacing w:after="0"/>
              <w:rPr>
                <w:sz w:val="20"/>
                <w:szCs w:val="20"/>
                <w:color w:val="auto"/>
              </w:rPr>
            </w:pPr>
            <w:r>
              <w:rPr>
                <w:rFonts w:ascii="Times New Roman" w:cs="Times New Roman" w:eastAsia="Times New Roman" w:hAnsi="Times New Roman"/>
                <w:sz w:val="17"/>
                <w:szCs w:val="17"/>
                <w:color w:val="0000EE"/>
              </w:rPr>
              <w:t>Compensation of Directors</w:t>
            </w:r>
          </w:p>
        </w:tc>
        <w:tc>
          <w:tcPr>
            <w:tcW w:w="5260" w:type="dxa"/>
            <w:vAlign w:val="bottom"/>
            <w:tcBorders>
              <w:bottom w:val="single" w:sz="8" w:color="CDE9F6"/>
            </w:tcBorders>
            <w:gridSpan w:val="28"/>
            <w:shd w:val="clear" w:color="auto" w:fill="CDE9F6"/>
          </w:tcPr>
          <w:p>
            <w:pPr>
              <w:spacing w:after="0"/>
              <w:rPr>
                <w:sz w:val="22"/>
                <w:szCs w:val="22"/>
                <w:color w:val="auto"/>
              </w:rPr>
            </w:pPr>
          </w:p>
        </w:tc>
        <w:tc>
          <w:tcPr>
            <w:tcW w:w="540" w:type="dxa"/>
            <w:vAlign w:val="bottom"/>
            <w:tcBorders>
              <w:bottom w:val="single" w:sz="8" w:color="CDE9F6"/>
            </w:tcBorders>
            <w:shd w:val="clear" w:color="auto" w:fill="CDE9F6"/>
          </w:tcPr>
          <w:p>
            <w:pPr>
              <w:jc w:val="center"/>
              <w:spacing w:after="0"/>
              <w:rPr>
                <w:sz w:val="20"/>
                <w:szCs w:val="20"/>
                <w:color w:val="auto"/>
              </w:rPr>
            </w:pPr>
            <w:r>
              <w:rPr>
                <w:rFonts w:ascii="Times New Roman" w:cs="Times New Roman" w:eastAsia="Times New Roman" w:hAnsi="Times New Roman"/>
                <w:sz w:val="17"/>
                <w:szCs w:val="17"/>
                <w:color w:val="auto"/>
              </w:rPr>
              <w:t>58</w:t>
            </w:r>
          </w:p>
        </w:tc>
      </w:tr>
      <w:tr>
        <w:trPr>
          <w:trHeight w:val="196"/>
        </w:trPr>
        <w:tc>
          <w:tcPr>
            <w:tcW w:w="7320" w:type="dxa"/>
            <w:vAlign w:val="bottom"/>
            <w:gridSpan w:val="36"/>
          </w:tcPr>
          <w:p>
            <w:pPr>
              <w:ind w:left="160"/>
              <w:spacing w:after="0"/>
              <w:rPr>
                <w:sz w:val="20"/>
                <w:szCs w:val="20"/>
                <w:color w:val="auto"/>
              </w:rPr>
            </w:pPr>
            <w:r>
              <w:rPr>
                <w:rFonts w:ascii="Times New Roman" w:cs="Times New Roman" w:eastAsia="Times New Roman" w:hAnsi="Times New Roman"/>
                <w:sz w:val="17"/>
                <w:szCs w:val="17"/>
                <w:color w:val="0000EE"/>
              </w:rPr>
              <w:t>Equity Compensation Plan Information</w:t>
            </w:r>
          </w:p>
        </w:tc>
        <w:tc>
          <w:tcPr>
            <w:tcW w:w="5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61</w:t>
            </w:r>
          </w:p>
        </w:tc>
      </w:tr>
      <w:tr>
        <w:trPr>
          <w:trHeight w:val="59"/>
        </w:trPr>
        <w:tc>
          <w:tcPr>
            <w:tcW w:w="160" w:type="dxa"/>
            <w:vAlign w:val="bottom"/>
          </w:tcPr>
          <w:p>
            <w:pPr>
              <w:spacing w:after="0"/>
              <w:rPr>
                <w:sz w:val="5"/>
                <w:szCs w:val="5"/>
                <w:color w:val="auto"/>
              </w:rPr>
            </w:pPr>
          </w:p>
        </w:tc>
        <w:tc>
          <w:tcPr>
            <w:tcW w:w="96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520" w:type="dxa"/>
            <w:vAlign w:val="bottom"/>
          </w:tcPr>
          <w:p>
            <w:pPr>
              <w:spacing w:after="0"/>
              <w:rPr>
                <w:sz w:val="5"/>
                <w:szCs w:val="5"/>
                <w:color w:val="auto"/>
              </w:rPr>
            </w:pPr>
          </w:p>
        </w:tc>
        <w:tc>
          <w:tcPr>
            <w:tcW w:w="540" w:type="dxa"/>
            <w:vAlign w:val="bottom"/>
          </w:tcPr>
          <w:p>
            <w:pPr>
              <w:spacing w:after="0"/>
              <w:rPr>
                <w:sz w:val="5"/>
                <w:szCs w:val="5"/>
                <w:color w:val="auto"/>
              </w:rPr>
            </w:pPr>
          </w:p>
        </w:tc>
      </w:tr>
      <w:tr>
        <w:trPr>
          <w:trHeight w:val="255"/>
        </w:trPr>
        <w:tc>
          <w:tcPr>
            <w:tcW w:w="4720" w:type="dxa"/>
            <w:vAlign w:val="bottom"/>
            <w:tcBorders>
              <w:bottom w:val="single" w:sz="8" w:color="0000EE"/>
            </w:tcBorders>
            <w:gridSpan w:val="31"/>
            <w:shd w:val="clear" w:color="auto" w:fill="CDE9F6"/>
          </w:tcPr>
          <w:p>
            <w:pPr>
              <w:spacing w:after="0"/>
              <w:rPr>
                <w:sz w:val="20"/>
                <w:szCs w:val="20"/>
                <w:color w:val="auto"/>
              </w:rPr>
            </w:pPr>
            <w:r>
              <w:rPr>
                <w:rFonts w:ascii="Times New Roman" w:cs="Times New Roman" w:eastAsia="Times New Roman" w:hAnsi="Times New Roman"/>
                <w:sz w:val="17"/>
                <w:szCs w:val="17"/>
                <w:color w:val="0000EE"/>
              </w:rPr>
              <w:t>CERTAIN RELATIONSHIPS AND RELATED TRANSACTIONS</w:t>
            </w:r>
          </w:p>
        </w:tc>
        <w:tc>
          <w:tcPr>
            <w:tcW w:w="2600" w:type="dxa"/>
            <w:vAlign w:val="bottom"/>
            <w:tcBorders>
              <w:bottom w:val="single" w:sz="8" w:color="CDE9F6"/>
            </w:tcBorders>
            <w:gridSpan w:val="5"/>
            <w:shd w:val="clear" w:color="auto" w:fill="CDE9F6"/>
          </w:tcPr>
          <w:p>
            <w:pPr>
              <w:spacing w:after="0"/>
              <w:rPr>
                <w:sz w:val="22"/>
                <w:szCs w:val="22"/>
                <w:color w:val="auto"/>
              </w:rPr>
            </w:pPr>
          </w:p>
        </w:tc>
        <w:tc>
          <w:tcPr>
            <w:tcW w:w="540" w:type="dxa"/>
            <w:vAlign w:val="bottom"/>
            <w:tcBorders>
              <w:bottom w:val="single" w:sz="8" w:color="CDE9F6"/>
            </w:tcBorders>
            <w:shd w:val="clear" w:color="auto" w:fill="CDE9F6"/>
          </w:tcPr>
          <w:p>
            <w:pPr>
              <w:jc w:val="center"/>
              <w:spacing w:after="0"/>
              <w:rPr>
                <w:sz w:val="20"/>
                <w:szCs w:val="20"/>
                <w:color w:val="auto"/>
              </w:rPr>
            </w:pPr>
            <w:r>
              <w:rPr>
                <w:rFonts w:ascii="Times New Roman" w:cs="Times New Roman" w:eastAsia="Times New Roman" w:hAnsi="Times New Roman"/>
                <w:sz w:val="17"/>
                <w:szCs w:val="17"/>
                <w:color w:val="auto"/>
              </w:rPr>
              <w:t>62</w:t>
            </w:r>
          </w:p>
        </w:tc>
      </w:tr>
      <w:tr>
        <w:trPr>
          <w:trHeight w:val="196"/>
        </w:trPr>
        <w:tc>
          <w:tcPr>
            <w:tcW w:w="7320" w:type="dxa"/>
            <w:vAlign w:val="bottom"/>
            <w:gridSpan w:val="36"/>
          </w:tcPr>
          <w:p>
            <w:pPr>
              <w:ind w:left="160"/>
              <w:spacing w:after="0"/>
              <w:rPr>
                <w:sz w:val="20"/>
                <w:szCs w:val="20"/>
                <w:color w:val="auto"/>
              </w:rPr>
            </w:pPr>
            <w:r>
              <w:rPr>
                <w:rFonts w:ascii="Times New Roman" w:cs="Times New Roman" w:eastAsia="Times New Roman" w:hAnsi="Times New Roman"/>
                <w:sz w:val="17"/>
                <w:szCs w:val="17"/>
                <w:color w:val="0000EE"/>
              </w:rPr>
              <w:t>Related-Person Transactions</w:t>
            </w:r>
          </w:p>
        </w:tc>
        <w:tc>
          <w:tcPr>
            <w:tcW w:w="5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62</w:t>
            </w:r>
          </w:p>
        </w:tc>
      </w:tr>
      <w:tr>
        <w:trPr>
          <w:trHeight w:val="59"/>
        </w:trPr>
        <w:tc>
          <w:tcPr>
            <w:tcW w:w="160" w:type="dxa"/>
            <w:vAlign w:val="bottom"/>
          </w:tcPr>
          <w:p>
            <w:pPr>
              <w:spacing w:after="0"/>
              <w:rPr>
                <w:sz w:val="5"/>
                <w:szCs w:val="5"/>
                <w:color w:val="auto"/>
              </w:rPr>
            </w:pPr>
          </w:p>
        </w:tc>
        <w:tc>
          <w:tcPr>
            <w:tcW w:w="96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520" w:type="dxa"/>
            <w:vAlign w:val="bottom"/>
          </w:tcPr>
          <w:p>
            <w:pPr>
              <w:spacing w:after="0"/>
              <w:rPr>
                <w:sz w:val="5"/>
                <w:szCs w:val="5"/>
                <w:color w:val="auto"/>
              </w:rPr>
            </w:pPr>
          </w:p>
        </w:tc>
        <w:tc>
          <w:tcPr>
            <w:tcW w:w="540" w:type="dxa"/>
            <w:vAlign w:val="bottom"/>
          </w:tcPr>
          <w:p>
            <w:pPr>
              <w:spacing w:after="0"/>
              <w:rPr>
                <w:sz w:val="5"/>
                <w:szCs w:val="5"/>
                <w:color w:val="auto"/>
              </w:rPr>
            </w:pPr>
          </w:p>
        </w:tc>
      </w:tr>
      <w:tr>
        <w:trPr>
          <w:trHeight w:val="255"/>
        </w:trPr>
        <w:tc>
          <w:tcPr>
            <w:tcW w:w="160" w:type="dxa"/>
            <w:vAlign w:val="bottom"/>
            <w:tcBorders>
              <w:bottom w:val="single" w:sz="8" w:color="CDE9F6"/>
            </w:tcBorders>
            <w:shd w:val="clear" w:color="auto" w:fill="CDE9F6"/>
          </w:tcPr>
          <w:p>
            <w:pPr>
              <w:spacing w:after="0"/>
              <w:rPr>
                <w:sz w:val="22"/>
                <w:szCs w:val="22"/>
                <w:color w:val="auto"/>
              </w:rPr>
            </w:pPr>
          </w:p>
        </w:tc>
        <w:tc>
          <w:tcPr>
            <w:tcW w:w="2780" w:type="dxa"/>
            <w:vAlign w:val="bottom"/>
            <w:tcBorders>
              <w:bottom w:val="single" w:sz="8" w:color="0000EE"/>
            </w:tcBorders>
            <w:gridSpan w:val="22"/>
            <w:shd w:val="clear" w:color="auto" w:fill="CDE9F6"/>
          </w:tcPr>
          <w:p>
            <w:pPr>
              <w:spacing w:after="0"/>
              <w:rPr>
                <w:sz w:val="20"/>
                <w:szCs w:val="20"/>
                <w:color w:val="auto"/>
              </w:rPr>
            </w:pPr>
            <w:r>
              <w:rPr>
                <w:rFonts w:ascii="Times New Roman" w:cs="Times New Roman" w:eastAsia="Times New Roman" w:hAnsi="Times New Roman"/>
                <w:sz w:val="17"/>
                <w:szCs w:val="17"/>
                <w:color w:val="0000EE"/>
              </w:rPr>
              <w:t>Review of Related-Person Transactions</w:t>
            </w:r>
          </w:p>
        </w:tc>
        <w:tc>
          <w:tcPr>
            <w:tcW w:w="4380" w:type="dxa"/>
            <w:vAlign w:val="bottom"/>
            <w:tcBorders>
              <w:bottom w:val="single" w:sz="8" w:color="CDE9F6"/>
            </w:tcBorders>
            <w:gridSpan w:val="13"/>
            <w:shd w:val="clear" w:color="auto" w:fill="CDE9F6"/>
          </w:tcPr>
          <w:p>
            <w:pPr>
              <w:spacing w:after="0"/>
              <w:rPr>
                <w:sz w:val="22"/>
                <w:szCs w:val="22"/>
                <w:color w:val="auto"/>
              </w:rPr>
            </w:pPr>
          </w:p>
        </w:tc>
        <w:tc>
          <w:tcPr>
            <w:tcW w:w="540" w:type="dxa"/>
            <w:vAlign w:val="bottom"/>
            <w:tcBorders>
              <w:bottom w:val="single" w:sz="8" w:color="CDE9F6"/>
            </w:tcBorders>
            <w:shd w:val="clear" w:color="auto" w:fill="CDE9F6"/>
          </w:tcPr>
          <w:p>
            <w:pPr>
              <w:jc w:val="center"/>
              <w:spacing w:after="0"/>
              <w:rPr>
                <w:sz w:val="20"/>
                <w:szCs w:val="20"/>
                <w:color w:val="auto"/>
              </w:rPr>
            </w:pPr>
            <w:r>
              <w:rPr>
                <w:rFonts w:ascii="Times New Roman" w:cs="Times New Roman" w:eastAsia="Times New Roman" w:hAnsi="Times New Roman"/>
                <w:sz w:val="17"/>
                <w:szCs w:val="17"/>
                <w:color w:val="auto"/>
              </w:rPr>
              <w:t>62</w:t>
            </w:r>
          </w:p>
        </w:tc>
      </w:tr>
      <w:tr>
        <w:trPr>
          <w:trHeight w:val="196"/>
        </w:trPr>
        <w:tc>
          <w:tcPr>
            <w:tcW w:w="7320" w:type="dxa"/>
            <w:vAlign w:val="bottom"/>
            <w:gridSpan w:val="36"/>
          </w:tcPr>
          <w:p>
            <w:pPr>
              <w:spacing w:after="0"/>
              <w:rPr>
                <w:sz w:val="20"/>
                <w:szCs w:val="20"/>
                <w:color w:val="auto"/>
              </w:rPr>
            </w:pPr>
            <w:r>
              <w:rPr>
                <w:rFonts w:ascii="Times New Roman" w:cs="Times New Roman" w:eastAsia="Times New Roman" w:hAnsi="Times New Roman"/>
                <w:sz w:val="17"/>
                <w:szCs w:val="17"/>
                <w:color w:val="0000EE"/>
              </w:rPr>
              <w:t>DELINQUENT SECTION 16(A) REPORTS</w:t>
            </w:r>
          </w:p>
        </w:tc>
        <w:tc>
          <w:tcPr>
            <w:tcW w:w="5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63</w:t>
            </w:r>
          </w:p>
        </w:tc>
      </w:tr>
      <w:tr>
        <w:trPr>
          <w:trHeight w:val="59"/>
        </w:trPr>
        <w:tc>
          <w:tcPr>
            <w:tcW w:w="160" w:type="dxa"/>
            <w:vAlign w:val="bottom"/>
            <w:tcBorders>
              <w:top w:val="single" w:sz="8" w:color="0000EE"/>
            </w:tcBorders>
          </w:tcPr>
          <w:p>
            <w:pPr>
              <w:spacing w:after="0"/>
              <w:rPr>
                <w:sz w:val="5"/>
                <w:szCs w:val="5"/>
                <w:color w:val="auto"/>
              </w:rPr>
            </w:pPr>
          </w:p>
        </w:tc>
        <w:tc>
          <w:tcPr>
            <w:tcW w:w="96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520" w:type="dxa"/>
            <w:vAlign w:val="bottom"/>
          </w:tcPr>
          <w:p>
            <w:pPr>
              <w:spacing w:after="0"/>
              <w:rPr>
                <w:sz w:val="5"/>
                <w:szCs w:val="5"/>
                <w:color w:val="auto"/>
              </w:rPr>
            </w:pPr>
          </w:p>
        </w:tc>
        <w:tc>
          <w:tcPr>
            <w:tcW w:w="540" w:type="dxa"/>
            <w:vAlign w:val="bottom"/>
          </w:tcPr>
          <w:p>
            <w:pPr>
              <w:spacing w:after="0"/>
              <w:rPr>
                <w:sz w:val="5"/>
                <w:szCs w:val="5"/>
                <w:color w:val="auto"/>
              </w:rPr>
            </w:pPr>
          </w:p>
        </w:tc>
      </w:tr>
      <w:tr>
        <w:trPr>
          <w:trHeight w:val="255"/>
        </w:trPr>
        <w:tc>
          <w:tcPr>
            <w:tcW w:w="2320" w:type="dxa"/>
            <w:vAlign w:val="bottom"/>
            <w:tcBorders>
              <w:bottom w:val="single" w:sz="8" w:color="0000EE"/>
            </w:tcBorders>
            <w:gridSpan w:val="14"/>
            <w:shd w:val="clear" w:color="auto" w:fill="CDE9F6"/>
          </w:tcPr>
          <w:p>
            <w:pPr>
              <w:spacing w:after="0"/>
              <w:rPr>
                <w:sz w:val="20"/>
                <w:szCs w:val="20"/>
                <w:color w:val="auto"/>
              </w:rPr>
            </w:pPr>
            <w:r>
              <w:rPr>
                <w:rFonts w:ascii="Times New Roman" w:cs="Times New Roman" w:eastAsia="Times New Roman" w:hAnsi="Times New Roman"/>
                <w:sz w:val="17"/>
                <w:szCs w:val="17"/>
                <w:color w:val="0000EE"/>
              </w:rPr>
              <w:t>OWNERSHIP OF SECURITIES</w:t>
            </w:r>
          </w:p>
        </w:tc>
        <w:tc>
          <w:tcPr>
            <w:tcW w:w="5000" w:type="dxa"/>
            <w:vAlign w:val="bottom"/>
            <w:tcBorders>
              <w:bottom w:val="single" w:sz="8" w:color="CDE9F6"/>
            </w:tcBorders>
            <w:gridSpan w:val="22"/>
            <w:shd w:val="clear" w:color="auto" w:fill="CDE9F6"/>
          </w:tcPr>
          <w:p>
            <w:pPr>
              <w:spacing w:after="0"/>
              <w:rPr>
                <w:sz w:val="22"/>
                <w:szCs w:val="22"/>
                <w:color w:val="auto"/>
              </w:rPr>
            </w:pPr>
          </w:p>
        </w:tc>
        <w:tc>
          <w:tcPr>
            <w:tcW w:w="540" w:type="dxa"/>
            <w:vAlign w:val="bottom"/>
            <w:tcBorders>
              <w:bottom w:val="single" w:sz="8" w:color="CDE9F6"/>
            </w:tcBorders>
            <w:shd w:val="clear" w:color="auto" w:fill="CDE9F6"/>
          </w:tcPr>
          <w:p>
            <w:pPr>
              <w:jc w:val="center"/>
              <w:spacing w:after="0"/>
              <w:rPr>
                <w:sz w:val="20"/>
                <w:szCs w:val="20"/>
                <w:color w:val="auto"/>
              </w:rPr>
            </w:pPr>
            <w:r>
              <w:rPr>
                <w:rFonts w:ascii="Times New Roman" w:cs="Times New Roman" w:eastAsia="Times New Roman" w:hAnsi="Times New Roman"/>
                <w:sz w:val="17"/>
                <w:szCs w:val="17"/>
                <w:color w:val="auto"/>
              </w:rPr>
              <w:t>64</w:t>
            </w:r>
          </w:p>
        </w:tc>
      </w:tr>
      <w:tr>
        <w:trPr>
          <w:trHeight w:val="196"/>
        </w:trPr>
        <w:tc>
          <w:tcPr>
            <w:tcW w:w="7320" w:type="dxa"/>
            <w:vAlign w:val="bottom"/>
            <w:gridSpan w:val="36"/>
          </w:tcPr>
          <w:p>
            <w:pPr>
              <w:spacing w:after="0"/>
              <w:rPr>
                <w:sz w:val="20"/>
                <w:szCs w:val="20"/>
                <w:color w:val="auto"/>
              </w:rPr>
            </w:pPr>
            <w:r>
              <w:rPr>
                <w:rFonts w:ascii="Times New Roman" w:cs="Times New Roman" w:eastAsia="Times New Roman" w:hAnsi="Times New Roman"/>
                <w:sz w:val="17"/>
                <w:szCs w:val="17"/>
                <w:color w:val="0000EE"/>
              </w:rPr>
              <w:t>AUDIT COMMITTEE REPORT</w:t>
            </w:r>
          </w:p>
        </w:tc>
        <w:tc>
          <w:tcPr>
            <w:tcW w:w="5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66</w:t>
            </w:r>
          </w:p>
        </w:tc>
      </w:tr>
      <w:tr>
        <w:trPr>
          <w:trHeight w:val="59"/>
        </w:trPr>
        <w:tc>
          <w:tcPr>
            <w:tcW w:w="160" w:type="dxa"/>
            <w:vAlign w:val="bottom"/>
            <w:tcBorders>
              <w:top w:val="single" w:sz="8" w:color="0000EE"/>
            </w:tcBorders>
          </w:tcPr>
          <w:p>
            <w:pPr>
              <w:spacing w:after="0"/>
              <w:rPr>
                <w:sz w:val="5"/>
                <w:szCs w:val="5"/>
                <w:color w:val="auto"/>
              </w:rPr>
            </w:pPr>
          </w:p>
        </w:tc>
        <w:tc>
          <w:tcPr>
            <w:tcW w:w="96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520" w:type="dxa"/>
            <w:vAlign w:val="bottom"/>
          </w:tcPr>
          <w:p>
            <w:pPr>
              <w:spacing w:after="0"/>
              <w:rPr>
                <w:sz w:val="5"/>
                <w:szCs w:val="5"/>
                <w:color w:val="auto"/>
              </w:rPr>
            </w:pPr>
          </w:p>
        </w:tc>
        <w:tc>
          <w:tcPr>
            <w:tcW w:w="540" w:type="dxa"/>
            <w:vAlign w:val="bottom"/>
          </w:tcPr>
          <w:p>
            <w:pPr>
              <w:spacing w:after="0"/>
              <w:rPr>
                <w:sz w:val="5"/>
                <w:szCs w:val="5"/>
                <w:color w:val="auto"/>
              </w:rPr>
            </w:pPr>
          </w:p>
        </w:tc>
      </w:tr>
      <w:tr>
        <w:trPr>
          <w:trHeight w:val="196"/>
        </w:trPr>
        <w:tc>
          <w:tcPr>
            <w:tcW w:w="7320" w:type="dxa"/>
            <w:vAlign w:val="bottom"/>
            <w:gridSpan w:val="36"/>
            <w:shd w:val="clear" w:color="auto" w:fill="CDE9F6"/>
          </w:tcPr>
          <w:p>
            <w:pPr>
              <w:spacing w:after="0"/>
              <w:rPr>
                <w:sz w:val="20"/>
                <w:szCs w:val="20"/>
                <w:color w:val="auto"/>
              </w:rPr>
            </w:pPr>
            <w:r>
              <w:rPr>
                <w:rFonts w:ascii="Times New Roman" w:cs="Times New Roman" w:eastAsia="Times New Roman" w:hAnsi="Times New Roman"/>
                <w:sz w:val="17"/>
                <w:szCs w:val="17"/>
                <w:color w:val="0000EE"/>
              </w:rPr>
              <w:t>OTHER MATTERS</w:t>
            </w:r>
          </w:p>
        </w:tc>
        <w:tc>
          <w:tcPr>
            <w:tcW w:w="540" w:type="dxa"/>
            <w:vAlign w:val="bottom"/>
            <w:shd w:val="clear" w:color="auto" w:fill="CDE9F6"/>
          </w:tcPr>
          <w:p>
            <w:pPr>
              <w:jc w:val="center"/>
              <w:spacing w:after="0"/>
              <w:rPr>
                <w:sz w:val="20"/>
                <w:szCs w:val="20"/>
                <w:color w:val="auto"/>
              </w:rPr>
            </w:pPr>
            <w:r>
              <w:rPr>
                <w:rFonts w:ascii="Times New Roman" w:cs="Times New Roman" w:eastAsia="Times New Roman" w:hAnsi="Times New Roman"/>
                <w:sz w:val="17"/>
                <w:szCs w:val="17"/>
                <w:color w:val="auto"/>
              </w:rPr>
              <w:t>67</w:t>
            </w:r>
          </w:p>
        </w:tc>
      </w:tr>
      <w:tr>
        <w:trPr>
          <w:trHeight w:val="59"/>
        </w:trPr>
        <w:tc>
          <w:tcPr>
            <w:tcW w:w="160" w:type="dxa"/>
            <w:vAlign w:val="bottom"/>
            <w:tcBorders>
              <w:top w:val="single" w:sz="8" w:color="0000EE"/>
            </w:tcBorders>
            <w:shd w:val="clear" w:color="auto" w:fill="CDE9F6"/>
          </w:tcPr>
          <w:p>
            <w:pPr>
              <w:spacing w:after="0"/>
              <w:rPr>
                <w:sz w:val="5"/>
                <w:szCs w:val="5"/>
                <w:color w:val="auto"/>
              </w:rPr>
            </w:pPr>
          </w:p>
        </w:tc>
        <w:tc>
          <w:tcPr>
            <w:tcW w:w="960" w:type="dxa"/>
            <w:vAlign w:val="bottom"/>
            <w:tcBorders>
              <w:top w:val="single" w:sz="8" w:color="0000EE"/>
            </w:tcBorders>
            <w:shd w:val="clear" w:color="auto" w:fill="CDE9F6"/>
          </w:tcPr>
          <w:p>
            <w:pPr>
              <w:spacing w:after="0"/>
              <w:rPr>
                <w:sz w:val="5"/>
                <w:szCs w:val="5"/>
                <w:color w:val="auto"/>
              </w:rPr>
            </w:pPr>
          </w:p>
        </w:tc>
        <w:tc>
          <w:tcPr>
            <w:tcW w:w="300" w:type="dxa"/>
            <w:vAlign w:val="bottom"/>
            <w:tcBorders>
              <w:top w:val="single" w:sz="8" w:color="0000EE"/>
            </w:tcBorders>
            <w:shd w:val="clear" w:color="auto" w:fill="CDE9F6"/>
          </w:tcPr>
          <w:p>
            <w:pPr>
              <w:spacing w:after="0"/>
              <w:rPr>
                <w:sz w:val="5"/>
                <w:szCs w:val="5"/>
                <w:color w:val="auto"/>
              </w:rPr>
            </w:pPr>
          </w:p>
        </w:tc>
        <w:tc>
          <w:tcPr>
            <w:tcW w:w="340" w:type="dxa"/>
            <w:vAlign w:val="bottom"/>
            <w:tcBorders>
              <w:top w:val="single" w:sz="8" w:color="CDE9F6"/>
            </w:tcBorders>
            <w:shd w:val="clear" w:color="auto" w:fill="CDE9F6"/>
          </w:tcPr>
          <w:p>
            <w:pPr>
              <w:spacing w:after="0"/>
              <w:rPr>
                <w:sz w:val="5"/>
                <w:szCs w:val="5"/>
                <w:color w:val="auto"/>
              </w:rPr>
            </w:pPr>
          </w:p>
        </w:tc>
        <w:tc>
          <w:tcPr>
            <w:tcW w:w="80" w:type="dxa"/>
            <w:vAlign w:val="bottom"/>
            <w:tcBorders>
              <w:top w:val="single" w:sz="8" w:color="CDE9F6"/>
            </w:tcBorders>
            <w:shd w:val="clear" w:color="auto" w:fill="CDE9F6"/>
          </w:tcPr>
          <w:p>
            <w:pPr>
              <w:spacing w:after="0"/>
              <w:rPr>
                <w:sz w:val="5"/>
                <w:szCs w:val="5"/>
                <w:color w:val="auto"/>
              </w:rPr>
            </w:pPr>
          </w:p>
        </w:tc>
        <w:tc>
          <w:tcPr>
            <w:tcW w:w="40" w:type="dxa"/>
            <w:vAlign w:val="bottom"/>
            <w:tcBorders>
              <w:top w:val="single" w:sz="8" w:color="CDE9F6"/>
            </w:tcBorders>
            <w:shd w:val="clear" w:color="auto" w:fill="CDE9F6"/>
          </w:tcPr>
          <w:p>
            <w:pPr>
              <w:spacing w:after="0"/>
              <w:rPr>
                <w:sz w:val="5"/>
                <w:szCs w:val="5"/>
                <w:color w:val="auto"/>
              </w:rPr>
            </w:pPr>
          </w:p>
        </w:tc>
        <w:tc>
          <w:tcPr>
            <w:tcW w:w="160" w:type="dxa"/>
            <w:vAlign w:val="bottom"/>
            <w:tcBorders>
              <w:top w:val="single" w:sz="8" w:color="CDE9F6"/>
            </w:tcBorders>
            <w:shd w:val="clear" w:color="auto" w:fill="CDE9F6"/>
          </w:tcPr>
          <w:p>
            <w:pPr>
              <w:spacing w:after="0"/>
              <w:rPr>
                <w:sz w:val="5"/>
                <w:szCs w:val="5"/>
                <w:color w:val="auto"/>
              </w:rPr>
            </w:pPr>
          </w:p>
        </w:tc>
        <w:tc>
          <w:tcPr>
            <w:tcW w:w="20" w:type="dxa"/>
            <w:vAlign w:val="bottom"/>
            <w:tcBorders>
              <w:top w:val="single" w:sz="8" w:color="CDE9F6"/>
            </w:tcBorders>
            <w:shd w:val="clear" w:color="auto" w:fill="CDE9F6"/>
          </w:tcPr>
          <w:p>
            <w:pPr>
              <w:spacing w:after="0"/>
              <w:rPr>
                <w:sz w:val="5"/>
                <w:szCs w:val="5"/>
                <w:color w:val="auto"/>
              </w:rPr>
            </w:pPr>
          </w:p>
        </w:tc>
        <w:tc>
          <w:tcPr>
            <w:tcW w:w="40" w:type="dxa"/>
            <w:vAlign w:val="bottom"/>
            <w:tcBorders>
              <w:top w:val="single" w:sz="8" w:color="CDE9F6"/>
            </w:tcBorders>
            <w:shd w:val="clear" w:color="auto" w:fill="CDE9F6"/>
          </w:tcPr>
          <w:p>
            <w:pPr>
              <w:spacing w:after="0"/>
              <w:rPr>
                <w:sz w:val="5"/>
                <w:szCs w:val="5"/>
                <w:color w:val="auto"/>
              </w:rPr>
            </w:pPr>
          </w:p>
        </w:tc>
        <w:tc>
          <w:tcPr>
            <w:tcW w:w="60" w:type="dxa"/>
            <w:vAlign w:val="bottom"/>
            <w:tcBorders>
              <w:top w:val="single" w:sz="8" w:color="CDE9F6"/>
            </w:tcBorders>
            <w:shd w:val="clear" w:color="auto" w:fill="CDE9F6"/>
          </w:tcPr>
          <w:p>
            <w:pPr>
              <w:spacing w:after="0"/>
              <w:rPr>
                <w:sz w:val="5"/>
                <w:szCs w:val="5"/>
                <w:color w:val="auto"/>
              </w:rPr>
            </w:pPr>
          </w:p>
        </w:tc>
        <w:tc>
          <w:tcPr>
            <w:tcW w:w="20" w:type="dxa"/>
            <w:vAlign w:val="bottom"/>
            <w:tcBorders>
              <w:top w:val="single" w:sz="8" w:color="CDE9F6"/>
            </w:tcBorders>
            <w:shd w:val="clear" w:color="auto" w:fill="CDE9F6"/>
          </w:tcPr>
          <w:p>
            <w:pPr>
              <w:spacing w:after="0"/>
              <w:rPr>
                <w:sz w:val="5"/>
                <w:szCs w:val="5"/>
                <w:color w:val="auto"/>
              </w:rPr>
            </w:pPr>
          </w:p>
        </w:tc>
        <w:tc>
          <w:tcPr>
            <w:tcW w:w="60" w:type="dxa"/>
            <w:vAlign w:val="bottom"/>
            <w:tcBorders>
              <w:top w:val="single" w:sz="8" w:color="CDE9F6"/>
            </w:tcBorders>
            <w:shd w:val="clear" w:color="auto" w:fill="CDE9F6"/>
          </w:tcPr>
          <w:p>
            <w:pPr>
              <w:spacing w:after="0"/>
              <w:rPr>
                <w:sz w:val="5"/>
                <w:szCs w:val="5"/>
                <w:color w:val="auto"/>
              </w:rPr>
            </w:pPr>
          </w:p>
        </w:tc>
        <w:tc>
          <w:tcPr>
            <w:tcW w:w="20" w:type="dxa"/>
            <w:vAlign w:val="bottom"/>
            <w:tcBorders>
              <w:top w:val="single" w:sz="8" w:color="CDE9F6"/>
            </w:tcBorders>
            <w:shd w:val="clear" w:color="auto" w:fill="CDE9F6"/>
          </w:tcPr>
          <w:p>
            <w:pPr>
              <w:spacing w:after="0"/>
              <w:rPr>
                <w:sz w:val="5"/>
                <w:szCs w:val="5"/>
                <w:color w:val="auto"/>
              </w:rPr>
            </w:pPr>
          </w:p>
        </w:tc>
        <w:tc>
          <w:tcPr>
            <w:tcW w:w="60" w:type="dxa"/>
            <w:vAlign w:val="bottom"/>
            <w:tcBorders>
              <w:top w:val="single" w:sz="8" w:color="CDE9F6"/>
            </w:tcBorders>
            <w:shd w:val="clear" w:color="auto" w:fill="CDE9F6"/>
          </w:tcPr>
          <w:p>
            <w:pPr>
              <w:spacing w:after="0"/>
              <w:rPr>
                <w:sz w:val="5"/>
                <w:szCs w:val="5"/>
                <w:color w:val="auto"/>
              </w:rPr>
            </w:pPr>
          </w:p>
        </w:tc>
        <w:tc>
          <w:tcPr>
            <w:tcW w:w="40" w:type="dxa"/>
            <w:vAlign w:val="bottom"/>
            <w:tcBorders>
              <w:top w:val="single" w:sz="8" w:color="CDE9F6"/>
            </w:tcBorders>
            <w:shd w:val="clear" w:color="auto" w:fill="CDE9F6"/>
          </w:tcPr>
          <w:p>
            <w:pPr>
              <w:spacing w:after="0"/>
              <w:rPr>
                <w:sz w:val="5"/>
                <w:szCs w:val="5"/>
                <w:color w:val="auto"/>
              </w:rPr>
            </w:pPr>
          </w:p>
        </w:tc>
        <w:tc>
          <w:tcPr>
            <w:tcW w:w="60" w:type="dxa"/>
            <w:vAlign w:val="bottom"/>
            <w:tcBorders>
              <w:top w:val="single" w:sz="8" w:color="CDE9F6"/>
            </w:tcBorders>
            <w:shd w:val="clear" w:color="auto" w:fill="CDE9F6"/>
          </w:tcPr>
          <w:p>
            <w:pPr>
              <w:spacing w:after="0"/>
              <w:rPr>
                <w:sz w:val="5"/>
                <w:szCs w:val="5"/>
                <w:color w:val="auto"/>
              </w:rPr>
            </w:pPr>
          </w:p>
        </w:tc>
        <w:tc>
          <w:tcPr>
            <w:tcW w:w="60" w:type="dxa"/>
            <w:vAlign w:val="bottom"/>
            <w:tcBorders>
              <w:top w:val="single" w:sz="8" w:color="CDE9F6"/>
            </w:tcBorders>
            <w:shd w:val="clear" w:color="auto" w:fill="CDE9F6"/>
          </w:tcPr>
          <w:p>
            <w:pPr>
              <w:spacing w:after="0"/>
              <w:rPr>
                <w:sz w:val="5"/>
                <w:szCs w:val="5"/>
                <w:color w:val="auto"/>
              </w:rPr>
            </w:pPr>
          </w:p>
        </w:tc>
        <w:tc>
          <w:tcPr>
            <w:tcW w:w="60" w:type="dxa"/>
            <w:vAlign w:val="bottom"/>
            <w:tcBorders>
              <w:top w:val="single" w:sz="8" w:color="CDE9F6"/>
            </w:tcBorders>
            <w:shd w:val="clear" w:color="auto" w:fill="CDE9F6"/>
          </w:tcPr>
          <w:p>
            <w:pPr>
              <w:spacing w:after="0"/>
              <w:rPr>
                <w:sz w:val="5"/>
                <w:szCs w:val="5"/>
                <w:color w:val="auto"/>
              </w:rPr>
            </w:pPr>
          </w:p>
        </w:tc>
        <w:tc>
          <w:tcPr>
            <w:tcW w:w="20" w:type="dxa"/>
            <w:vAlign w:val="bottom"/>
            <w:tcBorders>
              <w:top w:val="single" w:sz="8" w:color="CDE9F6"/>
            </w:tcBorders>
            <w:shd w:val="clear" w:color="auto" w:fill="CDE9F6"/>
          </w:tcPr>
          <w:p>
            <w:pPr>
              <w:spacing w:after="0"/>
              <w:rPr>
                <w:sz w:val="5"/>
                <w:szCs w:val="5"/>
                <w:color w:val="auto"/>
              </w:rPr>
            </w:pPr>
          </w:p>
        </w:tc>
        <w:tc>
          <w:tcPr>
            <w:tcW w:w="160" w:type="dxa"/>
            <w:vAlign w:val="bottom"/>
            <w:tcBorders>
              <w:top w:val="single" w:sz="8" w:color="CDE9F6"/>
            </w:tcBorders>
            <w:shd w:val="clear" w:color="auto" w:fill="CDE9F6"/>
          </w:tcPr>
          <w:p>
            <w:pPr>
              <w:spacing w:after="0"/>
              <w:rPr>
                <w:sz w:val="5"/>
                <w:szCs w:val="5"/>
                <w:color w:val="auto"/>
              </w:rPr>
            </w:pPr>
          </w:p>
        </w:tc>
        <w:tc>
          <w:tcPr>
            <w:tcW w:w="80" w:type="dxa"/>
            <w:vAlign w:val="bottom"/>
            <w:tcBorders>
              <w:top w:val="single" w:sz="8" w:color="CDE9F6"/>
            </w:tcBorders>
            <w:shd w:val="clear" w:color="auto" w:fill="CDE9F6"/>
          </w:tcPr>
          <w:p>
            <w:pPr>
              <w:spacing w:after="0"/>
              <w:rPr>
                <w:sz w:val="5"/>
                <w:szCs w:val="5"/>
                <w:color w:val="auto"/>
              </w:rPr>
            </w:pPr>
          </w:p>
        </w:tc>
        <w:tc>
          <w:tcPr>
            <w:tcW w:w="120" w:type="dxa"/>
            <w:vAlign w:val="bottom"/>
            <w:tcBorders>
              <w:top w:val="single" w:sz="8" w:color="CDE9F6"/>
            </w:tcBorders>
            <w:shd w:val="clear" w:color="auto" w:fill="CDE9F6"/>
          </w:tcPr>
          <w:p>
            <w:pPr>
              <w:spacing w:after="0"/>
              <w:rPr>
                <w:sz w:val="5"/>
                <w:szCs w:val="5"/>
                <w:color w:val="auto"/>
              </w:rPr>
            </w:pPr>
          </w:p>
        </w:tc>
        <w:tc>
          <w:tcPr>
            <w:tcW w:w="20" w:type="dxa"/>
            <w:vAlign w:val="bottom"/>
            <w:tcBorders>
              <w:top w:val="single" w:sz="8" w:color="CDE9F6"/>
            </w:tcBorders>
            <w:shd w:val="clear" w:color="auto" w:fill="CDE9F6"/>
          </w:tcPr>
          <w:p>
            <w:pPr>
              <w:spacing w:after="0"/>
              <w:rPr>
                <w:sz w:val="5"/>
                <w:szCs w:val="5"/>
                <w:color w:val="auto"/>
              </w:rPr>
            </w:pPr>
          </w:p>
        </w:tc>
        <w:tc>
          <w:tcPr>
            <w:tcW w:w="20" w:type="dxa"/>
            <w:vAlign w:val="bottom"/>
            <w:tcBorders>
              <w:top w:val="single" w:sz="8" w:color="CDE9F6"/>
            </w:tcBorders>
            <w:shd w:val="clear" w:color="auto" w:fill="CDE9F6"/>
          </w:tcPr>
          <w:p>
            <w:pPr>
              <w:spacing w:after="0"/>
              <w:rPr>
                <w:sz w:val="5"/>
                <w:szCs w:val="5"/>
                <w:color w:val="auto"/>
              </w:rPr>
            </w:pPr>
          </w:p>
        </w:tc>
        <w:tc>
          <w:tcPr>
            <w:tcW w:w="200" w:type="dxa"/>
            <w:vAlign w:val="bottom"/>
            <w:tcBorders>
              <w:top w:val="single" w:sz="8" w:color="CDE9F6"/>
            </w:tcBorders>
            <w:shd w:val="clear" w:color="auto" w:fill="CDE9F6"/>
          </w:tcPr>
          <w:p>
            <w:pPr>
              <w:spacing w:after="0"/>
              <w:rPr>
                <w:sz w:val="5"/>
                <w:szCs w:val="5"/>
                <w:color w:val="auto"/>
              </w:rPr>
            </w:pPr>
          </w:p>
        </w:tc>
        <w:tc>
          <w:tcPr>
            <w:tcW w:w="20" w:type="dxa"/>
            <w:vAlign w:val="bottom"/>
            <w:tcBorders>
              <w:top w:val="single" w:sz="8" w:color="CDE9F6"/>
            </w:tcBorders>
            <w:shd w:val="clear" w:color="auto" w:fill="CDE9F6"/>
          </w:tcPr>
          <w:p>
            <w:pPr>
              <w:spacing w:after="0"/>
              <w:rPr>
                <w:sz w:val="5"/>
                <w:szCs w:val="5"/>
                <w:color w:val="auto"/>
              </w:rPr>
            </w:pPr>
          </w:p>
        </w:tc>
        <w:tc>
          <w:tcPr>
            <w:tcW w:w="60" w:type="dxa"/>
            <w:vAlign w:val="bottom"/>
            <w:tcBorders>
              <w:top w:val="single" w:sz="8" w:color="CDE9F6"/>
            </w:tcBorders>
            <w:shd w:val="clear" w:color="auto" w:fill="CDE9F6"/>
          </w:tcPr>
          <w:p>
            <w:pPr>
              <w:spacing w:after="0"/>
              <w:rPr>
                <w:sz w:val="5"/>
                <w:szCs w:val="5"/>
                <w:color w:val="auto"/>
              </w:rPr>
            </w:pPr>
          </w:p>
        </w:tc>
        <w:tc>
          <w:tcPr>
            <w:tcW w:w="200" w:type="dxa"/>
            <w:vAlign w:val="bottom"/>
            <w:tcBorders>
              <w:top w:val="single" w:sz="8" w:color="CDE9F6"/>
            </w:tcBorders>
            <w:shd w:val="clear" w:color="auto" w:fill="CDE9F6"/>
          </w:tcPr>
          <w:p>
            <w:pPr>
              <w:spacing w:after="0"/>
              <w:rPr>
                <w:sz w:val="5"/>
                <w:szCs w:val="5"/>
                <w:color w:val="auto"/>
              </w:rPr>
            </w:pPr>
          </w:p>
        </w:tc>
        <w:tc>
          <w:tcPr>
            <w:tcW w:w="820" w:type="dxa"/>
            <w:vAlign w:val="bottom"/>
            <w:tcBorders>
              <w:top w:val="single" w:sz="8" w:color="CDE9F6"/>
            </w:tcBorders>
            <w:shd w:val="clear" w:color="auto" w:fill="CDE9F6"/>
          </w:tcPr>
          <w:p>
            <w:pPr>
              <w:spacing w:after="0"/>
              <w:rPr>
                <w:sz w:val="5"/>
                <w:szCs w:val="5"/>
                <w:color w:val="auto"/>
              </w:rPr>
            </w:pPr>
          </w:p>
        </w:tc>
        <w:tc>
          <w:tcPr>
            <w:tcW w:w="120" w:type="dxa"/>
            <w:vAlign w:val="bottom"/>
            <w:tcBorders>
              <w:top w:val="single" w:sz="8" w:color="CDE9F6"/>
            </w:tcBorders>
            <w:shd w:val="clear" w:color="auto" w:fill="CDE9F6"/>
          </w:tcPr>
          <w:p>
            <w:pPr>
              <w:spacing w:after="0"/>
              <w:rPr>
                <w:sz w:val="5"/>
                <w:szCs w:val="5"/>
                <w:color w:val="auto"/>
              </w:rPr>
            </w:pPr>
          </w:p>
        </w:tc>
        <w:tc>
          <w:tcPr>
            <w:tcW w:w="340" w:type="dxa"/>
            <w:vAlign w:val="bottom"/>
            <w:tcBorders>
              <w:top w:val="single" w:sz="8" w:color="CDE9F6"/>
            </w:tcBorders>
            <w:shd w:val="clear" w:color="auto" w:fill="CDE9F6"/>
          </w:tcPr>
          <w:p>
            <w:pPr>
              <w:spacing w:after="0"/>
              <w:rPr>
                <w:sz w:val="5"/>
                <w:szCs w:val="5"/>
                <w:color w:val="auto"/>
              </w:rPr>
            </w:pPr>
          </w:p>
        </w:tc>
        <w:tc>
          <w:tcPr>
            <w:tcW w:w="40" w:type="dxa"/>
            <w:vAlign w:val="bottom"/>
            <w:tcBorders>
              <w:top w:val="single" w:sz="8" w:color="CDE9F6"/>
            </w:tcBorders>
            <w:shd w:val="clear" w:color="auto" w:fill="CDE9F6"/>
          </w:tcPr>
          <w:p>
            <w:pPr>
              <w:spacing w:after="0"/>
              <w:rPr>
                <w:sz w:val="5"/>
                <w:szCs w:val="5"/>
                <w:color w:val="auto"/>
              </w:rPr>
            </w:pPr>
          </w:p>
        </w:tc>
        <w:tc>
          <w:tcPr>
            <w:tcW w:w="600" w:type="dxa"/>
            <w:vAlign w:val="bottom"/>
            <w:tcBorders>
              <w:top w:val="single" w:sz="8" w:color="CDE9F6"/>
            </w:tcBorders>
            <w:shd w:val="clear" w:color="auto" w:fill="CDE9F6"/>
          </w:tcPr>
          <w:p>
            <w:pPr>
              <w:spacing w:after="0"/>
              <w:rPr>
                <w:sz w:val="5"/>
                <w:szCs w:val="5"/>
                <w:color w:val="auto"/>
              </w:rPr>
            </w:pPr>
          </w:p>
        </w:tc>
        <w:tc>
          <w:tcPr>
            <w:tcW w:w="220" w:type="dxa"/>
            <w:vAlign w:val="bottom"/>
            <w:tcBorders>
              <w:top w:val="single" w:sz="8" w:color="CDE9F6"/>
            </w:tcBorders>
            <w:shd w:val="clear" w:color="auto" w:fill="CDE9F6"/>
          </w:tcPr>
          <w:p>
            <w:pPr>
              <w:spacing w:after="0"/>
              <w:rPr>
                <w:sz w:val="5"/>
                <w:szCs w:val="5"/>
                <w:color w:val="auto"/>
              </w:rPr>
            </w:pPr>
          </w:p>
        </w:tc>
        <w:tc>
          <w:tcPr>
            <w:tcW w:w="220" w:type="dxa"/>
            <w:vAlign w:val="bottom"/>
            <w:tcBorders>
              <w:top w:val="single" w:sz="8" w:color="CDE9F6"/>
            </w:tcBorders>
            <w:shd w:val="clear" w:color="auto" w:fill="CDE9F6"/>
          </w:tcPr>
          <w:p>
            <w:pPr>
              <w:spacing w:after="0"/>
              <w:rPr>
                <w:sz w:val="5"/>
                <w:szCs w:val="5"/>
                <w:color w:val="auto"/>
              </w:rPr>
            </w:pPr>
          </w:p>
        </w:tc>
        <w:tc>
          <w:tcPr>
            <w:tcW w:w="1520" w:type="dxa"/>
            <w:vAlign w:val="bottom"/>
            <w:tcBorders>
              <w:top w:val="single" w:sz="8" w:color="CDE9F6"/>
            </w:tcBorders>
            <w:shd w:val="clear" w:color="auto" w:fill="CDE9F6"/>
          </w:tcPr>
          <w:p>
            <w:pPr>
              <w:spacing w:after="0"/>
              <w:rPr>
                <w:sz w:val="5"/>
                <w:szCs w:val="5"/>
                <w:color w:val="auto"/>
              </w:rPr>
            </w:pPr>
          </w:p>
        </w:tc>
        <w:tc>
          <w:tcPr>
            <w:tcW w:w="540" w:type="dxa"/>
            <w:vAlign w:val="bottom"/>
            <w:tcBorders>
              <w:top w:val="single" w:sz="8" w:color="CDE9F6"/>
            </w:tcBorders>
            <w:shd w:val="clear" w:color="auto" w:fill="CDE9F6"/>
          </w:tcPr>
          <w:p>
            <w:pPr>
              <w:spacing w:after="0"/>
              <w:rPr>
                <w:sz w:val="5"/>
                <w:szCs w:val="5"/>
                <w:color w:val="auto"/>
              </w:rPr>
            </w:pPr>
          </w:p>
        </w:tc>
      </w:tr>
    </w:tbl>
    <w:p>
      <w:pPr>
        <w:spacing w:after="0" w:line="18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Forward-Looking Statements</w:t>
      </w:r>
    </w:p>
    <w:p>
      <w:pPr>
        <w:spacing w:after="0" w:line="160" w:lineRule="exact"/>
        <w:rPr>
          <w:sz w:val="20"/>
          <w:szCs w:val="20"/>
          <w:color w:val="auto"/>
        </w:rPr>
      </w:pPr>
    </w:p>
    <w:p>
      <w:pPr>
        <w:ind w:left="580" w:right="659" w:firstLine="349"/>
        <w:spacing w:after="0" w:line="263" w:lineRule="auto"/>
        <w:rPr>
          <w:sz w:val="20"/>
          <w:szCs w:val="20"/>
          <w:color w:val="auto"/>
        </w:rPr>
      </w:pPr>
      <w:r>
        <w:rPr>
          <w:rFonts w:ascii="Times New Roman" w:cs="Times New Roman" w:eastAsia="Times New Roman" w:hAnsi="Times New Roman"/>
          <w:sz w:val="17"/>
          <w:szCs w:val="17"/>
          <w:color w:val="auto"/>
        </w:rPr>
        <w:t>This Proxy Statement includes forward-looking statements. These statements are not historical facts and are based on current expectations, estimates, and projections about our industry, management’s beliefs, and certain assumptions made by management, many of which, by their nature, are inherently uncertain and beyond our control. Accordingly, we caution you that any such forward-looking statements are not guarantees of future performance and are subject to risks, assumptions, estimates and uncertainties that are difficult to predict. For a discussion of some of the risks and important factors that could affect our future results and financial condition, see “Risk Factors” in our Annual Report on Form 10-K for the year ended December 31, 2025.</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 w:name="page5"/>
    <w:bookmarkEnd w:id="4"/>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PROXY STATEMENT</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FOR 2026 ANNUAL MEETING OF STOCKHOLDERS</w:t>
      </w: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PROXY SUMMARY</w:t>
      </w:r>
    </w:p>
    <w:p>
      <w:pPr>
        <w:spacing w:after="0" w:line="147" w:lineRule="exact"/>
        <w:rPr>
          <w:sz w:val="20"/>
          <w:szCs w:val="20"/>
          <w:color w:val="auto"/>
        </w:rPr>
      </w:pPr>
    </w:p>
    <w:p>
      <w:pPr>
        <w:ind w:left="580" w:right="659" w:firstLine="349"/>
        <w:spacing w:after="0" w:line="265" w:lineRule="auto"/>
        <w:rPr>
          <w:sz w:val="20"/>
          <w:szCs w:val="20"/>
          <w:color w:val="auto"/>
        </w:rPr>
      </w:pPr>
      <w:r>
        <w:rPr>
          <w:rFonts w:ascii="Times New Roman" w:cs="Times New Roman" w:eastAsia="Times New Roman" w:hAnsi="Times New Roman"/>
          <w:sz w:val="17"/>
          <w:szCs w:val="17"/>
          <w:color w:val="auto"/>
        </w:rPr>
        <w:t>This summary highlights information contained elsewhere in this Proxy Statement for the Annual Meeting (this “Proxy Statement”). This summary does not contain all of the information that you should consider, and you should read the entire Proxy Statement carefully before voting. References to our website in this Proxy Statement are not intended to function as hyperlinks and the information contained on our website is not intended to be incorporated into this Proxy Statement. In this Proxy Statement, we refer to Fortinet, Inc. as “Fortinet,” “we,” “us” or “our.”</w:t>
      </w:r>
    </w:p>
    <w:p>
      <w:pPr>
        <w:spacing w:after="0" w:line="17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FINANCIAL AND BUSINESS HIGHLIGHTS</w:t>
      </w:r>
    </w:p>
    <w:p>
      <w:pPr>
        <w:spacing w:after="0" w:line="16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7"/>
          <w:szCs w:val="17"/>
          <w:color w:val="auto"/>
        </w:rPr>
        <w:t>The list below highlights our financial highlights for 2025.</w:t>
      </w:r>
    </w:p>
    <w:p>
      <w:pPr>
        <w:spacing w:after="0" w:line="158" w:lineRule="exact"/>
        <w:rPr>
          <w:sz w:val="20"/>
          <w:szCs w:val="20"/>
          <w:color w:val="auto"/>
        </w:rPr>
      </w:pPr>
    </w:p>
    <w:p>
      <w:pPr>
        <w:ind w:left="1120" w:hanging="196"/>
        <w:spacing w:after="0"/>
        <w:tabs>
          <w:tab w:leader="none" w:pos="11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Total revenue was $6.80 billion for 2025, an increase of 14% compared to $5.96 billion in 2024.</w:t>
      </w:r>
    </w:p>
    <w:p>
      <w:pPr>
        <w:spacing w:after="0" w:line="145" w:lineRule="exact"/>
        <w:rPr>
          <w:rFonts w:ascii="Times New Roman" w:cs="Times New Roman" w:eastAsia="Times New Roman" w:hAnsi="Times New Roman"/>
          <w:sz w:val="17"/>
          <w:szCs w:val="17"/>
          <w:color w:val="auto"/>
        </w:rPr>
      </w:pPr>
    </w:p>
    <w:p>
      <w:pPr>
        <w:ind w:left="1120" w:hanging="196"/>
        <w:spacing w:after="0"/>
        <w:tabs>
          <w:tab w:leader="none" w:pos="11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Service revenue was $4.58 billion for 2025, an increase of 13% compared to $4.05 billion in 2024.</w:t>
      </w:r>
    </w:p>
    <w:p>
      <w:pPr>
        <w:spacing w:after="0" w:line="158" w:lineRule="exact"/>
        <w:rPr>
          <w:rFonts w:ascii="Times New Roman" w:cs="Times New Roman" w:eastAsia="Times New Roman" w:hAnsi="Times New Roman"/>
          <w:sz w:val="17"/>
          <w:szCs w:val="17"/>
          <w:color w:val="auto"/>
        </w:rPr>
      </w:pPr>
    </w:p>
    <w:p>
      <w:pPr>
        <w:ind w:left="1120" w:hanging="196"/>
        <w:spacing w:after="0"/>
        <w:tabs>
          <w:tab w:leader="none" w:pos="11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Total gross profit was $5.47 billion in 2025, an increase of 14% compared to $4.80 billion in 2024.</w:t>
      </w:r>
    </w:p>
    <w:p>
      <w:pPr>
        <w:spacing w:after="0" w:line="158" w:lineRule="exact"/>
        <w:rPr>
          <w:rFonts w:ascii="Times New Roman" w:cs="Times New Roman" w:eastAsia="Times New Roman" w:hAnsi="Times New Roman"/>
          <w:sz w:val="17"/>
          <w:szCs w:val="17"/>
          <w:color w:val="auto"/>
        </w:rPr>
      </w:pPr>
    </w:p>
    <w:p>
      <w:pPr>
        <w:ind w:left="1120" w:hanging="196"/>
        <w:spacing w:after="0"/>
        <w:tabs>
          <w:tab w:leader="none" w:pos="11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Operating income was $2.08 billion in 2025, an increase of 16% compared to $1.80 billion in 2024.</w:t>
      </w:r>
    </w:p>
    <w:p>
      <w:pPr>
        <w:spacing w:after="0" w:line="145" w:lineRule="exact"/>
        <w:rPr>
          <w:rFonts w:ascii="Times New Roman" w:cs="Times New Roman" w:eastAsia="Times New Roman" w:hAnsi="Times New Roman"/>
          <w:sz w:val="17"/>
          <w:szCs w:val="17"/>
          <w:color w:val="auto"/>
        </w:rPr>
      </w:pPr>
    </w:p>
    <w:p>
      <w:pPr>
        <w:ind w:left="1100" w:right="699" w:hanging="176"/>
        <w:spacing w:after="0" w:line="296" w:lineRule="auto"/>
        <w:tabs>
          <w:tab w:leader="none" w:pos="1117"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Cash flows from operating activities were $2.59 billion in 2025, an increase of $332.5 million, or 15%, compared to 2024.</w:t>
      </w:r>
    </w:p>
    <w:p>
      <w:pPr>
        <w:spacing w:after="0" w:line="14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CORPORATE SOCIAL RESPONSIBILITY HIGHLIGHTS</w:t>
      </w:r>
    </w:p>
    <w:p>
      <w:pPr>
        <w:spacing w:after="0" w:line="160" w:lineRule="exact"/>
        <w:rPr>
          <w:sz w:val="20"/>
          <w:szCs w:val="20"/>
          <w:color w:val="auto"/>
        </w:rPr>
      </w:pPr>
    </w:p>
    <w:p>
      <w:pPr>
        <w:ind w:left="580" w:right="599" w:firstLine="349"/>
        <w:spacing w:after="0" w:line="296" w:lineRule="auto"/>
        <w:rPr>
          <w:sz w:val="20"/>
          <w:szCs w:val="20"/>
          <w:color w:val="auto"/>
        </w:rPr>
      </w:pPr>
      <w:r>
        <w:rPr>
          <w:rFonts w:ascii="Times New Roman" w:cs="Times New Roman" w:eastAsia="Times New Roman" w:hAnsi="Times New Roman"/>
          <w:sz w:val="17"/>
          <w:szCs w:val="17"/>
          <w:color w:val="auto"/>
        </w:rPr>
        <w:t>We are committed to corporate social responsibility (“CSR”) practices. The list below includes some of our CSR highlights for 2025, as well as ongoing highlights, as discussed further in this Proxy Statement.</w:t>
      </w:r>
    </w:p>
    <w:p>
      <w:pPr>
        <w:spacing w:after="0" w:line="81" w:lineRule="exact"/>
        <w:rPr>
          <w:sz w:val="20"/>
          <w:szCs w:val="20"/>
          <w:color w:val="auto"/>
        </w:rPr>
      </w:pPr>
    </w:p>
    <w:p>
      <w:pPr>
        <w:ind w:left="1100" w:right="759" w:hanging="176"/>
        <w:spacing w:after="0" w:line="276" w:lineRule="auto"/>
        <w:tabs>
          <w:tab w:leader="none" w:pos="1117"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engaged on a decarbonization path to meet our near-term carbon reduction targets by 2030 validated by the Science-Based Target Initiative (“SBTi”). In 2025, 87% of our owned sites (by square footage) used 100% renewable electricity.</w:t>
      </w:r>
    </w:p>
    <w:p>
      <w:pPr>
        <w:spacing w:after="0" w:line="85" w:lineRule="exact"/>
        <w:rPr>
          <w:rFonts w:ascii="Times New Roman" w:cs="Times New Roman" w:eastAsia="Times New Roman" w:hAnsi="Times New Roman"/>
          <w:sz w:val="17"/>
          <w:szCs w:val="17"/>
          <w:color w:val="auto"/>
        </w:rPr>
      </w:pPr>
    </w:p>
    <w:p>
      <w:pPr>
        <w:ind w:left="1100" w:right="699" w:hanging="176"/>
        <w:spacing w:after="0" w:line="276" w:lineRule="auto"/>
        <w:tabs>
          <w:tab w:leader="none" w:pos="1117"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the product side, we have continued to be a leader in energy efficiency with the launch of our SP5 ASIC and our FortiGate-90G model. The new models launched in 2025 consume up to 62% less power than the previous generation of equivalent models.</w:t>
      </w:r>
    </w:p>
    <w:p>
      <w:pPr>
        <w:spacing w:after="0" w:line="98" w:lineRule="exact"/>
        <w:rPr>
          <w:rFonts w:ascii="Times New Roman" w:cs="Times New Roman" w:eastAsia="Times New Roman" w:hAnsi="Times New Roman"/>
          <w:sz w:val="17"/>
          <w:szCs w:val="17"/>
          <w:color w:val="auto"/>
        </w:rPr>
      </w:pPr>
    </w:p>
    <w:p>
      <w:pPr>
        <w:ind w:left="1100" w:right="859" w:hanging="176"/>
        <w:spacing w:after="0" w:line="296" w:lineRule="auto"/>
        <w:tabs>
          <w:tab w:leader="none" w:pos="1117"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minimize packaging waste by using reusable, recyclable, and eco-friendly materials including 27 FSC-certified models and prioritize plastic-free packaging for 103 top-selling models.</w:t>
      </w:r>
    </w:p>
    <w:p>
      <w:pPr>
        <w:spacing w:after="0" w:line="81" w:lineRule="exact"/>
        <w:rPr>
          <w:rFonts w:ascii="Times New Roman" w:cs="Times New Roman" w:eastAsia="Times New Roman" w:hAnsi="Times New Roman"/>
          <w:sz w:val="17"/>
          <w:szCs w:val="17"/>
          <w:color w:val="auto"/>
        </w:rPr>
      </w:pPr>
    </w:p>
    <w:p>
      <w:pPr>
        <w:ind w:left="1100" w:right="759" w:hanging="176"/>
        <w:spacing w:after="0" w:line="276" w:lineRule="auto"/>
        <w:tabs>
          <w:tab w:leader="none" w:pos="1117"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submitted our survey on the environment to CDP, which is a non-profit organization that runs the global disclosure system for companies to manage their environmental impacts and have increased our score to a B, reflecting our commitment to climate action and transparency.</w:t>
      </w:r>
    </w:p>
    <w:p>
      <w:pPr>
        <w:spacing w:after="0" w:line="85" w:lineRule="exact"/>
        <w:rPr>
          <w:rFonts w:ascii="Times New Roman" w:cs="Times New Roman" w:eastAsia="Times New Roman" w:hAnsi="Times New Roman"/>
          <w:sz w:val="17"/>
          <w:szCs w:val="17"/>
          <w:color w:val="auto"/>
        </w:rPr>
      </w:pPr>
    </w:p>
    <w:p>
      <w:pPr>
        <w:jc w:val="both"/>
        <w:ind w:left="1100" w:right="779" w:hanging="176"/>
        <w:spacing w:after="0" w:line="276" w:lineRule="auto"/>
        <w:tabs>
          <w:tab w:leader="none" w:pos="1117"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Since 2022, Fortinet has trained more than 914,800 individuals in cybersecurity, reaching 91% of our five-year goal. We are on track to achieve our goal of training one million individuals in cybersecurity by the end of 2026.</w:t>
      </w:r>
    </w:p>
    <w:p>
      <w:pPr>
        <w:spacing w:after="0" w:line="98" w:lineRule="exact"/>
        <w:rPr>
          <w:rFonts w:ascii="Times New Roman" w:cs="Times New Roman" w:eastAsia="Times New Roman" w:hAnsi="Times New Roman"/>
          <w:sz w:val="17"/>
          <w:szCs w:val="17"/>
          <w:color w:val="auto"/>
        </w:rPr>
      </w:pPr>
    </w:p>
    <w:p>
      <w:pPr>
        <w:jc w:val="both"/>
        <w:ind w:left="1100" w:right="799" w:hanging="176"/>
        <w:spacing w:after="0" w:line="296" w:lineRule="auto"/>
        <w:tabs>
          <w:tab w:leader="none" w:pos="1117"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Information Security Management System undergoes continuous enhancement in alignment with internationally recognized standards. In 2025, Fortinet renewed 90 information security certifications.</w:t>
      </w:r>
    </w:p>
    <w:p>
      <w:pPr>
        <w:spacing w:after="0" w:line="81" w:lineRule="exact"/>
        <w:rPr>
          <w:rFonts w:ascii="Times New Roman" w:cs="Times New Roman" w:eastAsia="Times New Roman" w:hAnsi="Times New Roman"/>
          <w:sz w:val="17"/>
          <w:szCs w:val="17"/>
          <w:color w:val="auto"/>
        </w:rPr>
      </w:pPr>
    </w:p>
    <w:p>
      <w:pPr>
        <w:ind w:left="1080" w:hanging="156"/>
        <w:spacing w:after="0"/>
        <w:tabs>
          <w:tab w:leader="none" w:pos="108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publicly issued our annual Sustainability Report detailing our progress on sustainability matters.</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 w:name="page6"/>
    <w:bookmarkEnd w:id="5"/>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BOARD HIGHLIGHTS</w:t>
      </w:r>
    </w:p>
    <w:p>
      <w:pPr>
        <w:spacing w:after="0" w:line="147" w:lineRule="exact"/>
        <w:rPr>
          <w:sz w:val="20"/>
          <w:szCs w:val="20"/>
          <w:color w:val="auto"/>
        </w:rPr>
      </w:pPr>
    </w:p>
    <w:p>
      <w:pPr>
        <w:ind w:left="580" w:right="799" w:firstLine="349"/>
        <w:spacing w:after="0" w:line="276" w:lineRule="auto"/>
        <w:rPr>
          <w:sz w:val="20"/>
          <w:szCs w:val="20"/>
          <w:color w:val="auto"/>
        </w:rPr>
      </w:pPr>
      <w:r>
        <w:rPr>
          <w:rFonts w:ascii="Times New Roman" w:cs="Times New Roman" w:eastAsia="Times New Roman" w:hAnsi="Times New Roman"/>
          <w:sz w:val="17"/>
          <w:szCs w:val="17"/>
          <w:color w:val="auto"/>
        </w:rPr>
        <w:t>We are committed to good corporate governance, which strengthens the accountability of the Board of Directors and promotes the long-term interests of our stockholders. The list below highlights our independent board and leadership practices, as discussed further in this Proxy Statement.</w:t>
      </w:r>
    </w:p>
    <w:p>
      <w:pPr>
        <w:spacing w:after="0" w:line="98" w:lineRule="exact"/>
        <w:rPr>
          <w:sz w:val="20"/>
          <w:szCs w:val="20"/>
          <w:color w:val="auto"/>
        </w:rPr>
      </w:pPr>
    </w:p>
    <w:p>
      <w:pPr>
        <w:ind w:left="1100" w:right="759" w:hanging="176"/>
        <w:spacing w:after="0" w:line="296" w:lineRule="auto"/>
        <w:tabs>
          <w:tab w:leader="none" w:pos="1117"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majority of our directors are independent (six out of eight current directors). If Mr. Kan is elected to the Board of Directors, seven out of nine directors will be independent.</w:t>
      </w:r>
    </w:p>
    <w:p>
      <w:pPr>
        <w:spacing w:after="0" w:line="81" w:lineRule="exact"/>
        <w:rPr>
          <w:rFonts w:ascii="Times New Roman" w:cs="Times New Roman" w:eastAsia="Times New Roman" w:hAnsi="Times New Roman"/>
          <w:sz w:val="17"/>
          <w:szCs w:val="17"/>
          <w:color w:val="auto"/>
        </w:rPr>
      </w:pPr>
    </w:p>
    <w:p>
      <w:pPr>
        <w:jc w:val="both"/>
        <w:ind w:left="1100" w:right="699" w:hanging="176"/>
        <w:spacing w:after="0" w:line="276" w:lineRule="auto"/>
        <w:tabs>
          <w:tab w:leader="none" w:pos="1117"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Lead Independent Director is elected annually, to serve and function separately from the Chairman of the Board of Directors. In 2025, our directors re-elected Lead Independent Director, Judith Sim, who has been re-elected again in 2026.</w:t>
      </w:r>
    </w:p>
    <w:p>
      <w:pPr>
        <w:spacing w:after="0" w:line="85" w:lineRule="exact"/>
        <w:rPr>
          <w:rFonts w:ascii="Times New Roman" w:cs="Times New Roman" w:eastAsia="Times New Roman" w:hAnsi="Times New Roman"/>
          <w:sz w:val="17"/>
          <w:szCs w:val="17"/>
          <w:color w:val="auto"/>
        </w:rPr>
      </w:pPr>
    </w:p>
    <w:p>
      <w:pPr>
        <w:ind w:left="1100" w:right="719" w:hanging="176"/>
        <w:spacing w:after="0" w:line="296" w:lineRule="auto"/>
        <w:tabs>
          <w:tab w:leader="none" w:pos="1117"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committees of the Board of Directors are composed of independent directors, with the exception of the Cybersecurity Committee.</w:t>
      </w:r>
    </w:p>
    <w:p>
      <w:pPr>
        <w:spacing w:after="0" w:line="81" w:lineRule="exact"/>
        <w:rPr>
          <w:rFonts w:ascii="Times New Roman" w:cs="Times New Roman" w:eastAsia="Times New Roman" w:hAnsi="Times New Roman"/>
          <w:sz w:val="17"/>
          <w:szCs w:val="17"/>
          <w:color w:val="auto"/>
        </w:rPr>
      </w:pPr>
    </w:p>
    <w:p>
      <w:pPr>
        <w:ind w:left="1100" w:right="719" w:hanging="176"/>
        <w:spacing w:after="0" w:line="296" w:lineRule="auto"/>
        <w:tabs>
          <w:tab w:leader="none" w:pos="1117"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Governance and Social Responsibility Committee of the Board of Directors (the “Governance and Social Responsibility Committee”) oversees our CSR strategy, initiatives and practices.</w:t>
      </w:r>
    </w:p>
    <w:p>
      <w:pPr>
        <w:spacing w:after="0" w:line="81" w:lineRule="exact"/>
        <w:rPr>
          <w:rFonts w:ascii="Times New Roman" w:cs="Times New Roman" w:eastAsia="Times New Roman" w:hAnsi="Times New Roman"/>
          <w:sz w:val="17"/>
          <w:szCs w:val="17"/>
          <w:color w:val="auto"/>
        </w:rPr>
      </w:pPr>
    </w:p>
    <w:p>
      <w:pPr>
        <w:ind w:left="1100" w:right="879" w:hanging="176"/>
        <w:spacing w:after="0" w:line="296" w:lineRule="auto"/>
        <w:tabs>
          <w:tab w:leader="none" w:pos="1117"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Board of Directors focuses on broad risk oversight practices, including CSR, cybersecurity, data privacy, legal and regulatory matters, and other critical evolving areas.</w:t>
      </w:r>
    </w:p>
    <w:p>
      <w:pPr>
        <w:spacing w:after="0" w:line="67" w:lineRule="exact"/>
        <w:rPr>
          <w:rFonts w:ascii="Times New Roman" w:cs="Times New Roman" w:eastAsia="Times New Roman" w:hAnsi="Times New Roman"/>
          <w:sz w:val="17"/>
          <w:szCs w:val="17"/>
          <w:color w:val="auto"/>
        </w:rPr>
      </w:pPr>
    </w:p>
    <w:p>
      <w:pPr>
        <w:ind w:left="1100" w:right="599" w:hanging="176"/>
        <w:spacing w:after="0" w:line="270" w:lineRule="auto"/>
        <w:tabs>
          <w:tab w:leader="none" w:pos="1117"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Board of Directors regularly reviews our governance practices. Over the years, on its own initiative, the Board of Directors has made adjustments to our corporate governance practices as we have matured as a public company, such as changing from a Board of Directors with three-year staggered terms for each director, to one-year terms.</w:t>
      </w:r>
    </w:p>
    <w:p>
      <w:pPr>
        <w:spacing w:after="0" w:line="102" w:lineRule="exact"/>
        <w:rPr>
          <w:rFonts w:ascii="Times New Roman" w:cs="Times New Roman" w:eastAsia="Times New Roman" w:hAnsi="Times New Roman"/>
          <w:sz w:val="17"/>
          <w:szCs w:val="17"/>
          <w:color w:val="auto"/>
        </w:rPr>
      </w:pPr>
    </w:p>
    <w:p>
      <w:pPr>
        <w:ind w:left="1100" w:right="799" w:hanging="176"/>
        <w:spacing w:after="0" w:line="276" w:lineRule="auto"/>
        <w:tabs>
          <w:tab w:leader="none" w:pos="1117"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2023, following the recommendation of the Board of Directors, our stockholders approved, and we adopted, amendments to our certificate of incorporation and our bylaws to remove the supermajority voting requirements.</w:t>
      </w:r>
    </w:p>
    <w:p>
      <w:pPr>
        <w:spacing w:after="0" w:line="98" w:lineRule="exact"/>
        <w:rPr>
          <w:rFonts w:ascii="Times New Roman" w:cs="Times New Roman" w:eastAsia="Times New Roman" w:hAnsi="Times New Roman"/>
          <w:sz w:val="17"/>
          <w:szCs w:val="17"/>
          <w:color w:val="auto"/>
        </w:rPr>
      </w:pPr>
    </w:p>
    <w:p>
      <w:pPr>
        <w:ind w:left="1120" w:hanging="196"/>
        <w:spacing w:after="0"/>
        <w:tabs>
          <w:tab w:leader="none" w:pos="11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Independent directors conduct regular executive sessions.</w:t>
      </w:r>
    </w:p>
    <w:p>
      <w:pPr>
        <w:spacing w:after="0" w:line="145" w:lineRule="exact"/>
        <w:rPr>
          <w:rFonts w:ascii="Times New Roman" w:cs="Times New Roman" w:eastAsia="Times New Roman" w:hAnsi="Times New Roman"/>
          <w:sz w:val="17"/>
          <w:szCs w:val="17"/>
          <w:color w:val="auto"/>
        </w:rPr>
      </w:pPr>
    </w:p>
    <w:p>
      <w:pPr>
        <w:ind w:left="1100" w:right="839" w:hanging="176"/>
        <w:spacing w:after="0" w:line="296" w:lineRule="auto"/>
        <w:tabs>
          <w:tab w:leader="none" w:pos="1117"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directors maintain open communication and strong working relationships among themselves and have regular access to management.</w:t>
      </w:r>
    </w:p>
    <w:p>
      <w:pPr>
        <w:spacing w:after="0" w:line="81" w:lineRule="exact"/>
        <w:rPr>
          <w:rFonts w:ascii="Times New Roman" w:cs="Times New Roman" w:eastAsia="Times New Roman" w:hAnsi="Times New Roman"/>
          <w:sz w:val="17"/>
          <w:szCs w:val="17"/>
          <w:color w:val="auto"/>
        </w:rPr>
      </w:pPr>
    </w:p>
    <w:p>
      <w:pPr>
        <w:ind w:left="1100" w:right="939" w:hanging="176"/>
        <w:spacing w:after="0" w:line="296" w:lineRule="auto"/>
        <w:tabs>
          <w:tab w:leader="none" w:pos="1117"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Board of Directors conducts a robust annual Board of Directors and committee self-assessment process.</w:t>
      </w:r>
    </w:p>
    <w:p>
      <w:pPr>
        <w:spacing w:after="0" w:line="81" w:lineRule="exact"/>
        <w:rPr>
          <w:rFonts w:ascii="Times New Roman" w:cs="Times New Roman" w:eastAsia="Times New Roman" w:hAnsi="Times New Roman"/>
          <w:sz w:val="17"/>
          <w:szCs w:val="17"/>
          <w:color w:val="auto"/>
        </w:rPr>
      </w:pPr>
    </w:p>
    <w:p>
      <w:pPr>
        <w:ind w:left="1100" w:right="699" w:hanging="176"/>
        <w:spacing w:after="0" w:line="296" w:lineRule="auto"/>
        <w:tabs>
          <w:tab w:leader="none" w:pos="1117"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Board of Directors has related-party transaction standards for any direct or indirect involvement of a director in our business activities.</w:t>
      </w:r>
    </w:p>
    <w:p>
      <w:pPr>
        <w:spacing w:after="0" w:line="67" w:lineRule="exact"/>
        <w:rPr>
          <w:rFonts w:ascii="Times New Roman" w:cs="Times New Roman" w:eastAsia="Times New Roman" w:hAnsi="Times New Roman"/>
          <w:sz w:val="17"/>
          <w:szCs w:val="17"/>
          <w:color w:val="auto"/>
        </w:rPr>
      </w:pPr>
    </w:p>
    <w:p>
      <w:pPr>
        <w:ind w:left="1100" w:right="959" w:hanging="176"/>
        <w:spacing w:after="0" w:line="296" w:lineRule="auto"/>
        <w:tabs>
          <w:tab w:leader="none" w:pos="1117"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non-employee directors are required to hold shares of our common stock pursuant to our Stock Ownership Guidelines for our non-employee directors.</w:t>
      </w:r>
    </w:p>
    <w:p>
      <w:pPr>
        <w:spacing w:after="0" w:line="14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STOCKHOLDER ENGAGEMENT</w:t>
      </w:r>
    </w:p>
    <w:p>
      <w:pPr>
        <w:spacing w:after="0" w:line="160" w:lineRule="exact"/>
        <w:rPr>
          <w:sz w:val="20"/>
          <w:szCs w:val="20"/>
          <w:color w:val="auto"/>
        </w:rPr>
      </w:pPr>
    </w:p>
    <w:p>
      <w:pPr>
        <w:ind w:left="580" w:right="719" w:firstLine="349"/>
        <w:spacing w:after="0" w:line="262" w:lineRule="auto"/>
        <w:rPr>
          <w:sz w:val="20"/>
          <w:szCs w:val="20"/>
          <w:color w:val="auto"/>
        </w:rPr>
      </w:pPr>
      <w:r>
        <w:rPr>
          <w:rFonts w:ascii="Times New Roman" w:cs="Times New Roman" w:eastAsia="Times New Roman" w:hAnsi="Times New Roman"/>
          <w:sz w:val="17"/>
          <w:szCs w:val="17"/>
          <w:color w:val="auto"/>
        </w:rPr>
        <w:t>The Board of Directors and our executive management team are committed to actively engaging with our stockholders and maintaining a regular dialogue with our stockholders. We meet with current stockholders and prospective stockholders through meetings at our headquarters, investor conferences, roadshows and via videoconferences. These meetings allow stockholders the opportunity to provide feedback on our financial performance, corporate governance, executive compensation, environmental and sustainability matters and corporate responsibility initiatives. Members of the Board of Directors and our executive management and investor relations teams participate in meetings with stockholders. In 2025, we engaged in discussions with approximately 135 stockholders representing approximately 35% of the shares of common stock held by our institutional investors.</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 w:name="page7"/>
    <w:bookmarkEnd w:id="6"/>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PROPOSAL 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46990</wp:posOffset>
            </wp:positionV>
            <wp:extent cx="32353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35325" cy="8255"/>
                    </a:xfrm>
                    <a:prstGeom prst="rect">
                      <a:avLst/>
                    </a:prstGeom>
                    <a:noFill/>
                  </pic:spPr>
                </pic:pic>
              </a:graphicData>
            </a:graphic>
          </wp:anchor>
        </w:drawing>
      </w:r>
    </w:p>
    <w:p>
      <w:pPr>
        <w:spacing w:after="0" w:line="6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ELECTION OF DIRECTORS</w:t>
      </w:r>
    </w:p>
    <w:p>
      <w:pPr>
        <w:spacing w:after="0" w:line="68" w:lineRule="exact"/>
        <w:rPr>
          <w:sz w:val="20"/>
          <w:szCs w:val="20"/>
          <w:color w:val="auto"/>
        </w:rPr>
      </w:pPr>
    </w:p>
    <w:p>
      <w:pPr>
        <w:ind w:left="580"/>
        <w:spacing w:after="0" w:line="259" w:lineRule="auto"/>
        <w:rPr>
          <w:sz w:val="20"/>
          <w:szCs w:val="20"/>
          <w:color w:val="auto"/>
        </w:rPr>
      </w:pPr>
      <w:r>
        <w:rPr>
          <w:rFonts w:ascii="Times New Roman" w:cs="Times New Roman" w:eastAsia="Times New Roman" w:hAnsi="Times New Roman"/>
          <w:sz w:val="17"/>
          <w:szCs w:val="17"/>
          <w:color w:val="auto"/>
        </w:rPr>
        <w:t>We are asking our stockholders to elect nine directors for a one-year term expiring at Fortinet’s 2027 Annual Meeting of Stockholders (the “2027 Annual Meeting”) and until such director’s successor is duly elected and qualified or until such director’s earlier death, resignation, disqualification or removal. The table below sets forth information with respect to our nine nominees standing for election. All of the nominees are currently serving as directors, except for Mr. Kan. Additional information about our director nominees and their respective qualifications can be found under the section titled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-1201420</wp:posOffset>
            </wp:positionV>
            <wp:extent cx="32353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35325" cy="8255"/>
                    </a:xfrm>
                    <a:prstGeom prst="rect">
                      <a:avLst/>
                    </a:prstGeom>
                    <a:noFill/>
                  </pic:spPr>
                </pic:pic>
              </a:graphicData>
            </a:graphic>
          </wp:anchor>
        </w:drawing>
      </w:r>
    </w:p>
    <w:p>
      <w:pPr>
        <w:ind w:left="580" w:right="200"/>
        <w:spacing w:after="0" w:line="274" w:lineRule="auto"/>
        <w:rPr>
          <w:sz w:val="20"/>
          <w:szCs w:val="20"/>
          <w:color w:val="auto"/>
        </w:rPr>
      </w:pPr>
      <w:r>
        <w:rPr>
          <w:rFonts w:ascii="Times New Roman" w:cs="Times New Roman" w:eastAsia="Times New Roman" w:hAnsi="Times New Roman"/>
          <w:sz w:val="17"/>
          <w:szCs w:val="17"/>
          <w:color w:val="auto"/>
        </w:rPr>
        <w:t>“Proposal One — Election of Directors — Nominees to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7620</wp:posOffset>
            </wp:positionV>
            <wp:extent cx="499046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839"/>
        <w:spacing w:after="0"/>
        <w:rPr>
          <w:sz w:val="20"/>
          <w:szCs w:val="20"/>
          <w:color w:val="auto"/>
        </w:rPr>
      </w:pPr>
      <w:r>
        <w:rPr>
          <w:rFonts w:ascii="Times New Roman" w:cs="Times New Roman" w:eastAsia="Times New Roman" w:hAnsi="Times New Roman"/>
          <w:sz w:val="17"/>
          <w:szCs w:val="17"/>
          <w:b w:val="1"/>
          <w:bCs w:val="1"/>
          <w:color w:val="auto"/>
        </w:rPr>
        <w:t>BOARD’S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554990</wp:posOffset>
            </wp:positionH>
            <wp:positionV relativeFrom="paragraph">
              <wp:posOffset>-343535</wp:posOffset>
            </wp:positionV>
            <wp:extent cx="241300" cy="2330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41300" cy="233045"/>
                    </a:xfrm>
                    <a:prstGeom prst="rect">
                      <a:avLst/>
                    </a:prstGeom>
                    <a:noFill/>
                  </pic:spPr>
                </pic:pic>
              </a:graphicData>
            </a:graphic>
          </wp:anchor>
        </w:drawing>
      </w:r>
    </w:p>
    <w:p>
      <w:pPr>
        <w:spacing w:after="0" w:line="14" w:lineRule="exact"/>
        <w:rPr>
          <w:sz w:val="20"/>
          <w:szCs w:val="20"/>
          <w:color w:val="auto"/>
        </w:rPr>
      </w:pPr>
    </w:p>
    <w:p>
      <w:pPr>
        <w:jc w:val="center"/>
        <w:ind w:right="839"/>
        <w:spacing w:after="0"/>
        <w:rPr>
          <w:sz w:val="20"/>
          <w:szCs w:val="20"/>
          <w:color w:val="auto"/>
        </w:rPr>
      </w:pPr>
      <w:r>
        <w:rPr>
          <w:rFonts w:ascii="Times New Roman" w:cs="Times New Roman" w:eastAsia="Times New Roman" w:hAnsi="Times New Roman"/>
          <w:sz w:val="17"/>
          <w:szCs w:val="17"/>
          <w:b w:val="1"/>
          <w:bCs w:val="1"/>
          <w:color w:val="auto"/>
        </w:rPr>
        <w:t>RECOMMENDATION:</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“FOR” each of the nominees</w:t>
      </w:r>
    </w:p>
    <w:p>
      <w:pPr>
        <w:spacing w:after="0" w:line="1184" w:lineRule="exact"/>
        <w:rPr>
          <w:sz w:val="20"/>
          <w:szCs w:val="20"/>
          <w:color w:val="auto"/>
        </w:rPr>
      </w:pPr>
    </w:p>
    <w:p>
      <w:pPr>
        <w:sectPr>
          <w:pgSz w:w="11900" w:h="16838" w:orient="portrait"/>
          <w:cols w:equalWidth="0" w:num="2">
            <w:col w:w="5580" w:space="460"/>
            <w:col w:w="2979"/>
          </w:cols>
          <w:pgMar w:left="1440" w:top="265" w:right="1440" w:bottom="1440" w:gutter="0" w:footer="0" w:header="0"/>
        </w:sectPr>
      </w:pPr>
    </w:p>
    <w:p>
      <w:pPr>
        <w:spacing w:after="0" w:line="63" w:lineRule="exact"/>
        <w:rPr>
          <w:sz w:val="20"/>
          <w:szCs w:val="20"/>
          <w:color w:val="auto"/>
        </w:rPr>
      </w:pPr>
    </w:p>
    <w:tbl>
      <w:tblPr>
        <w:tblLayout w:type="fixed"/>
        <w:tblInd w:w="580" w:type="dxa"/>
        <w:tblCellMar>
          <w:top w:w="0" w:type="dxa"/>
          <w:left w:w="0" w:type="dxa"/>
          <w:bottom w:w="0" w:type="dxa"/>
          <w:right w:w="0" w:type="dxa"/>
        </w:tblCellMar>
      </w:tblPr>
      <w:tr>
        <w:trPr>
          <w:trHeight w:val="184"/>
        </w:trPr>
        <w:tc>
          <w:tcPr>
            <w:tcW w:w="27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Age</w:t>
            </w:r>
          </w:p>
        </w:tc>
        <w:tc>
          <w:tcPr>
            <w:tcW w:w="45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Director Since</w:t>
            </w:r>
          </w:p>
        </w:tc>
      </w:tr>
      <w:tr>
        <w:trPr>
          <w:trHeight w:val="23"/>
        </w:trPr>
        <w:tc>
          <w:tcPr>
            <w:tcW w:w="2580" w:type="dxa"/>
            <w:vAlign w:val="bottom"/>
            <w:tcBorders>
              <w:bottom w:val="single" w:sz="8" w:color="auto"/>
            </w:tcBorders>
          </w:tcPr>
          <w:p>
            <w:pPr>
              <w:spacing w:after="0"/>
              <w:rPr>
                <w:sz w:val="2"/>
                <w:szCs w:val="2"/>
                <w:color w:val="auto"/>
              </w:rPr>
            </w:pPr>
          </w:p>
        </w:tc>
        <w:tc>
          <w:tcPr>
            <w:tcW w:w="120" w:type="dxa"/>
            <w:vAlign w:val="bottom"/>
            <w:tcBorders>
              <w:bottom w:val="single" w:sz="8" w:color="CDE9F6"/>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DE9F6"/>
            </w:tcBorders>
          </w:tcPr>
          <w:p>
            <w:pPr>
              <w:spacing w:after="0"/>
              <w:rPr>
                <w:sz w:val="2"/>
                <w:szCs w:val="2"/>
                <w:color w:val="auto"/>
              </w:rPr>
            </w:pPr>
          </w:p>
        </w:tc>
        <w:tc>
          <w:tcPr>
            <w:tcW w:w="4460" w:type="dxa"/>
            <w:vAlign w:val="bottom"/>
            <w:tcBorders>
              <w:bottom w:val="single" w:sz="8" w:color="auto"/>
            </w:tcBorders>
          </w:tcPr>
          <w:p>
            <w:pPr>
              <w:spacing w:after="0"/>
              <w:rPr>
                <w:sz w:val="2"/>
                <w:szCs w:val="2"/>
                <w:color w:val="auto"/>
              </w:rPr>
            </w:pPr>
          </w:p>
        </w:tc>
      </w:tr>
      <w:tr>
        <w:trPr>
          <w:trHeight w:val="235"/>
        </w:trPr>
        <w:tc>
          <w:tcPr>
            <w:tcW w:w="2580" w:type="dxa"/>
            <w:vAlign w:val="bottom"/>
            <w:tcBorders>
              <w:bottom w:val="single" w:sz="8" w:color="CDE9F6"/>
            </w:tcBorders>
            <w:shd w:val="clear" w:color="auto" w:fill="CDE9F6"/>
          </w:tcPr>
          <w:p>
            <w:pPr>
              <w:spacing w:after="0"/>
              <w:rPr>
                <w:sz w:val="20"/>
                <w:szCs w:val="20"/>
                <w:color w:val="auto"/>
              </w:rPr>
            </w:pPr>
            <w:r>
              <w:rPr>
                <w:rFonts w:ascii="Times New Roman" w:cs="Times New Roman" w:eastAsia="Times New Roman" w:hAnsi="Times New Roman"/>
                <w:sz w:val="17"/>
                <w:szCs w:val="17"/>
                <w:color w:val="auto"/>
              </w:rPr>
              <w:t>Ken Xie</w:t>
            </w:r>
          </w:p>
        </w:tc>
        <w:tc>
          <w:tcPr>
            <w:tcW w:w="120" w:type="dxa"/>
            <w:vAlign w:val="bottom"/>
            <w:tcBorders>
              <w:bottom w:val="single" w:sz="8" w:color="CDE9F6"/>
            </w:tcBorders>
            <w:shd w:val="clear" w:color="auto" w:fill="CDE9F6"/>
          </w:tcPr>
          <w:p>
            <w:pPr>
              <w:spacing w:after="0"/>
              <w:rPr>
                <w:sz w:val="20"/>
                <w:szCs w:val="20"/>
                <w:color w:val="auto"/>
              </w:rPr>
            </w:pPr>
          </w:p>
        </w:tc>
        <w:tc>
          <w:tcPr>
            <w:tcW w:w="600" w:type="dxa"/>
            <w:vAlign w:val="bottom"/>
            <w:tcBorders>
              <w:bottom w:val="single" w:sz="8" w:color="CDE9F6"/>
            </w:tcBorders>
            <w:shd w:val="clear" w:color="auto" w:fill="CDE9F6"/>
          </w:tcPr>
          <w:p>
            <w:pPr>
              <w:jc w:val="center"/>
              <w:spacing w:after="0"/>
              <w:rPr>
                <w:sz w:val="20"/>
                <w:szCs w:val="20"/>
                <w:color w:val="auto"/>
              </w:rPr>
            </w:pPr>
            <w:r>
              <w:rPr>
                <w:rFonts w:ascii="Times New Roman" w:cs="Times New Roman" w:eastAsia="Times New Roman" w:hAnsi="Times New Roman"/>
                <w:sz w:val="17"/>
                <w:szCs w:val="17"/>
                <w:color w:val="auto"/>
                <w:w w:val="93"/>
              </w:rPr>
              <w:t>63</w:t>
            </w:r>
          </w:p>
        </w:tc>
        <w:tc>
          <w:tcPr>
            <w:tcW w:w="100" w:type="dxa"/>
            <w:vAlign w:val="bottom"/>
            <w:tcBorders>
              <w:bottom w:val="single" w:sz="8" w:color="CDE9F6"/>
            </w:tcBorders>
            <w:shd w:val="clear" w:color="auto" w:fill="CDE9F6"/>
          </w:tcPr>
          <w:p>
            <w:pPr>
              <w:spacing w:after="0"/>
              <w:rPr>
                <w:sz w:val="20"/>
                <w:szCs w:val="20"/>
                <w:color w:val="auto"/>
              </w:rPr>
            </w:pPr>
          </w:p>
        </w:tc>
        <w:tc>
          <w:tcPr>
            <w:tcW w:w="4460" w:type="dxa"/>
            <w:vAlign w:val="bottom"/>
            <w:tcBorders>
              <w:bottom w:val="single" w:sz="8" w:color="CDE9F6"/>
            </w:tcBorders>
            <w:shd w:val="clear" w:color="auto" w:fill="CDE9F6"/>
          </w:tcPr>
          <w:p>
            <w:pPr>
              <w:spacing w:after="0"/>
              <w:rPr>
                <w:sz w:val="20"/>
                <w:szCs w:val="20"/>
                <w:color w:val="auto"/>
              </w:rPr>
            </w:pPr>
            <w:r>
              <w:rPr>
                <w:rFonts w:ascii="Times New Roman" w:cs="Times New Roman" w:eastAsia="Times New Roman" w:hAnsi="Times New Roman"/>
                <w:sz w:val="17"/>
                <w:szCs w:val="17"/>
                <w:color w:val="auto"/>
              </w:rPr>
              <w:t>October 2000</w:t>
            </w:r>
          </w:p>
        </w:tc>
      </w:tr>
      <w:tr>
        <w:trPr>
          <w:trHeight w:val="235"/>
        </w:trPr>
        <w:tc>
          <w:tcPr>
            <w:tcW w:w="27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Michael Xie</w:t>
            </w:r>
          </w:p>
        </w:tc>
        <w:tc>
          <w:tcPr>
            <w:tcW w:w="6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57</w:t>
            </w:r>
          </w:p>
        </w:tc>
        <w:tc>
          <w:tcPr>
            <w:tcW w:w="45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February 2001</w:t>
            </w:r>
          </w:p>
        </w:tc>
      </w:tr>
      <w:tr>
        <w:trPr>
          <w:trHeight w:val="40"/>
        </w:trPr>
        <w:tc>
          <w:tcPr>
            <w:tcW w:w="2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60" w:type="dxa"/>
            <w:vAlign w:val="bottom"/>
          </w:tcPr>
          <w:p>
            <w:pPr>
              <w:spacing w:after="0"/>
              <w:rPr>
                <w:sz w:val="3"/>
                <w:szCs w:val="3"/>
                <w:color w:val="auto"/>
              </w:rPr>
            </w:pPr>
          </w:p>
        </w:tc>
      </w:tr>
      <w:tr>
        <w:trPr>
          <w:trHeight w:val="255"/>
        </w:trPr>
        <w:tc>
          <w:tcPr>
            <w:tcW w:w="2700" w:type="dxa"/>
            <w:vAlign w:val="bottom"/>
            <w:tcBorders>
              <w:bottom w:val="single" w:sz="8" w:color="CDE9F6"/>
            </w:tcBorders>
            <w:gridSpan w:val="2"/>
            <w:shd w:val="clear" w:color="auto" w:fill="CDE9F6"/>
          </w:tcPr>
          <w:p>
            <w:pPr>
              <w:spacing w:after="0"/>
              <w:rPr>
                <w:sz w:val="20"/>
                <w:szCs w:val="20"/>
                <w:color w:val="auto"/>
              </w:rPr>
            </w:pPr>
            <w:r>
              <w:rPr>
                <w:rFonts w:ascii="Times New Roman" w:cs="Times New Roman" w:eastAsia="Times New Roman" w:hAnsi="Times New Roman"/>
                <w:sz w:val="17"/>
                <w:szCs w:val="17"/>
                <w:color w:val="auto"/>
              </w:rPr>
              <w:t>Kenneth A. Goldman</w:t>
            </w:r>
          </w:p>
        </w:tc>
        <w:tc>
          <w:tcPr>
            <w:tcW w:w="600" w:type="dxa"/>
            <w:vAlign w:val="bottom"/>
            <w:tcBorders>
              <w:bottom w:val="single" w:sz="8" w:color="CDE9F6"/>
            </w:tcBorders>
            <w:shd w:val="clear" w:color="auto" w:fill="CDE9F6"/>
          </w:tcPr>
          <w:p>
            <w:pPr>
              <w:jc w:val="center"/>
              <w:spacing w:after="0"/>
              <w:rPr>
                <w:sz w:val="20"/>
                <w:szCs w:val="20"/>
                <w:color w:val="auto"/>
              </w:rPr>
            </w:pPr>
            <w:r>
              <w:rPr>
                <w:rFonts w:ascii="Times New Roman" w:cs="Times New Roman" w:eastAsia="Times New Roman" w:hAnsi="Times New Roman"/>
                <w:sz w:val="17"/>
                <w:szCs w:val="17"/>
                <w:color w:val="auto"/>
                <w:w w:val="93"/>
              </w:rPr>
              <w:t>76</w:t>
            </w:r>
          </w:p>
        </w:tc>
        <w:tc>
          <w:tcPr>
            <w:tcW w:w="4560" w:type="dxa"/>
            <w:vAlign w:val="bottom"/>
            <w:tcBorders>
              <w:bottom w:val="single" w:sz="8" w:color="CDE9F6"/>
            </w:tcBorders>
            <w:gridSpan w:val="2"/>
            <w:shd w:val="clear" w:color="auto" w:fill="CDE9F6"/>
          </w:tcPr>
          <w:p>
            <w:pPr>
              <w:ind w:left="100"/>
              <w:spacing w:after="0"/>
              <w:rPr>
                <w:sz w:val="20"/>
                <w:szCs w:val="20"/>
                <w:color w:val="auto"/>
              </w:rPr>
            </w:pPr>
            <w:r>
              <w:rPr>
                <w:rFonts w:ascii="Times New Roman" w:cs="Times New Roman" w:eastAsia="Times New Roman" w:hAnsi="Times New Roman"/>
                <w:sz w:val="17"/>
                <w:szCs w:val="17"/>
                <w:color w:val="auto"/>
              </w:rPr>
              <w:t>October 2020</w:t>
            </w:r>
          </w:p>
        </w:tc>
      </w:tr>
      <w:tr>
        <w:trPr>
          <w:trHeight w:val="235"/>
        </w:trPr>
        <w:tc>
          <w:tcPr>
            <w:tcW w:w="27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Ming Hsieh</w:t>
            </w:r>
          </w:p>
        </w:tc>
        <w:tc>
          <w:tcPr>
            <w:tcW w:w="6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70</w:t>
            </w:r>
          </w:p>
        </w:tc>
        <w:tc>
          <w:tcPr>
            <w:tcW w:w="45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April 2013</w:t>
            </w:r>
          </w:p>
        </w:tc>
      </w:tr>
      <w:tr>
        <w:trPr>
          <w:trHeight w:val="40"/>
        </w:trPr>
        <w:tc>
          <w:tcPr>
            <w:tcW w:w="2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60" w:type="dxa"/>
            <w:vAlign w:val="bottom"/>
          </w:tcPr>
          <w:p>
            <w:pPr>
              <w:spacing w:after="0"/>
              <w:rPr>
                <w:sz w:val="3"/>
                <w:szCs w:val="3"/>
                <w:color w:val="auto"/>
              </w:rPr>
            </w:pPr>
          </w:p>
        </w:tc>
      </w:tr>
      <w:tr>
        <w:trPr>
          <w:trHeight w:val="255"/>
        </w:trPr>
        <w:tc>
          <w:tcPr>
            <w:tcW w:w="2700" w:type="dxa"/>
            <w:vAlign w:val="bottom"/>
            <w:tcBorders>
              <w:bottom w:val="single" w:sz="8" w:color="CDE9F6"/>
            </w:tcBorders>
            <w:gridSpan w:val="2"/>
            <w:shd w:val="clear" w:color="auto" w:fill="CDE9F6"/>
          </w:tcPr>
          <w:p>
            <w:pPr>
              <w:spacing w:after="0"/>
              <w:rPr>
                <w:sz w:val="20"/>
                <w:szCs w:val="20"/>
                <w:color w:val="auto"/>
              </w:rPr>
            </w:pPr>
            <w:r>
              <w:rPr>
                <w:rFonts w:ascii="Times New Roman" w:cs="Times New Roman" w:eastAsia="Times New Roman" w:hAnsi="Times New Roman"/>
                <w:sz w:val="17"/>
                <w:szCs w:val="17"/>
                <w:color w:val="auto"/>
              </w:rPr>
              <w:t>Jean Hu</w:t>
            </w:r>
          </w:p>
        </w:tc>
        <w:tc>
          <w:tcPr>
            <w:tcW w:w="600" w:type="dxa"/>
            <w:vAlign w:val="bottom"/>
            <w:tcBorders>
              <w:bottom w:val="single" w:sz="8" w:color="CDE9F6"/>
            </w:tcBorders>
            <w:shd w:val="clear" w:color="auto" w:fill="CDE9F6"/>
          </w:tcPr>
          <w:p>
            <w:pPr>
              <w:jc w:val="center"/>
              <w:spacing w:after="0"/>
              <w:rPr>
                <w:sz w:val="20"/>
                <w:szCs w:val="20"/>
                <w:color w:val="auto"/>
              </w:rPr>
            </w:pPr>
            <w:r>
              <w:rPr>
                <w:rFonts w:ascii="Times New Roman" w:cs="Times New Roman" w:eastAsia="Times New Roman" w:hAnsi="Times New Roman"/>
                <w:sz w:val="17"/>
                <w:szCs w:val="17"/>
                <w:color w:val="auto"/>
                <w:w w:val="93"/>
              </w:rPr>
              <w:t>62</w:t>
            </w:r>
          </w:p>
        </w:tc>
        <w:tc>
          <w:tcPr>
            <w:tcW w:w="4560" w:type="dxa"/>
            <w:vAlign w:val="bottom"/>
            <w:tcBorders>
              <w:bottom w:val="single" w:sz="8" w:color="CDE9F6"/>
            </w:tcBorders>
            <w:gridSpan w:val="2"/>
            <w:shd w:val="clear" w:color="auto" w:fill="CDE9F6"/>
          </w:tcPr>
          <w:p>
            <w:pPr>
              <w:ind w:left="100"/>
              <w:spacing w:after="0"/>
              <w:rPr>
                <w:sz w:val="20"/>
                <w:szCs w:val="20"/>
                <w:color w:val="auto"/>
              </w:rPr>
            </w:pPr>
            <w:r>
              <w:rPr>
                <w:rFonts w:ascii="Times New Roman" w:cs="Times New Roman" w:eastAsia="Times New Roman" w:hAnsi="Times New Roman"/>
                <w:sz w:val="17"/>
                <w:szCs w:val="17"/>
                <w:color w:val="auto"/>
              </w:rPr>
              <w:t>October 2019</w:t>
            </w:r>
          </w:p>
        </w:tc>
      </w:tr>
      <w:tr>
        <w:trPr>
          <w:trHeight w:val="235"/>
        </w:trPr>
        <w:tc>
          <w:tcPr>
            <w:tcW w:w="27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Janet Napolitano</w:t>
            </w:r>
          </w:p>
        </w:tc>
        <w:tc>
          <w:tcPr>
            <w:tcW w:w="6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68</w:t>
            </w:r>
          </w:p>
        </w:tc>
        <w:tc>
          <w:tcPr>
            <w:tcW w:w="45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November 2024</w:t>
            </w:r>
          </w:p>
        </w:tc>
      </w:tr>
      <w:tr>
        <w:trPr>
          <w:trHeight w:val="40"/>
        </w:trPr>
        <w:tc>
          <w:tcPr>
            <w:tcW w:w="2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60" w:type="dxa"/>
            <w:vAlign w:val="bottom"/>
          </w:tcPr>
          <w:p>
            <w:pPr>
              <w:spacing w:after="0"/>
              <w:rPr>
                <w:sz w:val="3"/>
                <w:szCs w:val="3"/>
                <w:color w:val="auto"/>
              </w:rPr>
            </w:pPr>
          </w:p>
        </w:tc>
      </w:tr>
      <w:tr>
        <w:trPr>
          <w:trHeight w:val="255"/>
        </w:trPr>
        <w:tc>
          <w:tcPr>
            <w:tcW w:w="2700" w:type="dxa"/>
            <w:vAlign w:val="bottom"/>
            <w:tcBorders>
              <w:bottom w:val="single" w:sz="8" w:color="CDE9F6"/>
            </w:tcBorders>
            <w:gridSpan w:val="2"/>
            <w:shd w:val="clear" w:color="auto" w:fill="CDE9F6"/>
          </w:tcPr>
          <w:p>
            <w:pPr>
              <w:spacing w:after="0"/>
              <w:rPr>
                <w:sz w:val="20"/>
                <w:szCs w:val="20"/>
                <w:color w:val="auto"/>
              </w:rPr>
            </w:pPr>
            <w:r>
              <w:rPr>
                <w:rFonts w:ascii="Times New Roman" w:cs="Times New Roman" w:eastAsia="Times New Roman" w:hAnsi="Times New Roman"/>
                <w:sz w:val="17"/>
                <w:szCs w:val="17"/>
                <w:color w:val="auto"/>
              </w:rPr>
              <w:t>Judith Sim</w:t>
            </w:r>
          </w:p>
        </w:tc>
        <w:tc>
          <w:tcPr>
            <w:tcW w:w="600" w:type="dxa"/>
            <w:vAlign w:val="bottom"/>
            <w:tcBorders>
              <w:bottom w:val="single" w:sz="8" w:color="CDE9F6"/>
            </w:tcBorders>
            <w:shd w:val="clear" w:color="auto" w:fill="CDE9F6"/>
          </w:tcPr>
          <w:p>
            <w:pPr>
              <w:jc w:val="center"/>
              <w:spacing w:after="0"/>
              <w:rPr>
                <w:sz w:val="20"/>
                <w:szCs w:val="20"/>
                <w:color w:val="auto"/>
              </w:rPr>
            </w:pPr>
            <w:r>
              <w:rPr>
                <w:rFonts w:ascii="Times New Roman" w:cs="Times New Roman" w:eastAsia="Times New Roman" w:hAnsi="Times New Roman"/>
                <w:sz w:val="17"/>
                <w:szCs w:val="17"/>
                <w:color w:val="auto"/>
                <w:w w:val="93"/>
              </w:rPr>
              <w:t>57</w:t>
            </w:r>
          </w:p>
        </w:tc>
        <w:tc>
          <w:tcPr>
            <w:tcW w:w="4560" w:type="dxa"/>
            <w:vAlign w:val="bottom"/>
            <w:tcBorders>
              <w:bottom w:val="single" w:sz="8" w:color="CDE9F6"/>
            </w:tcBorders>
            <w:gridSpan w:val="2"/>
            <w:shd w:val="clear" w:color="auto" w:fill="CDE9F6"/>
          </w:tcPr>
          <w:p>
            <w:pPr>
              <w:ind w:left="100"/>
              <w:spacing w:after="0"/>
              <w:rPr>
                <w:sz w:val="20"/>
                <w:szCs w:val="20"/>
                <w:color w:val="auto"/>
              </w:rPr>
            </w:pPr>
            <w:r>
              <w:rPr>
                <w:rFonts w:ascii="Times New Roman" w:cs="Times New Roman" w:eastAsia="Times New Roman" w:hAnsi="Times New Roman"/>
                <w:sz w:val="17"/>
                <w:szCs w:val="17"/>
                <w:color w:val="auto"/>
              </w:rPr>
              <w:t>June 2015</w:t>
            </w:r>
          </w:p>
        </w:tc>
      </w:tr>
      <w:tr>
        <w:trPr>
          <w:trHeight w:val="235"/>
        </w:trPr>
        <w:tc>
          <w:tcPr>
            <w:tcW w:w="27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Admiral James Stavridis (Ret)</w:t>
            </w:r>
          </w:p>
        </w:tc>
        <w:tc>
          <w:tcPr>
            <w:tcW w:w="6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71</w:t>
            </w:r>
          </w:p>
        </w:tc>
        <w:tc>
          <w:tcPr>
            <w:tcW w:w="45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October 2021</w:t>
            </w:r>
          </w:p>
        </w:tc>
      </w:tr>
      <w:tr>
        <w:trPr>
          <w:trHeight w:val="40"/>
        </w:trPr>
        <w:tc>
          <w:tcPr>
            <w:tcW w:w="2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60" w:type="dxa"/>
            <w:vAlign w:val="bottom"/>
          </w:tcPr>
          <w:p>
            <w:pPr>
              <w:spacing w:after="0"/>
              <w:rPr>
                <w:sz w:val="3"/>
                <w:szCs w:val="3"/>
                <w:color w:val="auto"/>
              </w:rPr>
            </w:pPr>
          </w:p>
        </w:tc>
      </w:tr>
      <w:tr>
        <w:trPr>
          <w:trHeight w:val="235"/>
        </w:trPr>
        <w:tc>
          <w:tcPr>
            <w:tcW w:w="2700" w:type="dxa"/>
            <w:vAlign w:val="bottom"/>
            <w:gridSpan w:val="2"/>
            <w:shd w:val="clear" w:color="auto" w:fill="CDE9F6"/>
          </w:tcPr>
          <w:p>
            <w:pPr>
              <w:spacing w:after="0"/>
              <w:rPr>
                <w:sz w:val="20"/>
                <w:szCs w:val="20"/>
                <w:color w:val="auto"/>
              </w:rPr>
            </w:pPr>
            <w:r>
              <w:rPr>
                <w:rFonts w:ascii="Times New Roman" w:cs="Times New Roman" w:eastAsia="Times New Roman" w:hAnsi="Times New Roman"/>
                <w:sz w:val="17"/>
                <w:szCs w:val="17"/>
                <w:color w:val="auto"/>
              </w:rPr>
              <w:t>Derek Kan</w:t>
            </w:r>
          </w:p>
        </w:tc>
        <w:tc>
          <w:tcPr>
            <w:tcW w:w="600" w:type="dxa"/>
            <w:vAlign w:val="bottom"/>
            <w:shd w:val="clear" w:color="auto" w:fill="CDE9F6"/>
          </w:tcPr>
          <w:p>
            <w:pPr>
              <w:jc w:val="center"/>
              <w:spacing w:after="0"/>
              <w:rPr>
                <w:sz w:val="20"/>
                <w:szCs w:val="20"/>
                <w:color w:val="auto"/>
              </w:rPr>
            </w:pPr>
            <w:r>
              <w:rPr>
                <w:rFonts w:ascii="Times New Roman" w:cs="Times New Roman" w:eastAsia="Times New Roman" w:hAnsi="Times New Roman"/>
                <w:sz w:val="17"/>
                <w:szCs w:val="17"/>
                <w:color w:val="auto"/>
                <w:w w:val="93"/>
              </w:rPr>
              <w:t>47</w:t>
            </w:r>
          </w:p>
        </w:tc>
        <w:tc>
          <w:tcPr>
            <w:tcW w:w="4560" w:type="dxa"/>
            <w:vAlign w:val="bottom"/>
            <w:gridSpan w:val="2"/>
            <w:shd w:val="clear" w:color="auto" w:fill="CDE9F6"/>
          </w:tcPr>
          <w:p>
            <w:pPr>
              <w:ind w:left="100"/>
              <w:spacing w:after="0"/>
              <w:rPr>
                <w:sz w:val="20"/>
                <w:szCs w:val="20"/>
                <w:color w:val="auto"/>
              </w:rPr>
            </w:pPr>
            <w:r>
              <w:rPr>
                <w:rFonts w:ascii="Times New Roman" w:cs="Times New Roman" w:eastAsia="Times New Roman" w:hAnsi="Times New Roman"/>
                <w:sz w:val="17"/>
                <w:szCs w:val="17"/>
                <w:color w:val="auto"/>
              </w:rPr>
              <w:t>N/A</w:t>
            </w:r>
          </w:p>
        </w:tc>
      </w:tr>
      <w:tr>
        <w:trPr>
          <w:trHeight w:val="40"/>
        </w:trPr>
        <w:tc>
          <w:tcPr>
            <w:tcW w:w="2580" w:type="dxa"/>
            <w:vAlign w:val="bottom"/>
            <w:shd w:val="clear" w:color="auto" w:fill="CDE9F6"/>
          </w:tcPr>
          <w:p>
            <w:pPr>
              <w:spacing w:after="0"/>
              <w:rPr>
                <w:sz w:val="3"/>
                <w:szCs w:val="3"/>
                <w:color w:val="auto"/>
              </w:rPr>
            </w:pPr>
          </w:p>
        </w:tc>
        <w:tc>
          <w:tcPr>
            <w:tcW w:w="120" w:type="dxa"/>
            <w:vAlign w:val="bottom"/>
            <w:shd w:val="clear" w:color="auto" w:fill="CDE9F6"/>
          </w:tcPr>
          <w:p>
            <w:pPr>
              <w:spacing w:after="0"/>
              <w:rPr>
                <w:sz w:val="3"/>
                <w:szCs w:val="3"/>
                <w:color w:val="auto"/>
              </w:rPr>
            </w:pPr>
          </w:p>
        </w:tc>
        <w:tc>
          <w:tcPr>
            <w:tcW w:w="600" w:type="dxa"/>
            <w:vAlign w:val="bottom"/>
            <w:shd w:val="clear" w:color="auto" w:fill="CDE9F6"/>
          </w:tcPr>
          <w:p>
            <w:pPr>
              <w:spacing w:after="0"/>
              <w:rPr>
                <w:sz w:val="3"/>
                <w:szCs w:val="3"/>
                <w:color w:val="auto"/>
              </w:rPr>
            </w:pPr>
          </w:p>
        </w:tc>
        <w:tc>
          <w:tcPr>
            <w:tcW w:w="100" w:type="dxa"/>
            <w:vAlign w:val="bottom"/>
            <w:shd w:val="clear" w:color="auto" w:fill="CDE9F6"/>
          </w:tcPr>
          <w:p>
            <w:pPr>
              <w:spacing w:after="0"/>
              <w:rPr>
                <w:sz w:val="3"/>
                <w:szCs w:val="3"/>
                <w:color w:val="auto"/>
              </w:rPr>
            </w:pPr>
          </w:p>
        </w:tc>
        <w:tc>
          <w:tcPr>
            <w:tcW w:w="4460" w:type="dxa"/>
            <w:vAlign w:val="bottom"/>
            <w:shd w:val="clear" w:color="auto" w:fill="CDE9F6"/>
          </w:tcPr>
          <w:p>
            <w:pPr>
              <w:spacing w:after="0"/>
              <w:rPr>
                <w:sz w:val="3"/>
                <w:szCs w:val="3"/>
                <w:color w:val="auto"/>
              </w:rPr>
            </w:pPr>
          </w:p>
        </w:tc>
      </w:tr>
    </w:tbl>
    <w:p>
      <w:pPr>
        <w:spacing w:after="0" w:line="21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PROPOSAL TWO</w:t>
      </w:r>
    </w:p>
    <w:p>
      <w:pPr>
        <w:sectPr>
          <w:pgSz w:w="11900" w:h="16838" w:orient="portrait"/>
          <w:cols w:equalWidth="0" w:num="1">
            <w:col w:w="9019"/>
          </w:cols>
          <w:pgMar w:left="1440" w:top="265" w:right="1440" w:bottom="1440" w:gutter="0" w:footer="0" w:header="0"/>
          <w:type w:val="continuous"/>
        </w:sectPr>
      </w:pPr>
    </w:p>
    <w:p>
      <w:pPr>
        <w:spacing w:after="0" w:line="66" w:lineRule="exact"/>
        <w:rPr>
          <w:sz w:val="20"/>
          <w:szCs w:val="20"/>
          <w:color w:val="auto"/>
        </w:rPr>
      </w:pPr>
    </w:p>
    <w:p>
      <w:pPr>
        <w:ind w:left="580" w:right="460"/>
        <w:spacing w:after="0" w:line="290" w:lineRule="auto"/>
        <w:rPr>
          <w:sz w:val="20"/>
          <w:szCs w:val="20"/>
          <w:color w:val="auto"/>
        </w:rPr>
      </w:pPr>
      <w:r>
        <w:rPr>
          <w:rFonts w:ascii="Times New Roman" w:cs="Times New Roman" w:eastAsia="Times New Roman" w:hAnsi="Times New Roman"/>
          <w:sz w:val="17"/>
          <w:szCs w:val="17"/>
          <w:b w:val="1"/>
          <w:bCs w:val="1"/>
          <w:color w:val="auto"/>
        </w:rPr>
        <w:t>RATIFICATION OF APPOINTMENT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-294640</wp:posOffset>
            </wp:positionV>
            <wp:extent cx="323532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235325" cy="8255"/>
                    </a:xfrm>
                    <a:prstGeom prst="rect">
                      <a:avLst/>
                    </a:prstGeom>
                    <a:noFill/>
                  </pic:spPr>
                </pic:pic>
              </a:graphicData>
            </a:graphic>
          </wp:anchor>
        </w:drawing>
      </w:r>
    </w:p>
    <w:p>
      <w:pPr>
        <w:ind w:left="580"/>
        <w:spacing w:after="0" w:line="261" w:lineRule="auto"/>
        <w:rPr>
          <w:sz w:val="20"/>
          <w:szCs w:val="20"/>
          <w:color w:val="auto"/>
        </w:rPr>
      </w:pPr>
      <w:r>
        <w:rPr>
          <w:rFonts w:ascii="Times New Roman" w:cs="Times New Roman" w:eastAsia="Times New Roman" w:hAnsi="Times New Roman"/>
          <w:sz w:val="17"/>
          <w:szCs w:val="17"/>
          <w:color w:val="auto"/>
        </w:rPr>
        <w:t>We are asking our stockholders to ratify the audit committee’s appointment of Deloitte &amp; Touche LLP as our independent registered public accounting firm for the year ending December 31, 2026. Information regarding fees paid to Deloitte &amp; Touche LLP during 2025 and 2024 can be found under the section titled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-671195</wp:posOffset>
            </wp:positionV>
            <wp:extent cx="323532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235325" cy="8255"/>
                    </a:xfrm>
                    <a:prstGeom prst="rect">
                      <a:avLst/>
                    </a:prstGeom>
                    <a:noFill/>
                  </pic:spPr>
                </pic:pic>
              </a:graphicData>
            </a:graphic>
          </wp:anchor>
        </w:drawing>
      </w:r>
    </w:p>
    <w:p>
      <w:pPr>
        <w:ind w:left="580" w:right="60"/>
        <w:spacing w:after="0" w:line="274" w:lineRule="auto"/>
        <w:rPr>
          <w:sz w:val="20"/>
          <w:szCs w:val="20"/>
          <w:color w:val="auto"/>
        </w:rPr>
      </w:pPr>
      <w:r>
        <w:rPr>
          <w:rFonts w:ascii="Times New Roman" w:cs="Times New Roman" w:eastAsia="Times New Roman" w:hAnsi="Times New Roman"/>
          <w:sz w:val="17"/>
          <w:szCs w:val="17"/>
          <w:color w:val="auto"/>
        </w:rPr>
        <w:t>Two — Ratification of Appointment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7620</wp:posOffset>
            </wp:positionV>
            <wp:extent cx="499046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019"/>
        <w:spacing w:after="0"/>
        <w:rPr>
          <w:sz w:val="20"/>
          <w:szCs w:val="20"/>
          <w:color w:val="auto"/>
        </w:rPr>
      </w:pPr>
      <w:r>
        <w:rPr>
          <w:rFonts w:ascii="Times New Roman" w:cs="Times New Roman" w:eastAsia="Times New Roman" w:hAnsi="Times New Roman"/>
          <w:sz w:val="17"/>
          <w:szCs w:val="17"/>
          <w:b w:val="1"/>
          <w:bCs w:val="1"/>
          <w:color w:val="auto"/>
        </w:rPr>
        <w:t>BOARD’S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466090</wp:posOffset>
            </wp:positionH>
            <wp:positionV relativeFrom="paragraph">
              <wp:posOffset>-426720</wp:posOffset>
            </wp:positionV>
            <wp:extent cx="241300" cy="2330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41300" cy="233045"/>
                    </a:xfrm>
                    <a:prstGeom prst="rect">
                      <a:avLst/>
                    </a:prstGeom>
                    <a:noFill/>
                  </pic:spPr>
                </pic:pic>
              </a:graphicData>
            </a:graphic>
          </wp:anchor>
        </w:drawing>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RECOMMENDATION:</w:t>
      </w:r>
    </w:p>
    <w:p>
      <w:pPr>
        <w:spacing w:after="0" w:line="1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b w:val="1"/>
          <w:bCs w:val="1"/>
          <w:color w:val="auto"/>
        </w:rPr>
        <w:t>“FOR” Proposal Two</w:t>
      </w:r>
    </w:p>
    <w:p>
      <w:pPr>
        <w:spacing w:after="0" w:line="817" w:lineRule="exact"/>
        <w:rPr>
          <w:sz w:val="20"/>
          <w:szCs w:val="20"/>
          <w:color w:val="auto"/>
        </w:rPr>
      </w:pPr>
    </w:p>
    <w:p>
      <w:pPr>
        <w:sectPr>
          <w:pgSz w:w="11900" w:h="16838" w:orient="portrait"/>
          <w:cols w:equalWidth="0" w:num="2">
            <w:col w:w="5560" w:space="620"/>
            <w:col w:w="2839"/>
          </w:cols>
          <w:pgMar w:left="1440" w:top="265" w:right="1440" w:bottom="1440" w:gutter="0" w:footer="0" w:header="0"/>
          <w:type w:val="continuous"/>
        </w:sectPr>
      </w:pPr>
    </w:p>
    <w:p>
      <w:pPr>
        <w:spacing w:after="0" w:line="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PROPOSAL THREE</w:t>
      </w:r>
    </w:p>
    <w:p>
      <w:pPr>
        <w:spacing w:after="0" w:line="66" w:lineRule="exact"/>
        <w:rPr>
          <w:sz w:val="20"/>
          <w:szCs w:val="20"/>
          <w:color w:val="auto"/>
        </w:rPr>
      </w:pPr>
    </w:p>
    <w:p>
      <w:pPr>
        <w:ind w:left="580" w:right="660"/>
        <w:spacing w:after="0" w:line="290" w:lineRule="auto"/>
        <w:rPr>
          <w:sz w:val="20"/>
          <w:szCs w:val="20"/>
          <w:color w:val="auto"/>
        </w:rPr>
      </w:pPr>
      <w:r>
        <w:rPr>
          <w:rFonts w:ascii="Times New Roman" w:cs="Times New Roman" w:eastAsia="Times New Roman" w:hAnsi="Times New Roman"/>
          <w:sz w:val="17"/>
          <w:szCs w:val="17"/>
          <w:b w:val="1"/>
          <w:bCs w:val="1"/>
          <w:color w:val="auto"/>
        </w:rPr>
        <w:t>ADVISORY VOTE TO APPROVE NAMED EXECUTIVE OFFICER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-294640</wp:posOffset>
            </wp:positionV>
            <wp:extent cx="323532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235325" cy="8255"/>
                    </a:xfrm>
                    <a:prstGeom prst="rect">
                      <a:avLst/>
                    </a:prstGeom>
                    <a:noFill/>
                  </pic:spPr>
                </pic:pic>
              </a:graphicData>
            </a:graphic>
          </wp:anchor>
        </w:drawing>
      </w:r>
    </w:p>
    <w:p>
      <w:pPr>
        <w:ind w:left="580"/>
        <w:spacing w:after="0" w:line="263" w:lineRule="auto"/>
        <w:rPr>
          <w:sz w:val="20"/>
          <w:szCs w:val="20"/>
          <w:color w:val="auto"/>
        </w:rPr>
      </w:pPr>
      <w:r>
        <w:rPr>
          <w:rFonts w:ascii="Times New Roman" w:cs="Times New Roman" w:eastAsia="Times New Roman" w:hAnsi="Times New Roman"/>
          <w:sz w:val="17"/>
          <w:szCs w:val="17"/>
          <w:color w:val="auto"/>
        </w:rPr>
        <w:t>We are asking our stockholders to approve, on an advisory and non-binding basis, the compensation of our named executive officers as disclosed in accordance with the rules of the Securities and Exchange Commission (the “SEC”) in the “</w:t>
      </w:r>
      <w:r>
        <w:rPr>
          <w:rFonts w:ascii="Times New Roman" w:cs="Times New Roman" w:eastAsia="Times New Roman" w:hAnsi="Times New Roman"/>
          <w:sz w:val="17"/>
          <w:szCs w:val="17"/>
          <w:i w:val="1"/>
          <w:iCs w:val="1"/>
          <w:color w:val="auto"/>
        </w:rPr>
        <w:t>Executive Compensation</w:t>
      </w:r>
      <w:r>
        <w:rPr>
          <w:rFonts w:ascii="Times New Roman" w:cs="Times New Roman" w:eastAsia="Times New Roman" w:hAnsi="Times New Roman"/>
          <w:sz w:val="17"/>
          <w:szCs w:val="17"/>
          <w:color w:val="auto"/>
        </w:rPr>
        <w:t>” section of this Proxy Statement. Information regarding compensation of our named executive officers can be found under the section titled “Proposal Three — Vote to Approve Named Executive Officer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-948055</wp:posOffset>
            </wp:positionV>
            <wp:extent cx="323532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235325" cy="8255"/>
                    </a:xfrm>
                    <a:prstGeom prst="rect">
                      <a:avLst/>
                    </a:prstGeom>
                    <a:noFill/>
                  </pic:spPr>
                </pic:pic>
              </a:graphicData>
            </a:graphic>
          </wp:anchor>
        </w:drawing>
        <w:drawing>
          <wp:anchor simplePos="0" relativeHeight="251657728" behindDoc="1" locked="0" layoutInCell="0" allowOverlap="1">
            <wp:simplePos x="0" y="0"/>
            <wp:positionH relativeFrom="column">
              <wp:posOffset>364490</wp:posOffset>
            </wp:positionH>
            <wp:positionV relativeFrom="paragraph">
              <wp:posOffset>15875</wp:posOffset>
            </wp:positionV>
            <wp:extent cx="499046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019"/>
        <w:spacing w:after="0"/>
        <w:rPr>
          <w:sz w:val="20"/>
          <w:szCs w:val="20"/>
          <w:color w:val="auto"/>
        </w:rPr>
      </w:pPr>
      <w:r>
        <w:rPr>
          <w:rFonts w:ascii="Times New Roman" w:cs="Times New Roman" w:eastAsia="Times New Roman" w:hAnsi="Times New Roman"/>
          <w:sz w:val="17"/>
          <w:szCs w:val="17"/>
          <w:b w:val="1"/>
          <w:bCs w:val="1"/>
          <w:color w:val="auto"/>
        </w:rPr>
        <w:t>BOARD’S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466090</wp:posOffset>
            </wp:positionH>
            <wp:positionV relativeFrom="paragraph">
              <wp:posOffset>-434975</wp:posOffset>
            </wp:positionV>
            <wp:extent cx="241300" cy="2330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41300" cy="233045"/>
                    </a:xfrm>
                    <a:prstGeom prst="rect">
                      <a:avLst/>
                    </a:prstGeom>
                    <a:noFill/>
                  </pic:spPr>
                </pic:pic>
              </a:graphicData>
            </a:graphic>
          </wp:anchor>
        </w:drawing>
      </w:r>
    </w:p>
    <w:p>
      <w:pPr>
        <w:spacing w:after="0" w:line="14" w:lineRule="exact"/>
        <w:rPr>
          <w:sz w:val="20"/>
          <w:szCs w:val="20"/>
          <w:color w:val="auto"/>
        </w:rPr>
      </w:pPr>
    </w:p>
    <w:p>
      <w:pPr>
        <w:jc w:val="right"/>
        <w:ind w:right="1019"/>
        <w:spacing w:after="0" w:line="274" w:lineRule="auto"/>
        <w:rPr>
          <w:sz w:val="20"/>
          <w:szCs w:val="20"/>
          <w:color w:val="auto"/>
        </w:rPr>
      </w:pPr>
      <w:r>
        <w:rPr>
          <w:rFonts w:ascii="Times New Roman" w:cs="Times New Roman" w:eastAsia="Times New Roman" w:hAnsi="Times New Roman"/>
          <w:sz w:val="17"/>
          <w:szCs w:val="17"/>
          <w:b w:val="1"/>
          <w:bCs w:val="1"/>
          <w:color w:val="auto"/>
        </w:rPr>
        <w:t>RECOMMENDATION: “FOR” Proposal Three</w:t>
      </w:r>
    </w:p>
    <w:p>
      <w:pPr>
        <w:spacing w:after="0" w:line="727" w:lineRule="exact"/>
        <w:rPr>
          <w:sz w:val="20"/>
          <w:szCs w:val="20"/>
          <w:color w:val="auto"/>
        </w:rPr>
      </w:pPr>
    </w:p>
    <w:p>
      <w:pPr>
        <w:sectPr>
          <w:pgSz w:w="11900" w:h="16838" w:orient="portrait"/>
          <w:cols w:equalWidth="0" w:num="2">
            <w:col w:w="5660" w:space="520"/>
            <w:col w:w="2839"/>
          </w:cols>
          <w:pgMar w:left="1440" w:top="265" w:right="1440"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27940</wp:posOffset>
            </wp:positionV>
            <wp:extent cx="499046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7" w:name="page8"/>
    <w:bookmarkEnd w:id="7"/>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FORTINET, INC.</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909 Kifer Road</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Sunnyvale, California 94086</w:t>
      </w:r>
    </w:p>
    <w:p>
      <w:pPr>
        <w:spacing w:after="0" w:line="125"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7"/>
          <w:szCs w:val="17"/>
          <w:b w:val="1"/>
          <w:bCs w:val="1"/>
          <w:color w:val="auto"/>
        </w:rPr>
        <w:t>________________________</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PROXY STATEMENT</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FOR 2026 ANNUAL MEETING OF STOCKHOLDERS</w:t>
      </w: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QUESTIONS AND ANSWERS ABOUT THE 2026 ANNUAL MEETING AND PROCEDURAL</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MATTERS</w:t>
      </w:r>
    </w:p>
    <w:p>
      <w:pPr>
        <w:spacing w:after="0" w:line="13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Q:  Why am I receiving these materials?</w:t>
      </w:r>
    </w:p>
    <w:p>
      <w:pPr>
        <w:spacing w:after="0" w:line="147" w:lineRule="exact"/>
        <w:rPr>
          <w:sz w:val="20"/>
          <w:szCs w:val="20"/>
          <w:color w:val="auto"/>
        </w:rPr>
      </w:pPr>
    </w:p>
    <w:p>
      <w:pPr>
        <w:ind w:left="920" w:right="659" w:hanging="346"/>
        <w:spacing w:after="0" w:line="270" w:lineRule="auto"/>
        <w:tabs>
          <w:tab w:leader="none" w:pos="916"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Board of Directors is providing these proxy materials to you in connection with the solicitation of proxies for use at Fortinet’s 2026 Annual Meeting of Stockholders (the “2026 Annual Meeting”), to be held on Friday, June 12, 2026 at 10:00 a.m. Pacific time, and at any adjournment or postponement thereof, for the purpose of considering and acting upon the matters set forth in this Proxy Statement.</w:t>
      </w:r>
    </w:p>
    <w:p>
      <w:pPr>
        <w:spacing w:after="0" w:line="102" w:lineRule="exact"/>
        <w:rPr>
          <w:rFonts w:ascii="Times New Roman" w:cs="Times New Roman" w:eastAsia="Times New Roman" w:hAnsi="Times New Roman"/>
          <w:sz w:val="17"/>
          <w:szCs w:val="17"/>
          <w:color w:val="auto"/>
        </w:rPr>
      </w:pPr>
    </w:p>
    <w:p>
      <w:pPr>
        <w:ind w:left="920" w:right="859"/>
        <w:spacing w:after="0" w:line="27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We expect to mail the Notice of Internet Availability of Proxy Materials (the “Notice”) on or about April 30, 2026. Copies of our proxy materials and 2025 Annual Report are available at </w:t>
      </w:r>
      <w:r>
        <w:rPr>
          <w:rFonts w:ascii="Times New Roman" w:cs="Times New Roman" w:eastAsia="Times New Roman" w:hAnsi="Times New Roman"/>
          <w:sz w:val="17"/>
          <w:szCs w:val="17"/>
          <w:i w:val="1"/>
          <w:iCs w:val="1"/>
          <w:color w:val="auto"/>
        </w:rPr>
        <w:t>www.edocumentview.com/FTNT</w:t>
      </w:r>
      <w:r>
        <w:rPr>
          <w:rFonts w:ascii="Times New Roman" w:cs="Times New Roman" w:eastAsia="Times New Roman" w:hAnsi="Times New Roman"/>
          <w:sz w:val="17"/>
          <w:szCs w:val="17"/>
          <w:color w:val="auto"/>
        </w:rPr>
        <w:t>. Our 2025 Annual Report may also be obtained by accessing Fortinet’s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filings on the SEC’s website at </w:t>
      </w:r>
      <w:r>
        <w:rPr>
          <w:rFonts w:ascii="Times New Roman" w:cs="Times New Roman" w:eastAsia="Times New Roman" w:hAnsi="Times New Roman"/>
          <w:sz w:val="17"/>
          <w:szCs w:val="17"/>
          <w:i w:val="1"/>
          <w:iCs w:val="1"/>
          <w:color w:val="auto"/>
        </w:rPr>
        <w:t>www.sec.gov.</w:t>
      </w:r>
    </w:p>
    <w:p>
      <w:pPr>
        <w:spacing w:after="0" w:line="103" w:lineRule="exact"/>
        <w:rPr>
          <w:sz w:val="20"/>
          <w:szCs w:val="20"/>
          <w:color w:val="auto"/>
        </w:rPr>
      </w:pPr>
    </w:p>
    <w:p>
      <w:pPr>
        <w:ind w:left="920" w:right="759"/>
        <w:spacing w:after="0" w:line="270" w:lineRule="auto"/>
        <w:rPr>
          <w:sz w:val="20"/>
          <w:szCs w:val="20"/>
          <w:color w:val="auto"/>
        </w:rPr>
      </w:pPr>
      <w:r>
        <w:rPr>
          <w:rFonts w:ascii="Times New Roman" w:cs="Times New Roman" w:eastAsia="Times New Roman" w:hAnsi="Times New Roman"/>
          <w:sz w:val="17"/>
          <w:szCs w:val="17"/>
          <w:color w:val="auto"/>
        </w:rPr>
        <w:t>The 2026 Annual Meeting will be held in a virtual-only format. We believe that hosting a virtual meeting will allow for greater stockholder attendance and participation from any location around the world. The virtual-only approach also lowers costs and aligns with our broader sustainability goals. You will not be able to attend the 2026 Annual Meeting in person.</w:t>
      </w:r>
    </w:p>
    <w:p>
      <w:pPr>
        <w:spacing w:after="0" w:line="88" w:lineRule="exact"/>
        <w:rPr>
          <w:sz w:val="20"/>
          <w:szCs w:val="20"/>
          <w:color w:val="auto"/>
        </w:rPr>
      </w:pPr>
    </w:p>
    <w:p>
      <w:pPr>
        <w:ind w:left="920" w:right="659" w:hanging="346"/>
        <w:spacing w:after="0" w:line="299" w:lineRule="auto"/>
        <w:tabs>
          <w:tab w:leader="none" w:pos="896" w:val="left"/>
        </w:tabs>
        <w:numPr>
          <w:ilvl w:val="0"/>
          <w:numId w:val="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Why did I receive a one-page notice in the mail regarding the internet availability of proxy materials instead of a full set of proxy materials?</w:t>
      </w:r>
    </w:p>
    <w:p>
      <w:pPr>
        <w:spacing w:after="0" w:line="78" w:lineRule="exact"/>
        <w:rPr>
          <w:sz w:val="20"/>
          <w:szCs w:val="20"/>
          <w:color w:val="auto"/>
        </w:rPr>
      </w:pPr>
    </w:p>
    <w:p>
      <w:pPr>
        <w:ind w:left="920" w:right="759" w:hanging="346"/>
        <w:spacing w:after="0" w:line="265" w:lineRule="auto"/>
        <w:tabs>
          <w:tab w:leader="none" w:pos="916"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Pursuant to rules adopted by the SEC, we have elected to provide access to our proxy materials over the internet. Accordingly, we are sending the Notice to our stockholders of record and beneficial owners. All stockholders will have the ability to access the proxy materials on the website referred to in the Notice or request a printed set of the proxy materials. Instructions on how to access the proxy materials over the internet or to request a printed copy may be found in the Notice. In addition, stockholders may request to receive proxy materials in printed form by mail or electronically by email on an ongoing basis.</w:t>
      </w:r>
    </w:p>
    <w:p>
      <w:pPr>
        <w:spacing w:after="0" w:line="10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Q:  How can I get electronic access to the proxy materials?</w:t>
      </w:r>
    </w:p>
    <w:p>
      <w:pPr>
        <w:spacing w:after="0" w:line="147" w:lineRule="exact"/>
        <w:rPr>
          <w:sz w:val="20"/>
          <w:szCs w:val="20"/>
          <w:color w:val="auto"/>
        </w:rPr>
      </w:pPr>
    </w:p>
    <w:p>
      <w:pPr>
        <w:ind w:left="920" w:hanging="346"/>
        <w:spacing w:after="0"/>
        <w:tabs>
          <w:tab w:leader="none" w:pos="9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Notice will provide you with instructions regarding how to:</w:t>
      </w:r>
    </w:p>
    <w:p>
      <w:pPr>
        <w:spacing w:after="0" w:line="158" w:lineRule="exact"/>
        <w:rPr>
          <w:rFonts w:ascii="Times New Roman" w:cs="Times New Roman" w:eastAsia="Times New Roman" w:hAnsi="Times New Roman"/>
          <w:sz w:val="17"/>
          <w:szCs w:val="17"/>
          <w:color w:val="auto"/>
        </w:rPr>
      </w:pPr>
    </w:p>
    <w:p>
      <w:pPr>
        <w:ind w:left="1120" w:hanging="196"/>
        <w:spacing w:after="0"/>
        <w:tabs>
          <w:tab w:leader="none" w:pos="1120" w:val="left"/>
        </w:tabs>
        <w:numPr>
          <w:ilvl w:val="1"/>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View our proxy materials for the 2026 Annual Meeting on the internet; and</w:t>
      </w:r>
    </w:p>
    <w:p>
      <w:pPr>
        <w:spacing w:after="0" w:line="158" w:lineRule="exact"/>
        <w:rPr>
          <w:rFonts w:ascii="Times New Roman" w:cs="Times New Roman" w:eastAsia="Times New Roman" w:hAnsi="Times New Roman"/>
          <w:sz w:val="17"/>
          <w:szCs w:val="17"/>
          <w:color w:val="auto"/>
        </w:rPr>
      </w:pPr>
    </w:p>
    <w:p>
      <w:pPr>
        <w:ind w:left="1120" w:hanging="196"/>
        <w:spacing w:after="0"/>
        <w:tabs>
          <w:tab w:leader="none" w:pos="1120" w:val="left"/>
        </w:tabs>
        <w:numPr>
          <w:ilvl w:val="1"/>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Have future proxy materials sent to you electronically by email.</w:t>
      </w:r>
    </w:p>
    <w:p>
      <w:pPr>
        <w:spacing w:after="0" w:line="145" w:lineRule="exact"/>
        <w:rPr>
          <w:sz w:val="20"/>
          <w:szCs w:val="20"/>
          <w:color w:val="auto"/>
        </w:rPr>
      </w:pPr>
    </w:p>
    <w:p>
      <w:pPr>
        <w:ind w:left="920" w:right="699"/>
        <w:spacing w:after="0" w:line="270" w:lineRule="auto"/>
        <w:rPr>
          <w:sz w:val="20"/>
          <w:szCs w:val="20"/>
          <w:color w:val="auto"/>
        </w:rPr>
      </w:pPr>
      <w:r>
        <w:rPr>
          <w:rFonts w:ascii="Times New Roman" w:cs="Times New Roman" w:eastAsia="Times New Roman" w:hAnsi="Times New Roman"/>
          <w:sz w:val="17"/>
          <w:szCs w:val="17"/>
          <w:color w:val="auto"/>
        </w:rPr>
        <w:t>Choosing to receive future proxy materials by email will save us the cost of printing and mailing documents to you and will reduce the impact of our annual meetings on the environment. If you choose to receive future proxy materials by email, you will receive an email next year with instructions containing a link to those materials and a link to the proxy voting site.</w:t>
      </w:r>
    </w:p>
    <w:p>
      <w:pPr>
        <w:spacing w:after="0" w:line="10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Q:  Can I attend the 2026 Annual Meeting?</w:t>
      </w:r>
    </w:p>
    <w:p>
      <w:pPr>
        <w:spacing w:after="0" w:line="160" w:lineRule="exact"/>
        <w:rPr>
          <w:sz w:val="20"/>
          <w:szCs w:val="20"/>
          <w:color w:val="auto"/>
        </w:rPr>
      </w:pPr>
    </w:p>
    <w:p>
      <w:pPr>
        <w:ind w:left="920" w:right="699" w:hanging="346"/>
        <w:spacing w:after="0" w:line="264" w:lineRule="auto"/>
        <w:tabs>
          <w:tab w:leader="none" w:pos="916"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you were a stockholder of record at the close of business on April 17, 2026 (the “Record Date”) (i.e., your shares were registered directly in your name with our transfer agent, Computershare Trust Company, N.A. (“Computershare”)) or if you are a proxy holder for such a stockholder, you may participate in the</w:t>
      </w:r>
    </w:p>
    <w:p>
      <w:pPr>
        <w:spacing w:after="0" w:line="1" w:lineRule="exact"/>
        <w:rPr>
          <w:rFonts w:ascii="Times New Roman" w:cs="Times New Roman" w:eastAsia="Times New Roman" w:hAnsi="Times New Roman"/>
          <w:sz w:val="17"/>
          <w:szCs w:val="17"/>
          <w:color w:val="auto"/>
        </w:rPr>
      </w:pPr>
    </w:p>
    <w:p>
      <w:pPr>
        <w:ind w:left="9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2026 Annual Meeting by following the instructions below:</w:t>
      </w:r>
    </w:p>
    <w:p>
      <w:pPr>
        <w:spacing w:after="0" w:line="125" w:lineRule="exact"/>
        <w:rPr>
          <w:rFonts w:ascii="Times New Roman" w:cs="Times New Roman" w:eastAsia="Times New Roman" w:hAnsi="Times New Roman"/>
          <w:sz w:val="17"/>
          <w:szCs w:val="17"/>
          <w:color w:val="auto"/>
        </w:rPr>
      </w:pPr>
    </w:p>
    <w:p>
      <w:pPr>
        <w:ind w:left="1120" w:hanging="196"/>
        <w:spacing w:after="0"/>
        <w:tabs>
          <w:tab w:leader="none" w:pos="1120" w:val="left"/>
        </w:tabs>
        <w:numPr>
          <w:ilvl w:val="1"/>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Beginning at 9:45 a.m. Pacific Time on June 12, 2026, please visit </w:t>
      </w:r>
      <w:r>
        <w:rPr>
          <w:rFonts w:ascii="Times New Roman" w:cs="Times New Roman" w:eastAsia="Times New Roman" w:hAnsi="Times New Roman"/>
          <w:sz w:val="17"/>
          <w:szCs w:val="17"/>
          <w:i w:val="1"/>
          <w:iCs w:val="1"/>
          <w:color w:val="auto"/>
        </w:rPr>
        <w:t>meetnow.global/MX9VX2W.</w:t>
      </w:r>
    </w:p>
    <w:p>
      <w:pPr>
        <w:spacing w:after="0" w:line="160" w:lineRule="exact"/>
        <w:rPr>
          <w:rFonts w:ascii="Times New Roman" w:cs="Times New Roman" w:eastAsia="Times New Roman" w:hAnsi="Times New Roman"/>
          <w:sz w:val="17"/>
          <w:szCs w:val="17"/>
          <w:color w:val="auto"/>
        </w:rPr>
      </w:pPr>
    </w:p>
    <w:p>
      <w:pPr>
        <w:ind w:left="1100" w:right="879" w:hanging="176"/>
        <w:spacing w:after="0" w:line="296" w:lineRule="auto"/>
        <w:tabs>
          <w:tab w:leader="none" w:pos="1074" w:val="left"/>
        </w:tabs>
        <w:numPr>
          <w:ilvl w:val="1"/>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Enter the 15-digit control number on the Proxy Card or Notice of Availability of Proxy Materials you receive.</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 w:name="page9"/>
    <w:bookmarkEnd w:id="8"/>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920" w:right="699"/>
        <w:spacing w:after="0" w:line="276" w:lineRule="auto"/>
        <w:rPr>
          <w:sz w:val="20"/>
          <w:szCs w:val="20"/>
          <w:color w:val="auto"/>
        </w:rPr>
      </w:pPr>
      <w:r>
        <w:rPr>
          <w:rFonts w:ascii="Times New Roman" w:cs="Times New Roman" w:eastAsia="Times New Roman" w:hAnsi="Times New Roman"/>
          <w:sz w:val="17"/>
          <w:szCs w:val="17"/>
          <w:color w:val="auto"/>
        </w:rPr>
        <w:t>If you held your shares through an intermediary on the Record Date (i.e., you hold your shares in “street name” through an intermediary, such as a bank or broker), you must register in advance to virtually attend the 2026 Annual Meeting by following the instructions below:</w:t>
      </w:r>
    </w:p>
    <w:p>
      <w:pPr>
        <w:spacing w:after="0" w:line="98" w:lineRule="exact"/>
        <w:rPr>
          <w:sz w:val="20"/>
          <w:szCs w:val="20"/>
          <w:color w:val="auto"/>
        </w:rPr>
      </w:pPr>
    </w:p>
    <w:p>
      <w:pPr>
        <w:ind w:left="1100" w:right="759" w:hanging="176"/>
        <w:spacing w:after="0" w:line="296" w:lineRule="auto"/>
        <w:tabs>
          <w:tab w:leader="none" w:pos="1117"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You must obtain a legal proxy, executed in your favor, from the holder of record reflecting the number of shares of common stock you held as of the Record Date, along with your name and email address.</w:t>
      </w:r>
    </w:p>
    <w:p>
      <w:pPr>
        <w:spacing w:after="0" w:line="81" w:lineRule="exact"/>
        <w:rPr>
          <w:rFonts w:ascii="Times New Roman" w:cs="Times New Roman" w:eastAsia="Times New Roman" w:hAnsi="Times New Roman"/>
          <w:sz w:val="17"/>
          <w:szCs w:val="17"/>
          <w:color w:val="auto"/>
        </w:rPr>
      </w:pPr>
    </w:p>
    <w:p>
      <w:pPr>
        <w:ind w:left="1100" w:right="839" w:hanging="176"/>
        <w:spacing w:after="0" w:line="270" w:lineRule="auto"/>
        <w:tabs>
          <w:tab w:leader="none" w:pos="1117"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Submit proof of your legal proxy by forwarding the email from your broker, or attaching an image of your legal proxy, to legalproxy@computershare.com. Requests for registration must be labeled as “Legal Proxy” and be received no later than 5:00 p.m. Eastern Time on June 9, 2026. You will then receive a confirmation of your registration, with a control number, by email from Computershare.</w:t>
      </w:r>
    </w:p>
    <w:p>
      <w:pPr>
        <w:spacing w:after="0" w:line="87" w:lineRule="exact"/>
        <w:rPr>
          <w:rFonts w:ascii="Times New Roman" w:cs="Times New Roman" w:eastAsia="Times New Roman" w:hAnsi="Times New Roman"/>
          <w:sz w:val="17"/>
          <w:szCs w:val="17"/>
          <w:color w:val="auto"/>
        </w:rPr>
      </w:pPr>
    </w:p>
    <w:p>
      <w:pPr>
        <w:ind w:left="1100" w:right="1099" w:hanging="176"/>
        <w:spacing w:after="0" w:line="299" w:lineRule="auto"/>
        <w:tabs>
          <w:tab w:leader="none" w:pos="1117"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At the time of the 2026 Annual Meeting, go to </w:t>
      </w:r>
      <w:r>
        <w:rPr>
          <w:rFonts w:ascii="Times New Roman" w:cs="Times New Roman" w:eastAsia="Times New Roman" w:hAnsi="Times New Roman"/>
          <w:sz w:val="17"/>
          <w:szCs w:val="17"/>
          <w:i w:val="1"/>
          <w:iCs w:val="1"/>
          <w:color w:val="auto"/>
        </w:rPr>
        <w:t>meetnow.global/MX9VX2W</w:t>
      </w:r>
      <w:r>
        <w:rPr>
          <w:rFonts w:ascii="Times New Roman" w:cs="Times New Roman" w:eastAsia="Times New Roman" w:hAnsi="Times New Roman"/>
          <w:sz w:val="17"/>
          <w:szCs w:val="17"/>
          <w:color w:val="auto"/>
        </w:rPr>
        <w:t xml:space="preserve"> and enter your control number.</w:t>
      </w:r>
    </w:p>
    <w:p>
      <w:pPr>
        <w:spacing w:after="0" w:line="78" w:lineRule="exact"/>
        <w:rPr>
          <w:sz w:val="20"/>
          <w:szCs w:val="20"/>
          <w:color w:val="auto"/>
        </w:rPr>
      </w:pPr>
    </w:p>
    <w:p>
      <w:pPr>
        <w:ind w:left="920" w:right="719"/>
        <w:spacing w:after="0" w:line="261" w:lineRule="auto"/>
        <w:rPr>
          <w:sz w:val="20"/>
          <w:szCs w:val="20"/>
          <w:color w:val="auto"/>
        </w:rPr>
      </w:pPr>
      <w:r>
        <w:rPr>
          <w:rFonts w:ascii="Times New Roman" w:cs="Times New Roman" w:eastAsia="Times New Roman" w:hAnsi="Times New Roman"/>
          <w:sz w:val="17"/>
          <w:szCs w:val="17"/>
          <w:color w:val="auto"/>
        </w:rPr>
        <w:t xml:space="preserve">If we experience technical difficulties during the meeting (e.g., a temporary or prolonged power outage), we will determine whether the meeting can be promptly reconvened (if the technical difficulty is temporary) or whether the meeting will need to be reconvened on a later day (if the technical difficulty is more prolonged). In any situation, we will promptly notify stockholders of the decision via </w:t>
      </w:r>
      <w:r>
        <w:rPr>
          <w:rFonts w:ascii="Times New Roman" w:cs="Times New Roman" w:eastAsia="Times New Roman" w:hAnsi="Times New Roman"/>
          <w:sz w:val="17"/>
          <w:szCs w:val="17"/>
          <w:i w:val="1"/>
          <w:iCs w:val="1"/>
          <w:color w:val="auto"/>
        </w:rPr>
        <w:t>meetnow.global/MX9VX2W</w:t>
      </w:r>
      <w:r>
        <w:rPr>
          <w:rFonts w:ascii="Times New Roman" w:cs="Times New Roman" w:eastAsia="Times New Roman" w:hAnsi="Times New Roman"/>
          <w:sz w:val="17"/>
          <w:szCs w:val="17"/>
          <w:color w:val="auto"/>
        </w:rPr>
        <w:t>. The virtual meeting platform is fully supported across most browsers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(including Edge, Firefox, Chrome and Safari) and devices (including desktops, laptops, tablets and cell phones) running the most up-to-date version of applicable software and plugins. Internet Explorer is not a supported browser. Participants should ensure that they have a strong internet connection wherever they intend to participate in the meeting. We encourage you to access the meeting prior to the start time. For further assistance should you need it you may call Computershare toll free at (888) 724-2416.</w:t>
      </w:r>
    </w:p>
    <w:p>
      <w:pPr>
        <w:spacing w:after="0" w:line="11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Q:  How can I ask questions at the 2026 Annual Meeting?</w:t>
      </w:r>
    </w:p>
    <w:p>
      <w:pPr>
        <w:spacing w:after="0" w:line="147" w:lineRule="exact"/>
        <w:rPr>
          <w:sz w:val="20"/>
          <w:szCs w:val="20"/>
          <w:color w:val="auto"/>
        </w:rPr>
      </w:pPr>
    </w:p>
    <w:p>
      <w:pPr>
        <w:ind w:left="920" w:right="759" w:hanging="346"/>
        <w:spacing w:after="0" w:line="276" w:lineRule="auto"/>
        <w:tabs>
          <w:tab w:leader="none" w:pos="916"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You will be able to attend the 2026 Annual Meeting online and submit your questions during the meeting by visiting </w:t>
      </w:r>
      <w:r>
        <w:rPr>
          <w:rFonts w:ascii="Times New Roman" w:cs="Times New Roman" w:eastAsia="Times New Roman" w:hAnsi="Times New Roman"/>
          <w:sz w:val="17"/>
          <w:szCs w:val="17"/>
          <w:i w:val="1"/>
          <w:iCs w:val="1"/>
          <w:color w:val="auto"/>
        </w:rPr>
        <w:t>meetnow.global/MX9VX2W</w:t>
      </w:r>
      <w:r>
        <w:rPr>
          <w:rFonts w:ascii="Times New Roman" w:cs="Times New Roman" w:eastAsia="Times New Roman" w:hAnsi="Times New Roman"/>
          <w:sz w:val="17"/>
          <w:szCs w:val="17"/>
          <w:color w:val="auto"/>
        </w:rPr>
        <w:t>. For technical support, please call Computershare toll free at (888) 724-2416.</w:t>
      </w:r>
    </w:p>
    <w:p>
      <w:pPr>
        <w:spacing w:after="0" w:line="9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Q:  Who is entitled to vote at the 2026 Annual Meeting?</w:t>
      </w:r>
    </w:p>
    <w:p>
      <w:pPr>
        <w:spacing w:after="0" w:line="160" w:lineRule="exact"/>
        <w:rPr>
          <w:sz w:val="20"/>
          <w:szCs w:val="20"/>
          <w:color w:val="auto"/>
        </w:rPr>
      </w:pPr>
    </w:p>
    <w:p>
      <w:pPr>
        <w:ind w:left="920" w:right="639" w:hanging="346"/>
        <w:spacing w:after="0" w:line="270" w:lineRule="auto"/>
        <w:tabs>
          <w:tab w:leader="none" w:pos="916"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You may vote your shares of Fortinet common stock if our records show that you owned your shares at the close of business on the Record Date. At the close of business on the Record Date, there were 732,102,047 shares of Fortinet common stock outstanding and entitled to vote at the 2026 Annual Meeting. You may cast one vote for each share of common stock held by you as of the Record Date on all matters presented.</w:t>
      </w:r>
    </w:p>
    <w:p>
      <w:pPr>
        <w:spacing w:after="0" w:line="8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Q:  What is the difference between holding shares as a stockholder of record or as a beneficial owner?</w:t>
      </w:r>
    </w:p>
    <w:p>
      <w:pPr>
        <w:spacing w:after="0" w:line="160" w:lineRule="exact"/>
        <w:rPr>
          <w:sz w:val="20"/>
          <w:szCs w:val="20"/>
          <w:color w:val="auto"/>
        </w:rPr>
      </w:pPr>
    </w:p>
    <w:p>
      <w:pPr>
        <w:ind w:left="920" w:right="879" w:hanging="346"/>
        <w:spacing w:after="0" w:line="270" w:lineRule="auto"/>
        <w:tabs>
          <w:tab w:leader="none" w:pos="916"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respect to your shares that are registered directly in your name with Fortinet’s transfer agent, Computershare, you are considered the “stockholder of record” and the Notice has been sent directly to you by Fortinet. As the stockholder of record, you have the right to grant your voting proxy directly to Fortinet or to a third party, or to vote in person at the 2026 Annual Meeting.</w:t>
      </w:r>
    </w:p>
    <w:p>
      <w:pPr>
        <w:spacing w:after="0" w:line="102" w:lineRule="exact"/>
        <w:rPr>
          <w:rFonts w:ascii="Times New Roman" w:cs="Times New Roman" w:eastAsia="Times New Roman" w:hAnsi="Times New Roman"/>
          <w:sz w:val="17"/>
          <w:szCs w:val="17"/>
          <w:color w:val="auto"/>
        </w:rPr>
      </w:pPr>
    </w:p>
    <w:p>
      <w:pPr>
        <w:ind w:left="920" w:right="579"/>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respect to your shares that are held by a brokerage account or by another nominee, you are considered the “beneficial owner” of shares held in “street name” and the Notice is being forwarded to you together with voting instructions on behalf of your broker, trustee or nominee. As the beneficial owner, you have the right to direct your broker, trustee or nominee how to vote, and you are also invited to attend the 2026 Annual Meeting. Your broker, trustee or nominee has enclosed or provided voting instructions for you to use in directing the broker, trustee or nominee how to vote your shares. Because a beneficial owner is not the stockholder of record, you may not vote these shares in person at the 2026 Annual Meeting unless you obtain a “legal proxy” from the broker, trustee or nominee that holds your shares, giving you the right to vote the shares at the 2026 Annual Meeting. If you hold your shares through a broker and do not provide your broker with specific voting instructions, under the rules that govern brokers in such circumstances, your broker will have the discretion to vote such shares on routine matters but not on non-routine matters. Even though we are listed on The Nasdaq Stock Market LLC (“Nasdaq”), the rules of the New York Stock Exchange (the “NYSE”) govern how a broker licensed by the NYSE can vote shares it holds on behalf of stockholders of Nasdaq-listed companies.</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 w:name="page10"/>
    <w:bookmarkEnd w:id="9"/>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7"/>
          <w:szCs w:val="17"/>
          <w:color w:val="auto"/>
        </w:rPr>
        <w:t>As a result:</w:t>
      </w:r>
    </w:p>
    <w:p>
      <w:pPr>
        <w:spacing w:after="0" w:line="158" w:lineRule="exact"/>
        <w:rPr>
          <w:sz w:val="20"/>
          <w:szCs w:val="20"/>
          <w:color w:val="auto"/>
        </w:rPr>
      </w:pPr>
    </w:p>
    <w:p>
      <w:pPr>
        <w:ind w:left="1100" w:right="879" w:hanging="176"/>
        <w:spacing w:after="0" w:line="276" w:lineRule="auto"/>
        <w:tabs>
          <w:tab w:leader="none" w:pos="1117"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Your broker will not have the authority to exercise discretion to vote your shares with respect to the election of directors (“Proposal One”) or the advisory vote on named executive officer compensation (“Proposal Three”).</w:t>
      </w:r>
    </w:p>
    <w:p>
      <w:pPr>
        <w:spacing w:after="0" w:line="98" w:lineRule="exact"/>
        <w:rPr>
          <w:rFonts w:ascii="Times New Roman" w:cs="Times New Roman" w:eastAsia="Times New Roman" w:hAnsi="Times New Roman"/>
          <w:sz w:val="17"/>
          <w:szCs w:val="17"/>
          <w:color w:val="auto"/>
        </w:rPr>
      </w:pPr>
    </w:p>
    <w:p>
      <w:pPr>
        <w:ind w:left="1100" w:right="579" w:hanging="176"/>
        <w:spacing w:after="0" w:line="274" w:lineRule="auto"/>
        <w:tabs>
          <w:tab w:leader="none" w:pos="1117"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Your broker will have the authority to exercise discretion to vote your shares with respect to the appointment of Deloitte &amp; Touche LLP as our independent registered public accounting firm for the year ending December 31, 2026 (“Proposal Two”), because that matter is treated as routine under NYSE rules.</w:t>
      </w:r>
    </w:p>
    <w:p>
      <w:pPr>
        <w:spacing w:after="0" w:line="300" w:lineRule="exact"/>
        <w:rPr>
          <w:sz w:val="20"/>
          <w:szCs w:val="20"/>
          <w:color w:val="auto"/>
        </w:rPr>
      </w:pPr>
    </w:p>
    <w:p>
      <w:pPr>
        <w:ind w:left="920" w:right="739"/>
        <w:spacing w:after="0" w:line="276" w:lineRule="auto"/>
        <w:rPr>
          <w:sz w:val="20"/>
          <w:szCs w:val="20"/>
          <w:color w:val="auto"/>
        </w:rPr>
      </w:pPr>
      <w:r>
        <w:rPr>
          <w:rFonts w:ascii="Times New Roman" w:cs="Times New Roman" w:eastAsia="Times New Roman" w:hAnsi="Times New Roman"/>
          <w:sz w:val="17"/>
          <w:szCs w:val="17"/>
          <w:color w:val="auto"/>
        </w:rPr>
        <w:t>Because the proposals to be acted upon at the 2026 Annual Meeting include both routine and non-routine matters, if you do not give voting instructions to your broker, trustee or nominee, your broker, trustee or nominee may either (i) vote your shares on routine matters or (ii) leave your shares unvoted.</w:t>
      </w:r>
    </w:p>
    <w:p>
      <w:pPr>
        <w:spacing w:after="0" w:line="98" w:lineRule="exact"/>
        <w:rPr>
          <w:sz w:val="20"/>
          <w:szCs w:val="20"/>
          <w:color w:val="auto"/>
        </w:rPr>
      </w:pPr>
    </w:p>
    <w:p>
      <w:pPr>
        <w:jc w:val="both"/>
        <w:ind w:left="920" w:right="739"/>
        <w:spacing w:after="0" w:line="276" w:lineRule="auto"/>
        <w:rPr>
          <w:sz w:val="20"/>
          <w:szCs w:val="20"/>
          <w:color w:val="auto"/>
        </w:rPr>
      </w:pPr>
      <w:r>
        <w:rPr>
          <w:rFonts w:ascii="Times New Roman" w:cs="Times New Roman" w:eastAsia="Times New Roman" w:hAnsi="Times New Roman"/>
          <w:sz w:val="17"/>
          <w:szCs w:val="17"/>
          <w:color w:val="auto"/>
        </w:rPr>
        <w:t>A broker “non-vote” occurs when your broker, trustee or nominee does not vote on a particular proposal because the broker, trustee or nominee does not have discretionary voting power with respect to that item and has not received voting instructions from you as the beneficial owner.</w:t>
      </w:r>
    </w:p>
    <w:p>
      <w:pPr>
        <w:spacing w:after="0" w:line="9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Q:  How can I vote my shares without attending the 2026 Annual Meeting?</w:t>
      </w:r>
    </w:p>
    <w:p>
      <w:pPr>
        <w:spacing w:after="0" w:line="145" w:lineRule="exact"/>
        <w:rPr>
          <w:sz w:val="20"/>
          <w:szCs w:val="20"/>
          <w:color w:val="auto"/>
        </w:rPr>
      </w:pPr>
    </w:p>
    <w:p>
      <w:pPr>
        <w:ind w:left="920" w:right="599" w:hanging="346"/>
        <w:spacing w:after="0" w:line="267" w:lineRule="auto"/>
        <w:tabs>
          <w:tab w:leader="none" w:pos="916"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You are encouraged to vote your shares in advance of the 2026 Annual Meeting. </w:t>
      </w:r>
      <w:r>
        <w:rPr>
          <w:rFonts w:ascii="Times New Roman" w:cs="Times New Roman" w:eastAsia="Times New Roman" w:hAnsi="Times New Roman"/>
          <w:sz w:val="17"/>
          <w:szCs w:val="17"/>
          <w:color w:val="auto"/>
        </w:rPr>
        <w:t>If voting in advance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of the 2026 Annual Meeting, the steps required to cast your votes are the same as indicated in the materials received with this Proxy Statement. If you have not already voted your shares in advance, you will be able to vote your shares electronically during the 2026 Annual Meeting by clicking on the “Cast Your Vote” link on the Meeting Center site.</w:t>
      </w:r>
    </w:p>
    <w:p>
      <w:pPr>
        <w:spacing w:after="0" w:line="106" w:lineRule="exact"/>
        <w:rPr>
          <w:rFonts w:ascii="Times New Roman" w:cs="Times New Roman" w:eastAsia="Times New Roman" w:hAnsi="Times New Roman"/>
          <w:sz w:val="17"/>
          <w:szCs w:val="17"/>
          <w:color w:val="auto"/>
        </w:rPr>
      </w:pPr>
    </w:p>
    <w:p>
      <w:pPr>
        <w:ind w:left="920" w:right="639"/>
        <w:spacing w:after="0" w:line="27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Whether you hold shares directly as the stockholder of record or beneficially in street name, you may direct how your shares are voted without attending the 2026 Annual Meeting. There are three ways to vote by proxy:</w:t>
      </w:r>
    </w:p>
    <w:p>
      <w:pPr>
        <w:spacing w:after="0" w:line="96" w:lineRule="exact"/>
        <w:rPr>
          <w:rFonts w:ascii="Times New Roman" w:cs="Times New Roman" w:eastAsia="Times New Roman" w:hAnsi="Times New Roman"/>
          <w:sz w:val="17"/>
          <w:szCs w:val="17"/>
          <w:color w:val="auto"/>
        </w:rPr>
      </w:pPr>
    </w:p>
    <w:p>
      <w:pPr>
        <w:ind w:left="920" w:right="619"/>
        <w:spacing w:after="0" w:line="27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By mail </w:t>
      </w:r>
      <w:r>
        <w:rPr>
          <w:rFonts w:ascii="Times New Roman" w:cs="Times New Roman" w:eastAsia="Times New Roman" w:hAnsi="Times New Roman"/>
          <w:sz w:val="17"/>
          <w:szCs w:val="17"/>
          <w:color w:val="auto"/>
        </w:rPr>
        <w:t>— If you are a stockholder of record, you may vote by submitting a proxy card; please refer to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voting instructions in the Notice or below. If you hold shares beneficially in street name, you may vote by submitting voting instructions to your broker, trustee or nominee; please refer to the voting instructions provided to you by your broker, trustee or nominee.</w:t>
      </w:r>
    </w:p>
    <w:p>
      <w:pPr>
        <w:spacing w:after="0" w:line="86" w:lineRule="exact"/>
        <w:rPr>
          <w:rFonts w:ascii="Times New Roman" w:cs="Times New Roman" w:eastAsia="Times New Roman" w:hAnsi="Times New Roman"/>
          <w:sz w:val="17"/>
          <w:szCs w:val="17"/>
          <w:color w:val="auto"/>
        </w:rPr>
      </w:pPr>
    </w:p>
    <w:p>
      <w:pPr>
        <w:ind w:left="920" w:right="619"/>
        <w:spacing w:after="0" w:line="26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By internet </w:t>
      </w:r>
      <w:r>
        <w:rPr>
          <w:rFonts w:ascii="Times New Roman" w:cs="Times New Roman" w:eastAsia="Times New Roman" w:hAnsi="Times New Roman"/>
          <w:sz w:val="17"/>
          <w:szCs w:val="17"/>
          <w:color w:val="auto"/>
        </w:rPr>
        <w:t>— Stockholders of record of Fortinet common stock with internet access may submit proxies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by following the “Vote by Internet” instructions described in the Notice until 11:59 p.m. Eastern time on Thursday, June 11, 2026 or by following the instructions at </w:t>
      </w:r>
      <w:r>
        <w:rPr>
          <w:rFonts w:ascii="Times New Roman" w:cs="Times New Roman" w:eastAsia="Times New Roman" w:hAnsi="Times New Roman"/>
          <w:sz w:val="17"/>
          <w:szCs w:val="17"/>
          <w:i w:val="1"/>
          <w:iCs w:val="1"/>
          <w:color w:val="auto"/>
        </w:rPr>
        <w:t>www.envisionreports.com/FTNT.</w:t>
      </w:r>
      <w:r>
        <w:rPr>
          <w:rFonts w:ascii="Times New Roman" w:cs="Times New Roman" w:eastAsia="Times New Roman" w:hAnsi="Times New Roman"/>
          <w:sz w:val="17"/>
          <w:szCs w:val="17"/>
          <w:color w:val="auto"/>
        </w:rPr>
        <w:t xml:space="preserve"> Most Fortinet stockholders who hold shares beneficially in street name may vote by accessing the website specified in the voting instructions provided by their brokers, trustees or nominees. Please check the voting instructions for internet voting availability.</w:t>
      </w:r>
    </w:p>
    <w:p>
      <w:pPr>
        <w:spacing w:after="0" w:line="106" w:lineRule="exact"/>
        <w:rPr>
          <w:rFonts w:ascii="Times New Roman" w:cs="Times New Roman" w:eastAsia="Times New Roman" w:hAnsi="Times New Roman"/>
          <w:sz w:val="17"/>
          <w:szCs w:val="17"/>
          <w:color w:val="auto"/>
        </w:rPr>
      </w:pPr>
    </w:p>
    <w:p>
      <w:pPr>
        <w:ind w:left="920" w:right="599"/>
        <w:spacing w:after="0" w:line="278"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By telephone </w:t>
      </w:r>
      <w:r>
        <w:rPr>
          <w:rFonts w:ascii="Times New Roman" w:cs="Times New Roman" w:eastAsia="Times New Roman" w:hAnsi="Times New Roman"/>
          <w:sz w:val="17"/>
          <w:szCs w:val="17"/>
          <w:color w:val="auto"/>
        </w:rPr>
        <w:t>— Depending on how your shares are held, you may be able to vote by telephone. If this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option is available to you, you will have received information with the Notice or the voting instruction card provided by your broker, trustee or nominee explaining this procedure.</w:t>
      </w:r>
    </w:p>
    <w:p>
      <w:pPr>
        <w:spacing w:after="0" w:line="9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Q:  How many shares must be present or represented to conduct business at the 2026 Annual Meeting?</w:t>
      </w:r>
    </w:p>
    <w:p>
      <w:pPr>
        <w:spacing w:after="0" w:line="147" w:lineRule="exact"/>
        <w:rPr>
          <w:sz w:val="20"/>
          <w:szCs w:val="20"/>
          <w:color w:val="auto"/>
        </w:rPr>
      </w:pPr>
    </w:p>
    <w:p>
      <w:pPr>
        <w:ind w:left="920" w:right="679" w:hanging="346"/>
        <w:spacing w:after="0" w:line="270" w:lineRule="auto"/>
        <w:tabs>
          <w:tab w:leader="none" w:pos="916"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presence of the holders of a majority of the issued and outstanding shares of our capital stock entitled to vote at the 2026 Annual Meeting is necessary to constitute a quorum at the 2026 Annual Meeting. Such stockholders are counted as present at the meeting if they (i) are present in person at the 2026 Annual Meeting or, (ii) represented by proxy.</w:t>
      </w:r>
    </w:p>
    <w:p>
      <w:pPr>
        <w:spacing w:after="0" w:line="102" w:lineRule="exact"/>
        <w:rPr>
          <w:rFonts w:ascii="Times New Roman" w:cs="Times New Roman" w:eastAsia="Times New Roman" w:hAnsi="Times New Roman"/>
          <w:sz w:val="17"/>
          <w:szCs w:val="17"/>
          <w:color w:val="auto"/>
        </w:rPr>
      </w:pPr>
    </w:p>
    <w:p>
      <w:pPr>
        <w:ind w:left="920" w:right="699"/>
        <w:spacing w:after="0" w:line="26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Under Delaware law, abstentions and broker non-votes are counted as present and entitled to vote for purposes of determining whether a quorum is present at the 2026 Annual Meeting. However, as discussed above, under “What is the difference between holding shares as a stockholder of record or as a beneficial owner?” brokers have limited discretionary authority to vote shares that are beneficially owned and, therefore, are not entitled to vote on non-routine matters in the absence of voting instructions from the beneficial owner of such shares.</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0" w:name="page11"/>
    <w:bookmarkEnd w:id="10"/>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Q:  What proposals will be voted on at the 2026 Annual Meeting?</w:t>
      </w:r>
    </w:p>
    <w:p>
      <w:pPr>
        <w:spacing w:after="0" w:line="160" w:lineRule="exact"/>
        <w:rPr>
          <w:sz w:val="20"/>
          <w:szCs w:val="20"/>
          <w:color w:val="auto"/>
        </w:rPr>
      </w:pPr>
    </w:p>
    <w:p>
      <w:pPr>
        <w:ind w:left="920" w:hanging="346"/>
        <w:spacing w:after="0"/>
        <w:tabs>
          <w:tab w:leader="none" w:pos="9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proposals scheduled to be voted on at the 2026 Annual Meeting are:</w:t>
      </w:r>
    </w:p>
    <w:p>
      <w:pPr>
        <w:spacing w:after="0" w:line="156" w:lineRule="exact"/>
        <w:rPr>
          <w:rFonts w:ascii="Times New Roman" w:cs="Times New Roman" w:eastAsia="Times New Roman" w:hAnsi="Times New Roman"/>
          <w:sz w:val="17"/>
          <w:szCs w:val="17"/>
          <w:color w:val="auto"/>
        </w:rPr>
      </w:pPr>
    </w:p>
    <w:p>
      <w:pPr>
        <w:jc w:val="both"/>
        <w:ind w:left="920" w:right="799"/>
        <w:spacing w:after="0" w:line="278"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Proposal One: </w:t>
      </w:r>
      <w:r>
        <w:rPr>
          <w:rFonts w:ascii="Times New Roman" w:cs="Times New Roman" w:eastAsia="Times New Roman" w:hAnsi="Times New Roman"/>
          <w:sz w:val="17"/>
          <w:szCs w:val="17"/>
          <w:color w:val="auto"/>
        </w:rPr>
        <w:t>The election of the nine director nominees set forth in Proposal One to serve for a one-year term expiring at the 2027 Annual Meeting and until their respective successors are duly elected and qualified;</w:t>
      </w:r>
    </w:p>
    <w:p>
      <w:pPr>
        <w:spacing w:after="0" w:line="80" w:lineRule="exact"/>
        <w:rPr>
          <w:rFonts w:ascii="Times New Roman" w:cs="Times New Roman" w:eastAsia="Times New Roman" w:hAnsi="Times New Roman"/>
          <w:sz w:val="17"/>
          <w:szCs w:val="17"/>
          <w:color w:val="auto"/>
        </w:rPr>
      </w:pPr>
    </w:p>
    <w:p>
      <w:pPr>
        <w:ind w:left="920" w:right="1159"/>
        <w:spacing w:after="0" w:line="299"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Proposal Two: </w:t>
      </w:r>
      <w:r>
        <w:rPr>
          <w:rFonts w:ascii="Times New Roman" w:cs="Times New Roman" w:eastAsia="Times New Roman" w:hAnsi="Times New Roman"/>
          <w:sz w:val="17"/>
          <w:szCs w:val="17"/>
          <w:color w:val="auto"/>
        </w:rPr>
        <w:t>The ratification of the appointment of Deloitte &amp; Touche LLP as our independent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registered public accounting firm for the fiscal year ending December 31, 2026; and</w:t>
      </w:r>
    </w:p>
    <w:p>
      <w:pPr>
        <w:spacing w:after="0" w:line="76" w:lineRule="exact"/>
        <w:rPr>
          <w:rFonts w:ascii="Times New Roman" w:cs="Times New Roman" w:eastAsia="Times New Roman" w:hAnsi="Times New Roman"/>
          <w:sz w:val="17"/>
          <w:szCs w:val="17"/>
          <w:color w:val="auto"/>
        </w:rPr>
      </w:pPr>
    </w:p>
    <w:p>
      <w:pPr>
        <w:ind w:left="9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Proposal Three:  </w:t>
      </w:r>
      <w:r>
        <w:rPr>
          <w:rFonts w:ascii="Times New Roman" w:cs="Times New Roman" w:eastAsia="Times New Roman" w:hAnsi="Times New Roman"/>
          <w:sz w:val="17"/>
          <w:szCs w:val="17"/>
          <w:color w:val="auto"/>
        </w:rPr>
        <w:t>An advisory vote to approve our named executive officer compensation.</w:t>
      </w:r>
    </w:p>
    <w:p>
      <w:pPr>
        <w:spacing w:after="0" w:line="15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Q:  What is the voting requirement to approve each of the proposals?</w:t>
      </w:r>
    </w:p>
    <w:p>
      <w:pPr>
        <w:spacing w:after="0" w:line="147" w:lineRule="exact"/>
        <w:rPr>
          <w:sz w:val="20"/>
          <w:szCs w:val="20"/>
          <w:color w:val="auto"/>
        </w:rPr>
      </w:pPr>
    </w:p>
    <w:p>
      <w:pPr>
        <w:jc w:val="both"/>
        <w:ind w:left="920" w:right="839" w:hanging="346"/>
        <w:spacing w:after="0" w:line="276" w:lineRule="auto"/>
        <w:tabs>
          <w:tab w:leader="none" w:pos="916"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a majority voting standard for uncontested elections of directors (Proposal One), which means that to be elected, a director nominee must receive a majority of the votes cast, i.e. the number of shares voted “FOR” a director nominee must exceed the votes cast “AGAINST” that nominee.</w:t>
      </w:r>
    </w:p>
    <w:p>
      <w:pPr>
        <w:spacing w:after="0" w:line="98" w:lineRule="exact"/>
        <w:rPr>
          <w:rFonts w:ascii="Times New Roman" w:cs="Times New Roman" w:eastAsia="Times New Roman" w:hAnsi="Times New Roman"/>
          <w:sz w:val="17"/>
          <w:szCs w:val="17"/>
          <w:color w:val="auto"/>
        </w:rPr>
      </w:pPr>
    </w:p>
    <w:p>
      <w:pPr>
        <w:ind w:left="920" w:right="1279"/>
        <w:spacing w:after="0" w:line="267"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affirmative vote of a majority of the shares of our common stock that are present in person or represented by proxy at the 2026 Annual Meeting and entitled to vote is required to ratify the appointment of Deloitte &amp; Touche LLP as our independent registered public accounting firm (Proposal Two) and to approve the advisory resolution on named executive compensation (Proposal Three).</w:t>
      </w:r>
    </w:p>
    <w:p>
      <w:pPr>
        <w:spacing w:after="0" w:line="10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Q:  How are votes counted?</w:t>
      </w:r>
    </w:p>
    <w:p>
      <w:pPr>
        <w:spacing w:after="0" w:line="147" w:lineRule="exact"/>
        <w:rPr>
          <w:sz w:val="20"/>
          <w:szCs w:val="20"/>
          <w:color w:val="auto"/>
        </w:rPr>
      </w:pPr>
    </w:p>
    <w:p>
      <w:pPr>
        <w:ind w:left="920" w:right="619" w:hanging="346"/>
        <w:spacing w:after="0" w:line="296" w:lineRule="auto"/>
        <w:tabs>
          <w:tab w:leader="none" w:pos="916"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You may vote “FOR” or “AGAINST” each of the nominees for election as director in Proposal One and on each of Proposal Two and Proposal Three. You may also “ABSTAIN” from voting.</w:t>
      </w:r>
    </w:p>
    <w:p>
      <w:pPr>
        <w:spacing w:after="0" w:line="79" w:lineRule="exact"/>
        <w:rPr>
          <w:rFonts w:ascii="Times New Roman" w:cs="Times New Roman" w:eastAsia="Times New Roman" w:hAnsi="Times New Roman"/>
          <w:sz w:val="17"/>
          <w:szCs w:val="17"/>
          <w:color w:val="auto"/>
        </w:rPr>
      </w:pPr>
    </w:p>
    <w:p>
      <w:pPr>
        <w:ind w:left="920" w:right="959"/>
        <w:spacing w:after="0" w:line="278"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Abstentions are deemed to be shares present or represented by proxy and entitled to vote. Abstentions have no effect on Proposal One and the same effect as a vote against Proposals Two, Three and Four.</w:t>
      </w:r>
    </w:p>
    <w:p>
      <w:pPr>
        <w:spacing w:after="0" w:line="95" w:lineRule="exact"/>
        <w:rPr>
          <w:rFonts w:ascii="Times New Roman" w:cs="Times New Roman" w:eastAsia="Times New Roman" w:hAnsi="Times New Roman"/>
          <w:sz w:val="17"/>
          <w:szCs w:val="17"/>
          <w:color w:val="auto"/>
        </w:rPr>
      </w:pPr>
    </w:p>
    <w:p>
      <w:pPr>
        <w:ind w:left="920" w:right="919"/>
        <w:spacing w:after="0" w:line="27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Brokers have discretionary authority to vote shares that are beneficially owned on Proposal Two. If a broker chooses not to vote shares for or against Proposal Two, it would have the same effect as an abstention. Broker non-votes are not deemed to be shares entitled to vote on and will have no effect on Proposals One and Three.</w:t>
      </w:r>
    </w:p>
    <w:p>
      <w:pPr>
        <w:spacing w:after="0" w:line="89" w:lineRule="exact"/>
        <w:rPr>
          <w:rFonts w:ascii="Times New Roman" w:cs="Times New Roman" w:eastAsia="Times New Roman" w:hAnsi="Times New Roman"/>
          <w:sz w:val="17"/>
          <w:szCs w:val="17"/>
          <w:color w:val="auto"/>
        </w:rPr>
      </w:pPr>
    </w:p>
    <w:p>
      <w:pPr>
        <w:ind w:left="920" w:right="1099"/>
        <w:spacing w:after="0" w:line="27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shares entitled to vote and represented by properly submitted proxies received prior to the 2026 Annual Meeting (and not revoked) will be voted at the 2026 Annual Meeting in accordance with the instructions indicated by such proxy. If no instructions are indicated on such proxy, the shares represented by that proxy will be voted as recommended by the Board of Directors.</w:t>
      </w:r>
    </w:p>
    <w:p>
      <w:pPr>
        <w:spacing w:after="0" w:line="10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Q:  How does the Board of Directors recommend that I vote?</w:t>
      </w:r>
    </w:p>
    <w:p>
      <w:pPr>
        <w:spacing w:after="0" w:line="160" w:lineRule="exact"/>
        <w:rPr>
          <w:sz w:val="20"/>
          <w:szCs w:val="20"/>
          <w:color w:val="auto"/>
        </w:rPr>
      </w:pPr>
    </w:p>
    <w:p>
      <w:pPr>
        <w:ind w:left="920" w:right="3699" w:hanging="346"/>
        <w:spacing w:after="0" w:line="424" w:lineRule="auto"/>
        <w:tabs>
          <w:tab w:leader="none" w:pos="916"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Board of Directors recommends that you vote your shares: “</w:t>
      </w:r>
      <w:r>
        <w:rPr>
          <w:rFonts w:ascii="Times New Roman" w:cs="Times New Roman" w:eastAsia="Times New Roman" w:hAnsi="Times New Roman"/>
          <w:sz w:val="17"/>
          <w:szCs w:val="17"/>
          <w:b w:val="1"/>
          <w:bCs w:val="1"/>
          <w:color w:val="auto"/>
        </w:rPr>
        <w:t>FOR</w:t>
      </w:r>
      <w:r>
        <w:rPr>
          <w:rFonts w:ascii="Times New Roman" w:cs="Times New Roman" w:eastAsia="Times New Roman" w:hAnsi="Times New Roman"/>
          <w:sz w:val="17"/>
          <w:szCs w:val="17"/>
          <w:color w:val="auto"/>
        </w:rPr>
        <w:t>” each of the nine nominees for election as directors;</w:t>
      </w:r>
    </w:p>
    <w:p>
      <w:pPr>
        <w:spacing w:after="0" w:line="2" w:lineRule="exact"/>
        <w:rPr>
          <w:sz w:val="20"/>
          <w:szCs w:val="20"/>
          <w:color w:val="auto"/>
        </w:rPr>
      </w:pPr>
    </w:p>
    <w:p>
      <w:pPr>
        <w:ind w:left="920" w:right="1159"/>
        <w:spacing w:after="0" w:line="29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FOR</w:t>
      </w:r>
      <w:r>
        <w:rPr>
          <w:rFonts w:ascii="Times New Roman" w:cs="Times New Roman" w:eastAsia="Times New Roman" w:hAnsi="Times New Roman"/>
          <w:sz w:val="17"/>
          <w:szCs w:val="17"/>
          <w:color w:val="auto"/>
        </w:rPr>
        <w:t>” the ratification of the appointment of Deloitte &amp; Touche LLP as our independent registered public accounting firm for the fiscal year ending December 31, 2026; and</w:t>
      </w:r>
    </w:p>
    <w:p>
      <w:pPr>
        <w:spacing w:after="0" w:line="6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FOR</w:t>
      </w:r>
      <w:r>
        <w:rPr>
          <w:rFonts w:ascii="Times New Roman" w:cs="Times New Roman" w:eastAsia="Times New Roman" w:hAnsi="Times New Roman"/>
          <w:sz w:val="17"/>
          <w:szCs w:val="17"/>
          <w:color w:val="auto"/>
        </w:rPr>
        <w:t>” the advisory resolution to approve named executive officer compensation.</w:t>
      </w:r>
    </w:p>
    <w:p>
      <w:pPr>
        <w:spacing w:after="0" w:line="15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Q:  What happens if additional matters are presented at the 2026 Annual Meeting?</w:t>
      </w:r>
    </w:p>
    <w:p>
      <w:pPr>
        <w:spacing w:after="0" w:line="160" w:lineRule="exact"/>
        <w:rPr>
          <w:sz w:val="20"/>
          <w:szCs w:val="20"/>
          <w:color w:val="auto"/>
        </w:rPr>
      </w:pPr>
    </w:p>
    <w:p>
      <w:pPr>
        <w:ind w:left="920" w:right="659" w:hanging="346"/>
        <w:spacing w:after="0" w:line="265" w:lineRule="auto"/>
        <w:tabs>
          <w:tab w:leader="none" w:pos="916"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any other matters are properly presented for consideration at the 2026 Annual Meeting, including, among other things, consideration of a motion to adjourn the 2026 Annual Meeting to another time or place (including, without limitation, for the purpose of soliciting additional proxies), the persons named as proxy holders, Ken Xie and Will Cooper, or either of them, will have discretion to vote on those matters in accordance with their best judgment. Fortinet does not currently anticipate that any other matters will be raised at the 2026 Annual Meeting.</w:t>
      </w:r>
    </w:p>
    <w:p>
      <w:pPr>
        <w:spacing w:after="0" w:line="1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1" w:name="page12"/>
    <w:bookmarkEnd w:id="11"/>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Q:  Can I change my vote?</w:t>
      </w:r>
    </w:p>
    <w:p>
      <w:pPr>
        <w:spacing w:after="0" w:line="160" w:lineRule="exact"/>
        <w:rPr>
          <w:sz w:val="20"/>
          <w:szCs w:val="20"/>
          <w:color w:val="auto"/>
        </w:rPr>
      </w:pPr>
    </w:p>
    <w:p>
      <w:pPr>
        <w:ind w:left="920" w:right="679" w:hanging="346"/>
        <w:spacing w:after="0" w:line="296" w:lineRule="auto"/>
        <w:tabs>
          <w:tab w:leader="none" w:pos="916"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any rules your broker, trustee or nominee may have, you may change your proxy instructions at any time before your proxy is voted at the 2026 Annual Meeting.</w:t>
      </w:r>
    </w:p>
    <w:p>
      <w:pPr>
        <w:spacing w:after="0" w:line="81" w:lineRule="exact"/>
        <w:rPr>
          <w:rFonts w:ascii="Times New Roman" w:cs="Times New Roman" w:eastAsia="Times New Roman" w:hAnsi="Times New Roman"/>
          <w:sz w:val="17"/>
          <w:szCs w:val="17"/>
          <w:color w:val="auto"/>
        </w:rPr>
      </w:pPr>
    </w:p>
    <w:p>
      <w:pPr>
        <w:ind w:left="920" w:right="959"/>
        <w:spacing w:after="0" w:line="26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you are the stockholder of record, you may change your vote: (i) by granting a new proxy bearing a later date (which automatically revokes the earlier proxy) using any of the methods described above (and until the applicable deadline for each method); (ii) by providing a written notice of revocation to Fortinet’s Corporate Secretary at Fortinet, Inc., 909 Kifer Road, Sunnyvale, California 94086 prior to your shares being voted; or (iii) by attending the 2026 Annual Meeting and voting virtually. Attending the meeting will not cause your previously granted proxy to be revoked unless you specifically so request.</w:t>
      </w:r>
    </w:p>
    <w:p>
      <w:pPr>
        <w:spacing w:after="0" w:line="98" w:lineRule="exact"/>
        <w:rPr>
          <w:rFonts w:ascii="Times New Roman" w:cs="Times New Roman" w:eastAsia="Times New Roman" w:hAnsi="Times New Roman"/>
          <w:sz w:val="17"/>
          <w:szCs w:val="17"/>
          <w:color w:val="auto"/>
        </w:rPr>
      </w:pPr>
    </w:p>
    <w:p>
      <w:pPr>
        <w:ind w:left="920" w:right="859"/>
        <w:spacing w:after="0" w:line="27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you are a beneficial owner of shares held in street name, you may change your vote (a) by submitting new voting instructions to your broker, trustee or nominee or (b) if you have obtained a legal proxy from the broker, trustee or nominee that holds your shares giving you the right to vote your shares, by attending the 2026 Annual Meeting and voting virtually.</w:t>
      </w:r>
    </w:p>
    <w:p>
      <w:pPr>
        <w:spacing w:after="0" w:line="10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Q:  What should I do if I receive more than one set of voting materials?</w:t>
      </w:r>
    </w:p>
    <w:p>
      <w:pPr>
        <w:spacing w:after="0" w:line="160" w:lineRule="exact"/>
        <w:rPr>
          <w:sz w:val="20"/>
          <w:szCs w:val="20"/>
          <w:color w:val="auto"/>
        </w:rPr>
      </w:pPr>
    </w:p>
    <w:p>
      <w:pPr>
        <w:ind w:left="920" w:right="819" w:hanging="346"/>
        <w:spacing w:after="0" w:line="276" w:lineRule="auto"/>
        <w:tabs>
          <w:tab w:leader="none" w:pos="916"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you received more than one Notice, voting instruction card or set of proxy materials, your shares are registered in more than one name or brokerage account. Please follow the instructions on each Notice or voting instruction card that you receive to ensure that all of your shares are voted.</w:t>
      </w:r>
    </w:p>
    <w:p>
      <w:pPr>
        <w:spacing w:after="0" w:line="8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Q:  Is my vote confidential?</w:t>
      </w:r>
    </w:p>
    <w:p>
      <w:pPr>
        <w:spacing w:after="0" w:line="160" w:lineRule="exact"/>
        <w:rPr>
          <w:sz w:val="20"/>
          <w:szCs w:val="20"/>
          <w:color w:val="auto"/>
        </w:rPr>
      </w:pPr>
    </w:p>
    <w:p>
      <w:pPr>
        <w:ind w:left="920" w:right="739" w:hanging="346"/>
        <w:spacing w:after="0" w:line="265" w:lineRule="auto"/>
        <w:tabs>
          <w:tab w:leader="none" w:pos="916"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Proxy instructions, ballots and voting tabulations that identify individual stockholders are handled in a manner that protects your voting privacy. Your vote will not be disclosed either within Fortinet or to third parties, except: (i) as necessary to meet applicable legal requirements; (ii) to allow for the tabulation of votes and certification of the vote; and (iii) to facilitate a successful proxy solicitation. Occasionally, stockholders provide written comments on their proxy cards, which may be forwarded to Fortinet management.</w:t>
      </w:r>
    </w:p>
    <w:p>
      <w:pPr>
        <w:spacing w:after="0" w:line="10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Q:  Who will serve as inspector of election?</w:t>
      </w:r>
    </w:p>
    <w:p>
      <w:pPr>
        <w:spacing w:after="0" w:line="147" w:lineRule="exact"/>
        <w:rPr>
          <w:sz w:val="20"/>
          <w:szCs w:val="20"/>
          <w:color w:val="auto"/>
        </w:rPr>
      </w:pPr>
    </w:p>
    <w:p>
      <w:pPr>
        <w:ind w:left="580"/>
        <w:spacing w:after="0"/>
        <w:tabs>
          <w:tab w:leader="none" w:pos="900" w:val="left"/>
        </w:tabs>
        <w:rPr>
          <w:sz w:val="20"/>
          <w:szCs w:val="20"/>
          <w:color w:val="auto"/>
        </w:rPr>
      </w:pPr>
      <w:r>
        <w:rPr>
          <w:rFonts w:ascii="Times New Roman" w:cs="Times New Roman" w:eastAsia="Times New Roman" w:hAnsi="Times New Roman"/>
          <w:sz w:val="17"/>
          <w:szCs w:val="17"/>
          <w:color w:val="auto"/>
        </w:rPr>
        <w:t>A:</w:t>
        <w:tab/>
        <w:t>The inspector of election will be a representative of Computershare.</w:t>
      </w:r>
    </w:p>
    <w:p>
      <w:pPr>
        <w:spacing w:after="0" w:line="15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Q:  Where can I find the voting results of the 2026 Annual Meeting?</w:t>
      </w:r>
    </w:p>
    <w:p>
      <w:pPr>
        <w:spacing w:after="0" w:line="160" w:lineRule="exact"/>
        <w:rPr>
          <w:sz w:val="20"/>
          <w:szCs w:val="20"/>
          <w:color w:val="auto"/>
        </w:rPr>
      </w:pPr>
    </w:p>
    <w:p>
      <w:pPr>
        <w:ind w:left="920" w:right="899" w:hanging="346"/>
        <w:spacing w:after="0" w:line="276" w:lineRule="auto"/>
        <w:tabs>
          <w:tab w:leader="none" w:pos="916"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will announce preliminary voting results at the 2026 Annual Meeting. We will disclose final voting results in a Current Report on a Form 8-K filed with the SEC within four business days after the 2026 Annual Meeting.</w:t>
      </w:r>
    </w:p>
    <w:p>
      <w:pPr>
        <w:spacing w:after="0" w:line="8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Q:  Who will bear the cost of soliciting votes for the 2026 Annual Meeting?</w:t>
      </w:r>
    </w:p>
    <w:p>
      <w:pPr>
        <w:spacing w:after="0" w:line="160" w:lineRule="exact"/>
        <w:rPr>
          <w:sz w:val="20"/>
          <w:szCs w:val="20"/>
          <w:color w:val="auto"/>
        </w:rPr>
      </w:pPr>
    </w:p>
    <w:p>
      <w:pPr>
        <w:ind w:left="920" w:right="599" w:hanging="346"/>
        <w:spacing w:after="0" w:line="264" w:lineRule="auto"/>
        <w:tabs>
          <w:tab w:leader="none" w:pos="916"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Fortinet will pay the entire cost of preparing, assembling, printing, mailing and distributing these proxy materials and soliciting votes. We may reimburse brokerage firms, custodians, nominees, fiduciaries and other persons representing beneficial owners for their reasonable expenses in forwarding solicitation material to such beneficial owners. Our directors, officers and employees may also solicit proxies in person or by other means of communication. Such directors, officers and employees will not be additionally compensated but may be reimbursed for reasonable out-of-pocket expenses in connection with such solicitation.</w:t>
      </w:r>
    </w:p>
    <w:p>
      <w:pPr>
        <w:spacing w:after="0" w:line="319" w:lineRule="exact"/>
        <w:rPr>
          <w:sz w:val="20"/>
          <w:szCs w:val="20"/>
          <w:color w:val="auto"/>
        </w:rPr>
      </w:pPr>
    </w:p>
    <w:p>
      <w:pPr>
        <w:ind w:left="920" w:right="1459" w:hanging="346"/>
        <w:spacing w:after="0" w:line="299" w:lineRule="auto"/>
        <w:tabs>
          <w:tab w:leader="none" w:pos="896" w:val="left"/>
        </w:tabs>
        <w:numPr>
          <w:ilvl w:val="0"/>
          <w:numId w:val="3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What is the deadline to propose actions for consideration at next year’s annual meeting of stockholders or to nominate individuals to serve as directors?</w:t>
      </w:r>
    </w:p>
    <w:p>
      <w:pPr>
        <w:spacing w:after="0" w:line="65" w:lineRule="exact"/>
        <w:rPr>
          <w:sz w:val="20"/>
          <w:szCs w:val="20"/>
          <w:color w:val="auto"/>
        </w:rPr>
      </w:pPr>
    </w:p>
    <w:p>
      <w:pPr>
        <w:ind w:left="920" w:right="1119" w:hanging="346"/>
        <w:spacing w:after="0" w:line="296" w:lineRule="auto"/>
        <w:tabs>
          <w:tab w:leader="none" w:pos="916"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You may submit proposals, including nominations of director candidates, for consideration at future stockholder meetings.</w:t>
      </w:r>
    </w:p>
    <w:p>
      <w:pPr>
        <w:spacing w:after="0" w:line="79" w:lineRule="exact"/>
        <w:rPr>
          <w:rFonts w:ascii="Times New Roman" w:cs="Times New Roman" w:eastAsia="Times New Roman" w:hAnsi="Times New Roman"/>
          <w:sz w:val="17"/>
          <w:szCs w:val="17"/>
          <w:color w:val="auto"/>
        </w:rPr>
      </w:pPr>
    </w:p>
    <w:p>
      <w:pPr>
        <w:ind w:left="920" w:right="819"/>
        <w:spacing w:after="0" w:line="27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For inclusion in Fortinet’s proxy materials </w:t>
      </w:r>
      <w:r>
        <w:rPr>
          <w:rFonts w:ascii="Times New Roman" w:cs="Times New Roman" w:eastAsia="Times New Roman" w:hAnsi="Times New Roman"/>
          <w:sz w:val="17"/>
          <w:szCs w:val="17"/>
          <w:color w:val="auto"/>
        </w:rPr>
        <w:t>— Stockholders may present proper proposals for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inclusion in Fortinet’s proxy statement and for consideration at the next annual meeting of stockholders by submitting their proposals in writing to Fortinet’s Corporate Secretary in a timely manner. In order to be</w:t>
      </w: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2" w:name="page13"/>
    <w:bookmarkEnd w:id="12"/>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920" w:right="799"/>
        <w:spacing w:after="0" w:line="276" w:lineRule="auto"/>
        <w:rPr>
          <w:sz w:val="20"/>
          <w:szCs w:val="20"/>
          <w:color w:val="auto"/>
        </w:rPr>
      </w:pPr>
      <w:r>
        <w:rPr>
          <w:rFonts w:ascii="Times New Roman" w:cs="Times New Roman" w:eastAsia="Times New Roman" w:hAnsi="Times New Roman"/>
          <w:sz w:val="17"/>
          <w:szCs w:val="17"/>
          <w:color w:val="auto"/>
        </w:rPr>
        <w:t>included in the proxy statement for the 2027 Annual Meeting, stockholder proposals must be received by Fortinet’s Corporate Secretary no later than December 29, 2026, and must otherwise comply with the requirements of Rule 14a-8 of the Securities Exchange Act of 1934, as amended (the “Exchange Act”).</w:t>
      </w:r>
    </w:p>
    <w:p>
      <w:pPr>
        <w:spacing w:after="0" w:line="96" w:lineRule="exact"/>
        <w:rPr>
          <w:sz w:val="20"/>
          <w:szCs w:val="20"/>
          <w:color w:val="auto"/>
        </w:rPr>
      </w:pPr>
    </w:p>
    <w:p>
      <w:pPr>
        <w:ind w:left="920" w:right="839"/>
        <w:spacing w:after="0" w:line="262" w:lineRule="auto"/>
        <w:rPr>
          <w:sz w:val="20"/>
          <w:szCs w:val="20"/>
          <w:color w:val="auto"/>
        </w:rPr>
      </w:pPr>
      <w:r>
        <w:rPr>
          <w:rFonts w:ascii="Times New Roman" w:cs="Times New Roman" w:eastAsia="Times New Roman" w:hAnsi="Times New Roman"/>
          <w:sz w:val="17"/>
          <w:szCs w:val="17"/>
          <w:b w:val="1"/>
          <w:bCs w:val="1"/>
          <w:color w:val="auto"/>
        </w:rPr>
        <w:t xml:space="preserve">To be brought before the annual meeting </w:t>
      </w:r>
      <w:r>
        <w:rPr>
          <w:rFonts w:ascii="Times New Roman" w:cs="Times New Roman" w:eastAsia="Times New Roman" w:hAnsi="Times New Roman"/>
          <w:sz w:val="17"/>
          <w:szCs w:val="17"/>
          <w:color w:val="auto"/>
        </w:rPr>
        <w:t>— In addition, Fortinet’s Amended and Restated Bylaws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(our “Bylaws”) establish an advance notice procedure for stockholders who wish to present certain matters before an annual meeting of stockholders. In general, nominations for the election of directors may be made (i) pursuant to our notice of meeting of stockholders, (ii) by or at the direction of the Board of Directors or a duly authorized committee thereof or (iii) by a stockholder who has delivered written notice to Fortinet’s Secretary within the Notice Period (as defined below) and complied with the other procedural requirements sets forth in our Bylaws and who was a stockholder of record at the time of such notice, as of the record date and at the time of the annual meeting. The notice must contain specified information about the nominees and about the stockholder proposing such nominations.</w:t>
      </w:r>
    </w:p>
    <w:p>
      <w:pPr>
        <w:spacing w:after="0" w:line="112" w:lineRule="exact"/>
        <w:rPr>
          <w:sz w:val="20"/>
          <w:szCs w:val="20"/>
          <w:color w:val="auto"/>
        </w:rPr>
      </w:pPr>
    </w:p>
    <w:p>
      <w:pPr>
        <w:ind w:left="920" w:right="819"/>
        <w:spacing w:after="0" w:line="264" w:lineRule="auto"/>
        <w:rPr>
          <w:sz w:val="20"/>
          <w:szCs w:val="20"/>
          <w:color w:val="auto"/>
        </w:rPr>
      </w:pPr>
      <w:r>
        <w:rPr>
          <w:rFonts w:ascii="Times New Roman" w:cs="Times New Roman" w:eastAsia="Times New Roman" w:hAnsi="Times New Roman"/>
          <w:sz w:val="17"/>
          <w:szCs w:val="17"/>
          <w:color w:val="auto"/>
        </w:rPr>
        <w:t>Our Bylaws also provide that the only business that may be conducted at an annual meeting is business that is (a) properly brought before the meeting pursuant to Fortinet’s proxy materials with respect to such meeting, (b) properly brought before the meeting by or at the direction of the Board of Directors or</w:t>
      </w:r>
    </w:p>
    <w:p>
      <w:pPr>
        <w:spacing w:after="0" w:line="2" w:lineRule="exact"/>
        <w:rPr>
          <w:sz w:val="20"/>
          <w:szCs w:val="20"/>
          <w:color w:val="auto"/>
        </w:rPr>
      </w:pPr>
    </w:p>
    <w:p>
      <w:pPr>
        <w:ind w:left="920" w:right="919" w:firstLine="4"/>
        <w:spacing w:after="0" w:line="263" w:lineRule="auto"/>
        <w:tabs>
          <w:tab w:leader="none" w:pos="1157"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properly brought before the meeting by a stockholder who has delivered written notice to Fortinet’s Corporate Secretary at its principal executive offices within the Notice Period and who was a stockholder at the time of such notice and as of the record date. The notice must contain specified information about the matters to be brought before such meeting and about the stockholder proposing such matters.</w:t>
      </w:r>
    </w:p>
    <w:p>
      <w:pPr>
        <w:spacing w:after="0" w:line="304" w:lineRule="exact"/>
        <w:rPr>
          <w:sz w:val="20"/>
          <w:szCs w:val="20"/>
          <w:color w:val="auto"/>
        </w:rPr>
      </w:pPr>
    </w:p>
    <w:p>
      <w:pPr>
        <w:ind w:left="920" w:right="819"/>
        <w:spacing w:after="0" w:line="276" w:lineRule="auto"/>
        <w:rPr>
          <w:sz w:val="20"/>
          <w:szCs w:val="20"/>
          <w:color w:val="auto"/>
        </w:rPr>
      </w:pPr>
      <w:r>
        <w:rPr>
          <w:rFonts w:ascii="Times New Roman" w:cs="Times New Roman" w:eastAsia="Times New Roman" w:hAnsi="Times New Roman"/>
          <w:sz w:val="17"/>
          <w:szCs w:val="17"/>
          <w:color w:val="auto"/>
        </w:rPr>
        <w:t>The “Notice Period” is defined as that period not less than 90 days nor more than 120 days prior to the one-year anniversary of the preceding year’s annual meeting. As a result, the Notice Period for the 2027 Annual Meeting will start on February 12, 2027 and end on March 14, 2027.</w:t>
      </w:r>
    </w:p>
    <w:p>
      <w:pPr>
        <w:spacing w:after="0" w:line="98" w:lineRule="exact"/>
        <w:rPr>
          <w:sz w:val="20"/>
          <w:szCs w:val="20"/>
          <w:color w:val="auto"/>
        </w:rPr>
      </w:pPr>
    </w:p>
    <w:p>
      <w:pPr>
        <w:ind w:left="920" w:right="1019"/>
        <w:spacing w:after="0" w:line="276" w:lineRule="auto"/>
        <w:rPr>
          <w:sz w:val="20"/>
          <w:szCs w:val="20"/>
          <w:color w:val="auto"/>
        </w:rPr>
      </w:pPr>
      <w:r>
        <w:rPr>
          <w:rFonts w:ascii="Times New Roman" w:cs="Times New Roman" w:eastAsia="Times New Roman" w:hAnsi="Times New Roman"/>
          <w:sz w:val="17"/>
          <w:szCs w:val="17"/>
          <w:color w:val="auto"/>
        </w:rPr>
        <w:t>If a stockholder who has notified Fortinet of such stockholder’s intention to present a proposal at an annual meeting does not appear to present such stockholder’s proposal at such meeting, Fortinet need not present the proposal for vote at such meeting.</w:t>
      </w:r>
    </w:p>
    <w:p>
      <w:pPr>
        <w:spacing w:after="0" w:line="98" w:lineRule="exact"/>
        <w:rPr>
          <w:sz w:val="20"/>
          <w:szCs w:val="20"/>
          <w:color w:val="auto"/>
        </w:rPr>
      </w:pPr>
    </w:p>
    <w:p>
      <w:pPr>
        <w:ind w:left="920" w:right="839"/>
        <w:spacing w:after="0" w:line="270" w:lineRule="auto"/>
        <w:rPr>
          <w:sz w:val="20"/>
          <w:szCs w:val="20"/>
          <w:color w:val="auto"/>
        </w:rPr>
      </w:pPr>
      <w:r>
        <w:rPr>
          <w:rFonts w:ascii="Times New Roman" w:cs="Times New Roman" w:eastAsia="Times New Roman" w:hAnsi="Times New Roman"/>
          <w:sz w:val="17"/>
          <w:szCs w:val="17"/>
          <w:color w:val="auto"/>
        </w:rPr>
        <w:t xml:space="preserve">A copy of the full text of the bylaw provisions discussed above may be obtained by writing to Fortinet’s Corporate Secretary at our principal executive offices or by accessing Fortinet’s filings on the SEC’s website at </w:t>
      </w:r>
      <w:r>
        <w:rPr>
          <w:rFonts w:ascii="Times New Roman" w:cs="Times New Roman" w:eastAsia="Times New Roman" w:hAnsi="Times New Roman"/>
          <w:sz w:val="17"/>
          <w:szCs w:val="17"/>
          <w:i w:val="1"/>
          <w:iCs w:val="1"/>
          <w:color w:val="auto"/>
        </w:rPr>
        <w:t>www.sec.gov</w:t>
      </w:r>
      <w:r>
        <w:rPr>
          <w:rFonts w:ascii="Times New Roman" w:cs="Times New Roman" w:eastAsia="Times New Roman" w:hAnsi="Times New Roman"/>
          <w:sz w:val="17"/>
          <w:szCs w:val="17"/>
          <w:color w:val="auto"/>
        </w:rPr>
        <w:t>. All notices of proposals by stockholders, whether or not included in Fortinet’s proxy materials, should be sent to Fortinet’s Corporate Secretary at our principal executive offices.</w:t>
      </w:r>
    </w:p>
    <w:p>
      <w:pPr>
        <w:spacing w:after="0" w:line="8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Q:  How may I obtain a separate set of proxy materials or the 2025 Annual Report?</w:t>
      </w:r>
    </w:p>
    <w:p>
      <w:pPr>
        <w:spacing w:after="0" w:line="160" w:lineRule="exact"/>
        <w:rPr>
          <w:sz w:val="20"/>
          <w:szCs w:val="20"/>
          <w:color w:val="auto"/>
        </w:rPr>
      </w:pPr>
    </w:p>
    <w:p>
      <w:pPr>
        <w:ind w:left="920" w:right="659" w:hanging="346"/>
        <w:spacing w:after="0" w:line="262" w:lineRule="auto"/>
        <w:tabs>
          <w:tab w:leader="none" w:pos="916"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you share an address with another stockholder, each stockholder may not receive a separate copy of our proxy materials and 2025 Annual Report. Stockholders who do not receive a separate copy of our proxy materials and 2025 Annual Report and want to receive a separate copy may request to receive a separate copy of, or stockholders may request additional copies of, our proxy materials and 2025 Annual Report by calling (408) 235-7700 or by writing to Fortinet, Inc., 909 Kifer Road, Sunnyvale, California 94086, Attention: Investor Relations. Our 2025 Annual Report may also be obtained by accessing Fortinet’s filings on the SEC’s website at </w:t>
      </w:r>
      <w:r>
        <w:rPr>
          <w:rFonts w:ascii="Times New Roman" w:cs="Times New Roman" w:eastAsia="Times New Roman" w:hAnsi="Times New Roman"/>
          <w:sz w:val="17"/>
          <w:szCs w:val="17"/>
          <w:i w:val="1"/>
          <w:iCs w:val="1"/>
          <w:color w:val="auto"/>
        </w:rPr>
        <w:t>www.sec.gov</w:t>
      </w:r>
      <w:r>
        <w:rPr>
          <w:rFonts w:ascii="Times New Roman" w:cs="Times New Roman" w:eastAsia="Times New Roman" w:hAnsi="Times New Roman"/>
          <w:sz w:val="17"/>
          <w:szCs w:val="17"/>
          <w:color w:val="auto"/>
        </w:rPr>
        <w:t>. Stockholders who share an address and receive multiple copies of our proxy materials and 2025 Annual Report can also request to receive a single copy by following the instructions above.</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3" w:name="page14"/>
    <w:bookmarkEnd w:id="13"/>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PROPOSAL ONE</w:t>
      </w: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ELECTION OF DIRECTORS</w:t>
      </w:r>
    </w:p>
    <w:p>
      <w:pPr>
        <w:spacing w:after="0" w:line="22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General</w:t>
      </w:r>
    </w:p>
    <w:p>
      <w:pPr>
        <w:spacing w:after="0" w:line="147" w:lineRule="exact"/>
        <w:rPr>
          <w:sz w:val="20"/>
          <w:szCs w:val="20"/>
          <w:color w:val="auto"/>
        </w:rPr>
      </w:pPr>
    </w:p>
    <w:p>
      <w:pPr>
        <w:ind w:left="580" w:right="659" w:firstLine="349"/>
        <w:spacing w:after="0" w:line="265" w:lineRule="auto"/>
        <w:rPr>
          <w:sz w:val="20"/>
          <w:szCs w:val="20"/>
          <w:color w:val="auto"/>
        </w:rPr>
      </w:pPr>
      <w:r>
        <w:rPr>
          <w:rFonts w:ascii="Times New Roman" w:cs="Times New Roman" w:eastAsia="Times New Roman" w:hAnsi="Times New Roman"/>
          <w:sz w:val="17"/>
          <w:szCs w:val="17"/>
          <w:color w:val="auto"/>
        </w:rPr>
        <w:t>The Board of Directors currently consists of eight members, and if Mr. Kan is elected, will consist of nine members. Our Restated Certificate of Incorporation (our “Restated Certificate”) provides that the entire Board of Directors will stand for election annually for one-year terms. Each director holds office until that director’s successor is duly elected and qualified. Our Bylaws permit the Board of Directors to establish by resolution the authorized number of directors, and eight directors are currently authorized and if Mr. Kan is elected, the Board of Directors has approved increasing the authorized number of directors to nine.</w:t>
      </w:r>
    </w:p>
    <w:p>
      <w:pPr>
        <w:spacing w:after="0" w:line="17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Nominees</w:t>
      </w:r>
    </w:p>
    <w:p>
      <w:pPr>
        <w:spacing w:after="0" w:line="160" w:lineRule="exact"/>
        <w:rPr>
          <w:sz w:val="20"/>
          <w:szCs w:val="20"/>
          <w:color w:val="auto"/>
        </w:rPr>
      </w:pPr>
    </w:p>
    <w:p>
      <w:pPr>
        <w:ind w:left="580" w:right="759" w:firstLine="349"/>
        <w:spacing w:after="0" w:line="268" w:lineRule="auto"/>
        <w:rPr>
          <w:sz w:val="20"/>
          <w:szCs w:val="20"/>
          <w:color w:val="auto"/>
        </w:rPr>
      </w:pPr>
      <w:r>
        <w:rPr>
          <w:rFonts w:ascii="Times New Roman" w:cs="Times New Roman" w:eastAsia="Times New Roman" w:hAnsi="Times New Roman"/>
          <w:sz w:val="17"/>
          <w:szCs w:val="17"/>
          <w:color w:val="auto"/>
        </w:rPr>
        <w:t>Nine candidates will stand for election as directors at the 2026 Annual Meeting, each for a one-year term expiring at the 2027 Annual Meeting. The nine director candidates are: Ken Xie, Michael Xie, Kenneth</w:t>
      </w:r>
    </w:p>
    <w:p>
      <w:pPr>
        <w:spacing w:after="0" w:line="1" w:lineRule="exact"/>
        <w:rPr>
          <w:sz w:val="20"/>
          <w:szCs w:val="20"/>
          <w:color w:val="auto"/>
        </w:rPr>
      </w:pPr>
    </w:p>
    <w:p>
      <w:pPr>
        <w:ind w:left="580" w:right="599"/>
        <w:spacing w:after="0" w:line="261" w:lineRule="auto"/>
        <w:rPr>
          <w:sz w:val="20"/>
          <w:szCs w:val="20"/>
          <w:color w:val="auto"/>
        </w:rPr>
      </w:pPr>
      <w:r>
        <w:rPr>
          <w:rFonts w:ascii="Times New Roman" w:cs="Times New Roman" w:eastAsia="Times New Roman" w:hAnsi="Times New Roman"/>
          <w:sz w:val="17"/>
          <w:szCs w:val="17"/>
          <w:color w:val="auto"/>
        </w:rPr>
        <w:t>A. Goldman, Ming Hsieh, Jean Hu, Janet Napolitano, Judith Sim, Admiral James Stavridis (Ret), and Derek Kan. Biographical information about each of the nominees is contained in the following section. A discussion of the qualifications, attributes and skills of each nominee that led the Board of Directors and the Governance and Social Responsibility Committee to the conclusion that such nominee should serve as a director has been added following each of the director and nominee biographies.</w:t>
      </w:r>
    </w:p>
    <w:p>
      <w:pPr>
        <w:spacing w:after="0" w:line="111" w:lineRule="exact"/>
        <w:rPr>
          <w:sz w:val="20"/>
          <w:szCs w:val="20"/>
          <w:color w:val="auto"/>
        </w:rPr>
      </w:pPr>
    </w:p>
    <w:p>
      <w:pPr>
        <w:jc w:val="both"/>
        <w:ind w:left="580" w:right="719" w:firstLine="349"/>
        <w:spacing w:after="0" w:line="270" w:lineRule="auto"/>
        <w:rPr>
          <w:sz w:val="20"/>
          <w:szCs w:val="20"/>
          <w:color w:val="auto"/>
        </w:rPr>
      </w:pPr>
      <w:r>
        <w:rPr>
          <w:rFonts w:ascii="Times New Roman" w:cs="Times New Roman" w:eastAsia="Times New Roman" w:hAnsi="Times New Roman"/>
          <w:sz w:val="17"/>
          <w:szCs w:val="17"/>
          <w:color w:val="auto"/>
        </w:rPr>
        <w:t>Each nominee has agreed to serve if elected, and management has no reason to believe that any nominee will be unavailable to serve. In the event any nominee is unable or declines to serve as a director at the time of the 2026 Annual Meeting, the proxies will be voted for any nominee who may be proposed by the Governance and Social Responsibility Committee and designated by the present Board of Directors to fill the vacancy.</w:t>
      </w:r>
    </w:p>
    <w:p>
      <w:pPr>
        <w:spacing w:after="0" w:line="90" w:lineRule="exact"/>
        <w:rPr>
          <w:sz w:val="20"/>
          <w:szCs w:val="20"/>
          <w:color w:val="auto"/>
        </w:rPr>
      </w:pPr>
    </w:p>
    <w:p>
      <w:pPr>
        <w:ind w:left="580" w:right="759" w:firstLine="349"/>
        <w:spacing w:after="0" w:line="265" w:lineRule="auto"/>
        <w:rPr>
          <w:sz w:val="20"/>
          <w:szCs w:val="20"/>
          <w:color w:val="auto"/>
        </w:rPr>
      </w:pPr>
      <w:r>
        <w:rPr>
          <w:rFonts w:ascii="Times New Roman" w:cs="Times New Roman" w:eastAsia="Times New Roman" w:hAnsi="Times New Roman"/>
          <w:sz w:val="17"/>
          <w:szCs w:val="17"/>
          <w:color w:val="auto"/>
        </w:rPr>
        <w:t>If you sign your proxy card or voting instruction card or vote by telephone or over the internet but do not give instructions with respect to the voting of directors, your shares will be voted for the nine nominees recommended by the Board of Directors. If you wish to give specific instructions with respect to the voting of directors, you may do so by indicating your instructions on your proxy or voting instruction card or when you vote by telephone or over the internet. If you do not give voting instructions to your broker, your broker will leave your shares unvoted on this matter.</w:t>
      </w:r>
    </w:p>
    <w:p>
      <w:pPr>
        <w:spacing w:after="0" w:line="170" w:lineRule="exact"/>
        <w:rPr>
          <w:sz w:val="20"/>
          <w:szCs w:val="20"/>
          <w:color w:val="auto"/>
        </w:rPr>
      </w:pPr>
    </w:p>
    <w:p>
      <w:pPr>
        <w:ind w:left="1020" w:right="1039" w:firstLine="100"/>
        <w:spacing w:after="0" w:line="278" w:lineRule="auto"/>
        <w:rPr>
          <w:sz w:val="20"/>
          <w:szCs w:val="20"/>
          <w:color w:val="auto"/>
        </w:rPr>
      </w:pPr>
      <w:r>
        <w:rPr>
          <w:rFonts w:ascii="Times New Roman" w:cs="Times New Roman" w:eastAsia="Times New Roman" w:hAnsi="Times New Roman"/>
          <w:sz w:val="17"/>
          <w:szCs w:val="17"/>
          <w:b w:val="1"/>
          <w:bCs w:val="1"/>
          <w:color w:val="auto"/>
        </w:rPr>
        <w:t>THE BOARD OF DIRECTORS RECOMMENDS A VOTE “FOR” THE ELECTION OF KEN XIE, MICHAEL XIE, KENNETH A. GOLDMAN, JEAN HU, MING HSIEH, JANET NAPOLITANO, JUDITH SIM, ADMIRAL JAMES STAVRIDIS (RET), AND DEREK KAN.</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4" w:name="page15"/>
    <w:bookmarkEnd w:id="14"/>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Information Regarding the Board of Directors and Director Nominees</w:t>
      </w:r>
    </w:p>
    <w:p>
      <w:pPr>
        <w:spacing w:after="0" w:line="147" w:lineRule="exact"/>
        <w:rPr>
          <w:sz w:val="20"/>
          <w:szCs w:val="20"/>
          <w:color w:val="auto"/>
        </w:rPr>
      </w:pPr>
    </w:p>
    <w:p>
      <w:pPr>
        <w:ind w:left="580" w:right="719" w:firstLine="349"/>
        <w:spacing w:after="0" w:line="270" w:lineRule="auto"/>
        <w:rPr>
          <w:sz w:val="20"/>
          <w:szCs w:val="20"/>
          <w:color w:val="auto"/>
        </w:rPr>
      </w:pPr>
      <w:r>
        <w:rPr>
          <w:rFonts w:ascii="Times New Roman" w:cs="Times New Roman" w:eastAsia="Times New Roman" w:hAnsi="Times New Roman"/>
          <w:sz w:val="17"/>
          <w:szCs w:val="17"/>
          <w:color w:val="auto"/>
        </w:rPr>
        <w:t>The names of the current members of the Board of Directors and our director nominees, their respective ages, their positions with Fortinet (as applicable) and other biographical information as of March 31, 2026, are set forth below. Mr. Kan is not currently a member of the Board of Directors, but has been nominated to serve as a director subject to the election of our stockholders.</w:t>
      </w:r>
    </w:p>
    <w:p>
      <w:pPr>
        <w:spacing w:after="0" w:line="103" w:lineRule="exact"/>
        <w:rPr>
          <w:sz w:val="20"/>
          <w:szCs w:val="20"/>
          <w:color w:val="auto"/>
        </w:rPr>
      </w:pPr>
    </w:p>
    <w:p>
      <w:pPr>
        <w:ind w:left="580" w:right="759" w:firstLine="349"/>
        <w:spacing w:after="0" w:line="296" w:lineRule="auto"/>
        <w:rPr>
          <w:sz w:val="20"/>
          <w:szCs w:val="20"/>
          <w:color w:val="auto"/>
        </w:rPr>
      </w:pPr>
      <w:r>
        <w:rPr>
          <w:rFonts w:ascii="Times New Roman" w:cs="Times New Roman" w:eastAsia="Times New Roman" w:hAnsi="Times New Roman"/>
          <w:sz w:val="17"/>
          <w:szCs w:val="17"/>
          <w:color w:val="auto"/>
        </w:rPr>
        <w:t>Messrs. Ken Xie and Michael Xie are brothers. There are no other family relationships among any of our directors or executive officers.</w:t>
      </w:r>
    </w:p>
    <w:p>
      <w:pPr>
        <w:spacing w:after="0" w:line="193" w:lineRule="exact"/>
        <w:rPr>
          <w:sz w:val="20"/>
          <w:szCs w:val="20"/>
          <w:color w:val="auto"/>
        </w:rPr>
      </w:pPr>
    </w:p>
    <w:tbl>
      <w:tblPr>
        <w:tblLayout w:type="fixed"/>
        <w:tblInd w:w="580" w:type="dxa"/>
        <w:tblCellMar>
          <w:top w:w="0" w:type="dxa"/>
          <w:left w:w="0" w:type="dxa"/>
          <w:bottom w:w="0" w:type="dxa"/>
          <w:right w:w="0" w:type="dxa"/>
        </w:tblCellMar>
      </w:tblPr>
      <w:tr>
        <w:trPr>
          <w:trHeight w:val="184"/>
        </w:trPr>
        <w:tc>
          <w:tcPr>
            <w:tcW w:w="29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Age</w:t>
            </w:r>
          </w:p>
        </w:tc>
        <w:tc>
          <w:tcPr>
            <w:tcW w:w="100" w:type="dxa"/>
            <w:vAlign w:val="bottom"/>
          </w:tcPr>
          <w:p>
            <w:pPr>
              <w:spacing w:after="0"/>
              <w:rPr>
                <w:sz w:val="16"/>
                <w:szCs w:val="16"/>
                <w:color w:val="auto"/>
              </w:rPr>
            </w:pPr>
          </w:p>
        </w:tc>
        <w:tc>
          <w:tcPr>
            <w:tcW w:w="4540" w:type="dxa"/>
            <w:vAlign w:val="bottom"/>
          </w:tcPr>
          <w:p>
            <w:pPr>
              <w:ind w:left="2020"/>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100" w:type="dxa"/>
            <w:vAlign w:val="bottom"/>
            <w:tcBorders>
              <w:bottom w:val="single" w:sz="8" w:color="CDE9F6"/>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DE9F6"/>
            </w:tcBorders>
          </w:tcPr>
          <w:p>
            <w:pPr>
              <w:spacing w:after="0"/>
              <w:rPr>
                <w:sz w:val="2"/>
                <w:szCs w:val="2"/>
                <w:color w:val="auto"/>
              </w:rPr>
            </w:pPr>
          </w:p>
        </w:tc>
        <w:tc>
          <w:tcPr>
            <w:tcW w:w="4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2780" w:type="dxa"/>
            <w:vAlign w:val="bottom"/>
            <w:shd w:val="clear" w:color="auto" w:fill="CDE9F6"/>
          </w:tcPr>
          <w:p>
            <w:pPr>
              <w:spacing w:after="0" w:line="185" w:lineRule="exact"/>
              <w:rPr>
                <w:sz w:val="20"/>
                <w:szCs w:val="20"/>
                <w:color w:val="auto"/>
              </w:rPr>
            </w:pPr>
            <w:r>
              <w:rPr>
                <w:rFonts w:ascii="Times New Roman" w:cs="Times New Roman" w:eastAsia="Times New Roman" w:hAnsi="Times New Roman"/>
                <w:sz w:val="17"/>
                <w:szCs w:val="17"/>
                <w:color w:val="auto"/>
              </w:rPr>
              <w:t>Ken Xie</w:t>
            </w:r>
          </w:p>
        </w:tc>
        <w:tc>
          <w:tcPr>
            <w:tcW w:w="100" w:type="dxa"/>
            <w:vAlign w:val="bottom"/>
            <w:shd w:val="clear" w:color="auto" w:fill="CDE9F6"/>
          </w:tcPr>
          <w:p>
            <w:pPr>
              <w:spacing w:after="0"/>
              <w:rPr>
                <w:sz w:val="16"/>
                <w:szCs w:val="16"/>
                <w:color w:val="auto"/>
              </w:rPr>
            </w:pPr>
          </w:p>
        </w:tc>
        <w:tc>
          <w:tcPr>
            <w:tcW w:w="320" w:type="dxa"/>
            <w:vAlign w:val="bottom"/>
            <w:shd w:val="clear" w:color="auto" w:fill="CDE9F6"/>
          </w:tcPr>
          <w:p>
            <w:pPr>
              <w:jc w:val="center"/>
              <w:spacing w:after="0" w:line="185" w:lineRule="exact"/>
              <w:rPr>
                <w:sz w:val="20"/>
                <w:szCs w:val="20"/>
                <w:color w:val="auto"/>
              </w:rPr>
            </w:pPr>
            <w:r>
              <w:rPr>
                <w:rFonts w:ascii="Times New Roman" w:cs="Times New Roman" w:eastAsia="Times New Roman" w:hAnsi="Times New Roman"/>
                <w:sz w:val="17"/>
                <w:szCs w:val="17"/>
                <w:color w:val="auto"/>
              </w:rPr>
              <w:t>63</w:t>
            </w:r>
          </w:p>
        </w:tc>
        <w:tc>
          <w:tcPr>
            <w:tcW w:w="100" w:type="dxa"/>
            <w:vAlign w:val="bottom"/>
            <w:shd w:val="clear" w:color="auto" w:fill="CDE9F6"/>
          </w:tcPr>
          <w:p>
            <w:pPr>
              <w:spacing w:after="0"/>
              <w:rPr>
                <w:sz w:val="16"/>
                <w:szCs w:val="16"/>
                <w:color w:val="auto"/>
              </w:rPr>
            </w:pPr>
          </w:p>
        </w:tc>
        <w:tc>
          <w:tcPr>
            <w:tcW w:w="4540" w:type="dxa"/>
            <w:vAlign w:val="bottom"/>
            <w:shd w:val="clear" w:color="auto" w:fill="CDE9F6"/>
          </w:tcPr>
          <w:p>
            <w:pPr>
              <w:spacing w:after="0" w:line="185" w:lineRule="exact"/>
              <w:rPr>
                <w:sz w:val="20"/>
                <w:szCs w:val="20"/>
                <w:color w:val="auto"/>
              </w:rPr>
            </w:pPr>
            <w:r>
              <w:rPr>
                <w:rFonts w:ascii="Times New Roman" w:cs="Times New Roman" w:eastAsia="Times New Roman" w:hAnsi="Times New Roman"/>
                <w:sz w:val="17"/>
                <w:szCs w:val="17"/>
                <w:color w:val="auto"/>
              </w:rPr>
              <w:t>Chief Executive Officer, Chairman of the Board of Directors</w:t>
            </w: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2780" w:type="dxa"/>
            <w:vAlign w:val="bottom"/>
            <w:tcBorders>
              <w:bottom w:val="single" w:sz="8" w:color="CDE9F6"/>
            </w:tcBorders>
            <w:shd w:val="clear" w:color="auto" w:fill="CDE9F6"/>
          </w:tcPr>
          <w:p>
            <w:pPr>
              <w:spacing w:after="0"/>
              <w:rPr>
                <w:sz w:val="21"/>
                <w:szCs w:val="21"/>
                <w:color w:val="auto"/>
              </w:rPr>
            </w:pPr>
          </w:p>
        </w:tc>
        <w:tc>
          <w:tcPr>
            <w:tcW w:w="100" w:type="dxa"/>
            <w:vAlign w:val="bottom"/>
            <w:tcBorders>
              <w:bottom w:val="single" w:sz="8" w:color="CDE9F6"/>
            </w:tcBorders>
            <w:shd w:val="clear" w:color="auto" w:fill="CDE9F6"/>
          </w:tcPr>
          <w:p>
            <w:pPr>
              <w:spacing w:after="0"/>
              <w:rPr>
                <w:sz w:val="21"/>
                <w:szCs w:val="21"/>
                <w:color w:val="auto"/>
              </w:rPr>
            </w:pPr>
          </w:p>
        </w:tc>
        <w:tc>
          <w:tcPr>
            <w:tcW w:w="320" w:type="dxa"/>
            <w:vAlign w:val="bottom"/>
            <w:tcBorders>
              <w:bottom w:val="single" w:sz="8" w:color="CDE9F6"/>
            </w:tcBorders>
            <w:shd w:val="clear" w:color="auto" w:fill="CDE9F6"/>
          </w:tcPr>
          <w:p>
            <w:pPr>
              <w:spacing w:after="0"/>
              <w:rPr>
                <w:sz w:val="21"/>
                <w:szCs w:val="21"/>
                <w:color w:val="auto"/>
              </w:rPr>
            </w:pPr>
          </w:p>
        </w:tc>
        <w:tc>
          <w:tcPr>
            <w:tcW w:w="4640" w:type="dxa"/>
            <w:vAlign w:val="bottom"/>
            <w:tcBorders>
              <w:bottom w:val="single" w:sz="8" w:color="CDE9F6"/>
            </w:tcBorders>
            <w:gridSpan w:val="2"/>
            <w:shd w:val="clear" w:color="auto" w:fill="CDE9F6"/>
          </w:tcPr>
          <w:p>
            <w:pPr>
              <w:ind w:left="100"/>
              <w:spacing w:after="0"/>
              <w:rPr>
                <w:sz w:val="20"/>
                <w:szCs w:val="20"/>
                <w:color w:val="auto"/>
              </w:rPr>
            </w:pPr>
            <w:r>
              <w:rPr>
                <w:rFonts w:ascii="Times New Roman" w:cs="Times New Roman" w:eastAsia="Times New Roman" w:hAnsi="Times New Roman"/>
                <w:sz w:val="17"/>
                <w:szCs w:val="17"/>
                <w:color w:val="auto"/>
              </w:rPr>
              <w:t>and Director Nominee</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880" w:type="dxa"/>
            <w:vAlign w:val="bottom"/>
            <w:gridSpan w:val="2"/>
          </w:tcPr>
          <w:p>
            <w:pPr>
              <w:spacing w:after="0" w:line="191" w:lineRule="exact"/>
              <w:rPr>
                <w:sz w:val="20"/>
                <w:szCs w:val="20"/>
                <w:color w:val="auto"/>
              </w:rPr>
            </w:pPr>
            <w:r>
              <w:rPr>
                <w:rFonts w:ascii="Times New Roman" w:cs="Times New Roman" w:eastAsia="Times New Roman" w:hAnsi="Times New Roman"/>
                <w:sz w:val="17"/>
                <w:szCs w:val="17"/>
                <w:color w:val="auto"/>
              </w:rPr>
              <w:t>Michael Xie</w:t>
            </w:r>
            <w:r>
              <w:rPr>
                <w:rFonts w:ascii="Times New Roman" w:cs="Times New Roman" w:eastAsia="Times New Roman" w:hAnsi="Times New Roman"/>
                <w:sz w:val="20"/>
                <w:szCs w:val="20"/>
                <w:color w:val="auto"/>
                <w:vertAlign w:val="superscript"/>
              </w:rPr>
              <w:t>(4)</w:t>
            </w:r>
          </w:p>
        </w:tc>
        <w:tc>
          <w:tcPr>
            <w:tcW w:w="320" w:type="dxa"/>
            <w:vAlign w:val="bottom"/>
          </w:tcPr>
          <w:p>
            <w:pPr>
              <w:jc w:val="center"/>
              <w:spacing w:after="0" w:line="191" w:lineRule="exact"/>
              <w:rPr>
                <w:sz w:val="20"/>
                <w:szCs w:val="20"/>
                <w:color w:val="auto"/>
              </w:rPr>
            </w:pPr>
            <w:r>
              <w:rPr>
                <w:rFonts w:ascii="Times New Roman" w:cs="Times New Roman" w:eastAsia="Times New Roman" w:hAnsi="Times New Roman"/>
                <w:sz w:val="17"/>
                <w:szCs w:val="17"/>
                <w:color w:val="auto"/>
              </w:rPr>
              <w:t>57</w:t>
            </w:r>
          </w:p>
        </w:tc>
        <w:tc>
          <w:tcPr>
            <w:tcW w:w="4640" w:type="dxa"/>
            <w:vAlign w:val="bottom"/>
            <w:gridSpan w:val="2"/>
          </w:tcPr>
          <w:p>
            <w:pPr>
              <w:ind w:left="100"/>
              <w:spacing w:after="0" w:line="191" w:lineRule="exact"/>
              <w:rPr>
                <w:sz w:val="20"/>
                <w:szCs w:val="20"/>
                <w:color w:val="auto"/>
              </w:rPr>
            </w:pPr>
            <w:r>
              <w:rPr>
                <w:rFonts w:ascii="Times New Roman" w:cs="Times New Roman" w:eastAsia="Times New Roman" w:hAnsi="Times New Roman"/>
                <w:sz w:val="17"/>
                <w:szCs w:val="17"/>
                <w:color w:val="auto"/>
              </w:rPr>
              <w:t>President, Chief Technology Officer, Director and Director</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64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Nominee</w:t>
            </w:r>
          </w:p>
        </w:tc>
        <w:tc>
          <w:tcPr>
            <w:tcW w:w="0" w:type="dxa"/>
            <w:vAlign w:val="bottom"/>
          </w:tcPr>
          <w:p>
            <w:pPr>
              <w:spacing w:after="0"/>
              <w:rPr>
                <w:sz w:val="1"/>
                <w:szCs w:val="1"/>
                <w:color w:val="auto"/>
              </w:rPr>
            </w:pPr>
          </w:p>
        </w:tc>
      </w:tr>
      <w:tr>
        <w:trPr>
          <w:trHeight w:val="40"/>
        </w:trPr>
        <w:tc>
          <w:tcPr>
            <w:tcW w:w="20" w:type="dxa"/>
            <w:vAlign w:val="bottom"/>
            <w:vMerge w:val="restart"/>
          </w:tcPr>
          <w:p>
            <w:pPr>
              <w:spacing w:after="0"/>
              <w:rPr>
                <w:sz w:val="3"/>
                <w:szCs w:val="3"/>
                <w:color w:val="auto"/>
              </w:rPr>
            </w:pPr>
          </w:p>
        </w:tc>
        <w:tc>
          <w:tcPr>
            <w:tcW w:w="2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5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5"/>
        </w:trPr>
        <w:tc>
          <w:tcPr>
            <w:tcW w:w="20" w:type="dxa"/>
            <w:vAlign w:val="bottom"/>
            <w:vMerge w:val="continue"/>
          </w:tcPr>
          <w:p>
            <w:pPr>
              <w:spacing w:after="0"/>
              <w:rPr>
                <w:sz w:val="23"/>
                <w:szCs w:val="23"/>
                <w:color w:val="auto"/>
              </w:rPr>
            </w:pPr>
          </w:p>
        </w:tc>
        <w:tc>
          <w:tcPr>
            <w:tcW w:w="2880" w:type="dxa"/>
            <w:vAlign w:val="bottom"/>
            <w:gridSpan w:val="2"/>
            <w:shd w:val="clear" w:color="auto" w:fill="CDE9F6"/>
          </w:tcPr>
          <w:p>
            <w:pPr>
              <w:spacing w:after="0"/>
              <w:rPr>
                <w:sz w:val="20"/>
                <w:szCs w:val="20"/>
                <w:color w:val="auto"/>
              </w:rPr>
            </w:pPr>
            <w:r>
              <w:rPr>
                <w:rFonts w:ascii="Times New Roman" w:cs="Times New Roman" w:eastAsia="Times New Roman" w:hAnsi="Times New Roman"/>
                <w:sz w:val="17"/>
                <w:szCs w:val="17"/>
                <w:color w:val="auto"/>
              </w:rPr>
              <w:t>Kenneth A. Goldman</w:t>
            </w:r>
            <w:r>
              <w:rPr>
                <w:rFonts w:ascii="Times New Roman" w:cs="Times New Roman" w:eastAsia="Times New Roman" w:hAnsi="Times New Roman"/>
                <w:sz w:val="20"/>
                <w:szCs w:val="20"/>
                <w:color w:val="auto"/>
                <w:vertAlign w:val="superscript"/>
              </w:rPr>
              <w:t>(1)(2)</w:t>
            </w:r>
            <w:r>
              <w:rPr>
                <w:rFonts w:ascii="Times New Roman" w:cs="Times New Roman" w:eastAsia="Times New Roman" w:hAnsi="Times New Roman"/>
                <w:sz w:val="17"/>
                <w:szCs w:val="17"/>
                <w:color w:val="auto"/>
              </w:rPr>
              <w:t>**</w:t>
            </w:r>
          </w:p>
        </w:tc>
        <w:tc>
          <w:tcPr>
            <w:tcW w:w="320" w:type="dxa"/>
            <w:vAlign w:val="bottom"/>
            <w:shd w:val="clear" w:color="auto" w:fill="CDE9F6"/>
          </w:tcPr>
          <w:p>
            <w:pPr>
              <w:jc w:val="center"/>
              <w:spacing w:after="0"/>
              <w:rPr>
                <w:sz w:val="20"/>
                <w:szCs w:val="20"/>
                <w:color w:val="auto"/>
              </w:rPr>
            </w:pPr>
            <w:r>
              <w:rPr>
                <w:rFonts w:ascii="Times New Roman" w:cs="Times New Roman" w:eastAsia="Times New Roman" w:hAnsi="Times New Roman"/>
                <w:sz w:val="17"/>
                <w:szCs w:val="17"/>
                <w:color w:val="auto"/>
              </w:rPr>
              <w:t>76</w:t>
            </w:r>
          </w:p>
        </w:tc>
        <w:tc>
          <w:tcPr>
            <w:tcW w:w="4640" w:type="dxa"/>
            <w:vAlign w:val="bottom"/>
            <w:gridSpan w:val="2"/>
            <w:shd w:val="clear" w:color="auto" w:fill="CDE9F6"/>
          </w:tcPr>
          <w:p>
            <w:pPr>
              <w:ind w:left="100"/>
              <w:spacing w:after="0"/>
              <w:rPr>
                <w:sz w:val="20"/>
                <w:szCs w:val="20"/>
                <w:color w:val="auto"/>
              </w:rPr>
            </w:pPr>
            <w:r>
              <w:rPr>
                <w:rFonts w:ascii="Times New Roman" w:cs="Times New Roman" w:eastAsia="Times New Roman" w:hAnsi="Times New Roman"/>
                <w:sz w:val="17"/>
                <w:szCs w:val="17"/>
                <w:color w:val="auto"/>
              </w:rPr>
              <w:t>Director and Director Nominee</w:t>
            </w: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28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Ming Hsieh</w:t>
            </w:r>
            <w:r>
              <w:rPr>
                <w:rFonts w:ascii="Times New Roman" w:cs="Times New Roman" w:eastAsia="Times New Roman" w:hAnsi="Times New Roman"/>
                <w:sz w:val="20"/>
                <w:szCs w:val="20"/>
                <w:color w:val="auto"/>
                <w:vertAlign w:val="superscript"/>
              </w:rPr>
              <w:t>(2)(3)</w:t>
            </w:r>
            <w:r>
              <w:rPr>
                <w:rFonts w:ascii="Times New Roman" w:cs="Times New Roman" w:eastAsia="Times New Roman" w:hAnsi="Times New Roman"/>
                <w:sz w:val="17"/>
                <w:szCs w:val="17"/>
                <w:color w:val="auto"/>
              </w:rPr>
              <w:t>***</w:t>
            </w:r>
          </w:p>
        </w:tc>
        <w:tc>
          <w:tcPr>
            <w:tcW w:w="3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70</w:t>
            </w:r>
          </w:p>
        </w:tc>
        <w:tc>
          <w:tcPr>
            <w:tcW w:w="464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Director and Director Nominee</w:t>
            </w: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2880" w:type="dxa"/>
            <w:vAlign w:val="bottom"/>
            <w:gridSpan w:val="2"/>
            <w:shd w:val="clear" w:color="auto" w:fill="CDE9F6"/>
          </w:tcPr>
          <w:p>
            <w:pPr>
              <w:spacing w:after="0"/>
              <w:rPr>
                <w:sz w:val="20"/>
                <w:szCs w:val="20"/>
                <w:color w:val="auto"/>
              </w:rPr>
            </w:pPr>
            <w:r>
              <w:rPr>
                <w:rFonts w:ascii="Times New Roman" w:cs="Times New Roman" w:eastAsia="Times New Roman" w:hAnsi="Times New Roman"/>
                <w:sz w:val="17"/>
                <w:szCs w:val="17"/>
                <w:color w:val="auto"/>
              </w:rPr>
              <w:t>Jean Hu</w:t>
            </w:r>
            <w:r>
              <w:rPr>
                <w:rFonts w:ascii="Times New Roman" w:cs="Times New Roman" w:eastAsia="Times New Roman" w:hAnsi="Times New Roman"/>
                <w:sz w:val="20"/>
                <w:szCs w:val="20"/>
                <w:color w:val="auto"/>
                <w:vertAlign w:val="superscript"/>
              </w:rPr>
              <w:t>(2)(4)</w:t>
            </w:r>
          </w:p>
        </w:tc>
        <w:tc>
          <w:tcPr>
            <w:tcW w:w="320" w:type="dxa"/>
            <w:vAlign w:val="bottom"/>
            <w:shd w:val="clear" w:color="auto" w:fill="CDE9F6"/>
          </w:tcPr>
          <w:p>
            <w:pPr>
              <w:jc w:val="center"/>
              <w:spacing w:after="0"/>
              <w:rPr>
                <w:sz w:val="20"/>
                <w:szCs w:val="20"/>
                <w:color w:val="auto"/>
              </w:rPr>
            </w:pPr>
            <w:r>
              <w:rPr>
                <w:rFonts w:ascii="Times New Roman" w:cs="Times New Roman" w:eastAsia="Times New Roman" w:hAnsi="Times New Roman"/>
                <w:sz w:val="17"/>
                <w:szCs w:val="17"/>
                <w:color w:val="auto"/>
              </w:rPr>
              <w:t>62</w:t>
            </w:r>
          </w:p>
        </w:tc>
        <w:tc>
          <w:tcPr>
            <w:tcW w:w="4640" w:type="dxa"/>
            <w:vAlign w:val="bottom"/>
            <w:gridSpan w:val="2"/>
            <w:shd w:val="clear" w:color="auto" w:fill="CDE9F6"/>
          </w:tcPr>
          <w:p>
            <w:pPr>
              <w:ind w:left="100"/>
              <w:spacing w:after="0"/>
              <w:rPr>
                <w:sz w:val="20"/>
                <w:szCs w:val="20"/>
                <w:color w:val="auto"/>
              </w:rPr>
            </w:pPr>
            <w:r>
              <w:rPr>
                <w:rFonts w:ascii="Times New Roman" w:cs="Times New Roman" w:eastAsia="Times New Roman" w:hAnsi="Times New Roman"/>
                <w:sz w:val="17"/>
                <w:szCs w:val="17"/>
                <w:color w:val="auto"/>
              </w:rPr>
              <w:t>Director and Director Nominee</w:t>
            </w: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28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Janet Napolitano</w:t>
            </w:r>
            <w:r>
              <w:rPr>
                <w:rFonts w:ascii="Times New Roman" w:cs="Times New Roman" w:eastAsia="Times New Roman" w:hAnsi="Times New Roman"/>
                <w:sz w:val="20"/>
                <w:szCs w:val="20"/>
                <w:color w:val="auto"/>
                <w:vertAlign w:val="superscript"/>
              </w:rPr>
              <w:t>(1)(4)</w:t>
            </w:r>
          </w:p>
        </w:tc>
        <w:tc>
          <w:tcPr>
            <w:tcW w:w="3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68</w:t>
            </w:r>
          </w:p>
        </w:tc>
        <w:tc>
          <w:tcPr>
            <w:tcW w:w="464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Director and Director Nominee</w:t>
            </w: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2880" w:type="dxa"/>
            <w:vAlign w:val="bottom"/>
            <w:gridSpan w:val="2"/>
            <w:shd w:val="clear" w:color="auto" w:fill="CDE9F6"/>
          </w:tcPr>
          <w:p>
            <w:pPr>
              <w:spacing w:after="0"/>
              <w:rPr>
                <w:sz w:val="20"/>
                <w:szCs w:val="20"/>
                <w:color w:val="auto"/>
              </w:rPr>
            </w:pPr>
            <w:r>
              <w:rPr>
                <w:rFonts w:ascii="Times New Roman" w:cs="Times New Roman" w:eastAsia="Times New Roman" w:hAnsi="Times New Roman"/>
                <w:sz w:val="17"/>
                <w:szCs w:val="17"/>
                <w:color w:val="auto"/>
              </w:rPr>
              <w:t>Judith Sim</w:t>
            </w:r>
            <w:r>
              <w:rPr>
                <w:rFonts w:ascii="Times New Roman" w:cs="Times New Roman" w:eastAsia="Times New Roman" w:hAnsi="Times New Roman"/>
                <w:sz w:val="20"/>
                <w:szCs w:val="20"/>
                <w:color w:val="auto"/>
                <w:vertAlign w:val="superscript"/>
              </w:rPr>
              <w:t>(1)(3)</w:t>
            </w:r>
            <w:r>
              <w:rPr>
                <w:rFonts w:ascii="Times New Roman" w:cs="Times New Roman" w:eastAsia="Times New Roman" w:hAnsi="Times New Roman"/>
                <w:sz w:val="17"/>
                <w:szCs w:val="17"/>
                <w:color w:val="auto"/>
              </w:rPr>
              <w:t>*</w:t>
            </w:r>
          </w:p>
        </w:tc>
        <w:tc>
          <w:tcPr>
            <w:tcW w:w="320" w:type="dxa"/>
            <w:vAlign w:val="bottom"/>
            <w:shd w:val="clear" w:color="auto" w:fill="CDE9F6"/>
          </w:tcPr>
          <w:p>
            <w:pPr>
              <w:jc w:val="center"/>
              <w:spacing w:after="0"/>
              <w:rPr>
                <w:sz w:val="20"/>
                <w:szCs w:val="20"/>
                <w:color w:val="auto"/>
              </w:rPr>
            </w:pPr>
            <w:r>
              <w:rPr>
                <w:rFonts w:ascii="Times New Roman" w:cs="Times New Roman" w:eastAsia="Times New Roman" w:hAnsi="Times New Roman"/>
                <w:sz w:val="17"/>
                <w:szCs w:val="17"/>
                <w:color w:val="auto"/>
              </w:rPr>
              <w:t>57</w:t>
            </w:r>
          </w:p>
        </w:tc>
        <w:tc>
          <w:tcPr>
            <w:tcW w:w="4640" w:type="dxa"/>
            <w:vAlign w:val="bottom"/>
            <w:gridSpan w:val="2"/>
            <w:shd w:val="clear" w:color="auto" w:fill="CDE9F6"/>
          </w:tcPr>
          <w:p>
            <w:pPr>
              <w:ind w:left="100"/>
              <w:spacing w:after="0"/>
              <w:rPr>
                <w:sz w:val="20"/>
                <w:szCs w:val="20"/>
                <w:color w:val="auto"/>
              </w:rPr>
            </w:pPr>
            <w:r>
              <w:rPr>
                <w:rFonts w:ascii="Times New Roman" w:cs="Times New Roman" w:eastAsia="Times New Roman" w:hAnsi="Times New Roman"/>
                <w:sz w:val="17"/>
                <w:szCs w:val="17"/>
                <w:color w:val="auto"/>
              </w:rPr>
              <w:t>Lead Independent Director and Director Nominee</w:t>
            </w:r>
          </w:p>
        </w:tc>
        <w:tc>
          <w:tcPr>
            <w:tcW w:w="0" w:type="dxa"/>
            <w:vAlign w:val="bottom"/>
          </w:tcPr>
          <w:p>
            <w:pPr>
              <w:spacing w:after="0"/>
              <w:rPr>
                <w:sz w:val="1"/>
                <w:szCs w:val="1"/>
                <w:color w:val="auto"/>
              </w:rPr>
            </w:pPr>
          </w:p>
        </w:tc>
      </w:tr>
      <w:tr>
        <w:trPr>
          <w:trHeight w:val="314"/>
        </w:trPr>
        <w:tc>
          <w:tcPr>
            <w:tcW w:w="290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Admiral James Stavridis (Ret)</w:t>
            </w:r>
            <w:r>
              <w:rPr>
                <w:rFonts w:ascii="Times New Roman" w:cs="Times New Roman" w:eastAsia="Times New Roman" w:hAnsi="Times New Roman"/>
                <w:sz w:val="20"/>
                <w:szCs w:val="20"/>
                <w:color w:val="auto"/>
                <w:vertAlign w:val="superscript"/>
              </w:rPr>
              <w:t>(3)(4)</w:t>
            </w:r>
            <w:r>
              <w:rPr>
                <w:rFonts w:ascii="Times New Roman" w:cs="Times New Roman" w:eastAsia="Times New Roman" w:hAnsi="Times New Roman"/>
                <w:sz w:val="17"/>
                <w:szCs w:val="17"/>
                <w:color w:val="auto"/>
              </w:rPr>
              <w:t>****</w:t>
            </w:r>
          </w:p>
        </w:tc>
        <w:tc>
          <w:tcPr>
            <w:tcW w:w="3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71</w:t>
            </w:r>
          </w:p>
        </w:tc>
        <w:tc>
          <w:tcPr>
            <w:tcW w:w="464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Director and Director Nominee</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880" w:type="dxa"/>
            <w:vAlign w:val="bottom"/>
            <w:gridSpan w:val="2"/>
            <w:shd w:val="clear" w:color="auto" w:fill="CDE9F6"/>
          </w:tcPr>
          <w:p>
            <w:pPr>
              <w:spacing w:after="0"/>
              <w:rPr>
                <w:sz w:val="20"/>
                <w:szCs w:val="20"/>
                <w:color w:val="auto"/>
              </w:rPr>
            </w:pPr>
            <w:r>
              <w:rPr>
                <w:rFonts w:ascii="Times New Roman" w:cs="Times New Roman" w:eastAsia="Times New Roman" w:hAnsi="Times New Roman"/>
                <w:sz w:val="17"/>
                <w:szCs w:val="17"/>
                <w:color w:val="auto"/>
              </w:rPr>
              <w:t>Derek Kan</w:t>
            </w:r>
          </w:p>
        </w:tc>
        <w:tc>
          <w:tcPr>
            <w:tcW w:w="320" w:type="dxa"/>
            <w:vAlign w:val="bottom"/>
            <w:shd w:val="clear" w:color="auto" w:fill="CDE9F6"/>
          </w:tcPr>
          <w:p>
            <w:pPr>
              <w:jc w:val="center"/>
              <w:spacing w:after="0"/>
              <w:rPr>
                <w:sz w:val="20"/>
                <w:szCs w:val="20"/>
                <w:color w:val="auto"/>
              </w:rPr>
            </w:pPr>
            <w:r>
              <w:rPr>
                <w:rFonts w:ascii="Times New Roman" w:cs="Times New Roman" w:eastAsia="Times New Roman" w:hAnsi="Times New Roman"/>
                <w:sz w:val="17"/>
                <w:szCs w:val="17"/>
                <w:color w:val="auto"/>
              </w:rPr>
              <w:t>47</w:t>
            </w:r>
          </w:p>
        </w:tc>
        <w:tc>
          <w:tcPr>
            <w:tcW w:w="4640" w:type="dxa"/>
            <w:vAlign w:val="bottom"/>
            <w:gridSpan w:val="2"/>
            <w:shd w:val="clear" w:color="auto" w:fill="CDE9F6"/>
          </w:tcPr>
          <w:p>
            <w:pPr>
              <w:ind w:left="100"/>
              <w:spacing w:after="0"/>
              <w:rPr>
                <w:sz w:val="20"/>
                <w:szCs w:val="20"/>
                <w:color w:val="auto"/>
              </w:rPr>
            </w:pPr>
            <w:r>
              <w:rPr>
                <w:rFonts w:ascii="Times New Roman" w:cs="Times New Roman" w:eastAsia="Times New Roman" w:hAnsi="Times New Roman"/>
                <w:sz w:val="17"/>
                <w:szCs w:val="17"/>
                <w:color w:val="auto"/>
              </w:rPr>
              <w:t>Director Nominee</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780" w:type="dxa"/>
            <w:vAlign w:val="bottom"/>
            <w:shd w:val="clear" w:color="auto" w:fill="CDE9F6"/>
          </w:tcPr>
          <w:p>
            <w:pPr>
              <w:spacing w:after="0"/>
              <w:rPr>
                <w:sz w:val="4"/>
                <w:szCs w:val="4"/>
                <w:color w:val="auto"/>
              </w:rPr>
            </w:pPr>
          </w:p>
        </w:tc>
        <w:tc>
          <w:tcPr>
            <w:tcW w:w="100" w:type="dxa"/>
            <w:vAlign w:val="bottom"/>
            <w:shd w:val="clear" w:color="auto" w:fill="CDE9F6"/>
          </w:tcPr>
          <w:p>
            <w:pPr>
              <w:spacing w:after="0"/>
              <w:rPr>
                <w:sz w:val="4"/>
                <w:szCs w:val="4"/>
                <w:color w:val="auto"/>
              </w:rPr>
            </w:pPr>
          </w:p>
        </w:tc>
        <w:tc>
          <w:tcPr>
            <w:tcW w:w="320" w:type="dxa"/>
            <w:vAlign w:val="bottom"/>
            <w:shd w:val="clear" w:color="auto" w:fill="CDE9F6"/>
          </w:tcPr>
          <w:p>
            <w:pPr>
              <w:spacing w:after="0"/>
              <w:rPr>
                <w:sz w:val="4"/>
                <w:szCs w:val="4"/>
                <w:color w:val="auto"/>
              </w:rPr>
            </w:pPr>
          </w:p>
        </w:tc>
        <w:tc>
          <w:tcPr>
            <w:tcW w:w="100" w:type="dxa"/>
            <w:vAlign w:val="bottom"/>
            <w:shd w:val="clear" w:color="auto" w:fill="CDE9F6"/>
          </w:tcPr>
          <w:p>
            <w:pPr>
              <w:spacing w:after="0"/>
              <w:rPr>
                <w:sz w:val="4"/>
                <w:szCs w:val="4"/>
                <w:color w:val="auto"/>
              </w:rPr>
            </w:pPr>
          </w:p>
        </w:tc>
        <w:tc>
          <w:tcPr>
            <w:tcW w:w="4540" w:type="dxa"/>
            <w:vAlign w:val="bottom"/>
            <w:shd w:val="clear" w:color="auto" w:fill="CDE9F6"/>
          </w:tcPr>
          <w:p>
            <w:pPr>
              <w:spacing w:after="0"/>
              <w:rPr>
                <w:sz w:val="4"/>
                <w:szCs w:val="4"/>
                <w:color w:val="auto"/>
              </w:rPr>
            </w:pPr>
          </w:p>
        </w:tc>
        <w:tc>
          <w:tcPr>
            <w:tcW w:w="0" w:type="dxa"/>
            <w:vAlign w:val="bottom"/>
          </w:tcPr>
          <w:p>
            <w:pPr>
              <w:spacing w:after="0"/>
              <w:rPr>
                <w:sz w:val="1"/>
                <w:szCs w:val="1"/>
                <w:color w:val="auto"/>
              </w:rPr>
            </w:pPr>
          </w:p>
        </w:tc>
      </w:tr>
    </w:tbl>
    <w:p>
      <w:pPr>
        <w:spacing w:after="0" w:line="3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________________________</w:t>
      </w:r>
    </w:p>
    <w:p>
      <w:pPr>
        <w:spacing w:after="0" w:line="244" w:lineRule="exact"/>
        <w:rPr>
          <w:sz w:val="20"/>
          <w:szCs w:val="20"/>
          <w:color w:val="auto"/>
        </w:rPr>
      </w:pPr>
    </w:p>
    <w:p>
      <w:pPr>
        <w:ind w:left="940" w:hanging="366"/>
        <w:spacing w:after="0"/>
        <w:tabs>
          <w:tab w:leader="none" w:pos="94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Member of the Human Resources Committee.</w:t>
      </w:r>
    </w:p>
    <w:p>
      <w:pPr>
        <w:spacing w:after="0" w:line="79" w:lineRule="exact"/>
        <w:rPr>
          <w:rFonts w:ascii="Times New Roman" w:cs="Times New Roman" w:eastAsia="Times New Roman" w:hAnsi="Times New Roman"/>
          <w:sz w:val="17"/>
          <w:szCs w:val="17"/>
          <w:color w:val="auto"/>
        </w:rPr>
      </w:pPr>
    </w:p>
    <w:p>
      <w:pPr>
        <w:ind w:left="940" w:hanging="366"/>
        <w:spacing w:after="0"/>
        <w:tabs>
          <w:tab w:leader="none" w:pos="94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Member of the Audit Committee.</w:t>
      </w:r>
    </w:p>
    <w:p>
      <w:pPr>
        <w:spacing w:after="0" w:line="79" w:lineRule="exact"/>
        <w:rPr>
          <w:rFonts w:ascii="Times New Roman" w:cs="Times New Roman" w:eastAsia="Times New Roman" w:hAnsi="Times New Roman"/>
          <w:sz w:val="17"/>
          <w:szCs w:val="17"/>
          <w:color w:val="auto"/>
        </w:rPr>
      </w:pPr>
    </w:p>
    <w:p>
      <w:pPr>
        <w:ind w:left="940" w:hanging="366"/>
        <w:spacing w:after="0"/>
        <w:tabs>
          <w:tab w:leader="none" w:pos="94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Member of the Governance and Social Responsibility Committee.</w:t>
      </w:r>
    </w:p>
    <w:p>
      <w:pPr>
        <w:spacing w:after="0" w:line="92" w:lineRule="exact"/>
        <w:rPr>
          <w:rFonts w:ascii="Times New Roman" w:cs="Times New Roman" w:eastAsia="Times New Roman" w:hAnsi="Times New Roman"/>
          <w:sz w:val="17"/>
          <w:szCs w:val="17"/>
          <w:color w:val="auto"/>
        </w:rPr>
      </w:pPr>
    </w:p>
    <w:p>
      <w:pPr>
        <w:ind w:left="940" w:hanging="366"/>
        <w:spacing w:after="0"/>
        <w:tabs>
          <w:tab w:leader="none" w:pos="94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Member of the Cybersecurity Committee.</w:t>
      </w:r>
    </w:p>
    <w:p>
      <w:pPr>
        <w:spacing w:after="0" w:line="80" w:lineRule="exact"/>
        <w:rPr>
          <w:sz w:val="20"/>
          <w:szCs w:val="20"/>
          <w:color w:val="auto"/>
        </w:rPr>
      </w:pPr>
    </w:p>
    <w:p>
      <w:pPr>
        <w:ind w:left="580" w:right="4579" w:hanging="6"/>
        <w:spacing w:after="0" w:line="345" w:lineRule="auto"/>
        <w:tabs>
          <w:tab w:leader="none" w:pos="969"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Chairperson of the Human Resources Committee. ** Chairperson of the Audit Committee.</w:t>
      </w:r>
    </w:p>
    <w:p>
      <w:pPr>
        <w:spacing w:after="0" w:line="1" w:lineRule="exact"/>
        <w:rPr>
          <w:rFonts w:ascii="Times New Roman" w:cs="Times New Roman" w:eastAsia="Times New Roman" w:hAnsi="Times New Roman"/>
          <w:sz w:val="17"/>
          <w:szCs w:val="17"/>
          <w:color w:val="auto"/>
        </w:rPr>
      </w:pPr>
    </w:p>
    <w:p>
      <w:pPr>
        <w:ind w:left="5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Chairperson of the Governance and Social Responsibility Committee.</w:t>
      </w:r>
    </w:p>
    <w:p>
      <w:pPr>
        <w:spacing w:after="0" w:line="79" w:lineRule="exact"/>
        <w:rPr>
          <w:rFonts w:ascii="Times New Roman" w:cs="Times New Roman" w:eastAsia="Times New Roman" w:hAnsi="Times New Roman"/>
          <w:sz w:val="17"/>
          <w:szCs w:val="17"/>
          <w:color w:val="auto"/>
        </w:rPr>
      </w:pPr>
    </w:p>
    <w:p>
      <w:pPr>
        <w:ind w:left="5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Chairperson of the Cybersecurity Committee.</w:t>
      </w:r>
    </w:p>
    <w:p>
      <w:pPr>
        <w:spacing w:after="0" w:line="154" w:lineRule="exact"/>
        <w:rPr>
          <w:sz w:val="20"/>
          <w:szCs w:val="20"/>
          <w:color w:val="auto"/>
        </w:rPr>
      </w:pPr>
    </w:p>
    <w:p>
      <w:pPr>
        <w:ind w:left="580" w:right="739" w:firstLine="349"/>
        <w:spacing w:after="0" w:line="261" w:lineRule="auto"/>
        <w:rPr>
          <w:sz w:val="20"/>
          <w:szCs w:val="20"/>
          <w:color w:val="auto"/>
        </w:rPr>
      </w:pPr>
      <w:r>
        <w:rPr>
          <w:rFonts w:ascii="Times New Roman" w:cs="Times New Roman" w:eastAsia="Times New Roman" w:hAnsi="Times New Roman"/>
          <w:sz w:val="17"/>
          <w:szCs w:val="17"/>
          <w:b w:val="1"/>
          <w:bCs w:val="1"/>
          <w:i w:val="1"/>
          <w:iCs w:val="1"/>
          <w:color w:val="auto"/>
        </w:rPr>
        <w:t xml:space="preserve">Ken Xie </w:t>
      </w:r>
      <w:r>
        <w:rPr>
          <w:rFonts w:ascii="Times New Roman" w:cs="Times New Roman" w:eastAsia="Times New Roman" w:hAnsi="Times New Roman"/>
          <w:sz w:val="17"/>
          <w:szCs w:val="17"/>
          <w:color w:val="auto"/>
        </w:rPr>
        <w:t>has served as our Chief Executive Officer and a member of the Board of Directors since he co-founded Fortinet in October 2000. He previously served as our President until November 2013. Prior to co-founding Fortinet, Mr. Ken Xie was the Founder, President and Chief Executive Officer of NetScreen Technologies, Inc., a provider of network security products, which was acquired by Juniper Networks, Inc. in April 2004. Additionally, Mr. Ken Xie was Chief Executive Officer of Systems Integration Solutions, Inc., a talent services firm that specializes in delivering technology solutions, and is a member of the National Academy of Engineering. In addition to the Board of Directors, Mr. Ken Xie has served on the board of directors of TeleNav, Inc., a wireless location-based services corporation, since July 2012. Mr. Ken Xie served on the board of directors of the Cyber Threat Alliance from 2017 to 2022. Mr. Ken Xie received a B.S. and an M.S. in electrical engineering from Tsinghua University in China and an M.S. in electrical engineering from Stanford University.</w:t>
      </w:r>
    </w:p>
    <w:p>
      <w:pPr>
        <w:spacing w:after="0" w:line="102" w:lineRule="exact"/>
        <w:rPr>
          <w:sz w:val="20"/>
          <w:szCs w:val="20"/>
          <w:color w:val="auto"/>
        </w:rPr>
      </w:pPr>
    </w:p>
    <w:p>
      <w:pPr>
        <w:ind w:left="580" w:right="679" w:firstLine="349"/>
        <w:spacing w:after="0" w:line="270" w:lineRule="auto"/>
        <w:rPr>
          <w:sz w:val="20"/>
          <w:szCs w:val="20"/>
          <w:color w:val="auto"/>
        </w:rPr>
      </w:pPr>
      <w:r>
        <w:rPr>
          <w:rFonts w:ascii="Times New Roman" w:cs="Times New Roman" w:eastAsia="Times New Roman" w:hAnsi="Times New Roman"/>
          <w:sz w:val="17"/>
          <w:szCs w:val="17"/>
          <w:color w:val="auto"/>
        </w:rPr>
        <w:t>Mr. Ken Xie has more than 30 years of technical and management experience in the networking and security industries, which includes his roles as a founder of Fortinet, NetScreen and SIS and as President and Chief Executive Officer of each of the foregoing companies. The Board of Directors also believes Mr. Ken Xie provides valuable perspective and experience as a co-founder of Fortinet and one of its largest stockholders.</w:t>
      </w:r>
    </w:p>
    <w:p>
      <w:pPr>
        <w:spacing w:after="0" w:line="99" w:lineRule="exact"/>
        <w:rPr>
          <w:sz w:val="20"/>
          <w:szCs w:val="20"/>
          <w:color w:val="auto"/>
        </w:rPr>
      </w:pPr>
    </w:p>
    <w:p>
      <w:pPr>
        <w:ind w:left="580" w:right="639" w:firstLine="349"/>
        <w:spacing w:after="0" w:line="272" w:lineRule="auto"/>
        <w:rPr>
          <w:sz w:val="20"/>
          <w:szCs w:val="20"/>
          <w:color w:val="auto"/>
        </w:rPr>
      </w:pPr>
      <w:r>
        <w:rPr>
          <w:rFonts w:ascii="Times New Roman" w:cs="Times New Roman" w:eastAsia="Times New Roman" w:hAnsi="Times New Roman"/>
          <w:sz w:val="17"/>
          <w:szCs w:val="17"/>
          <w:b w:val="1"/>
          <w:bCs w:val="1"/>
          <w:i w:val="1"/>
          <w:iCs w:val="1"/>
          <w:color w:val="auto"/>
        </w:rPr>
        <w:t xml:space="preserve">Michael Xie </w:t>
      </w:r>
      <w:r>
        <w:rPr>
          <w:rFonts w:ascii="Times New Roman" w:cs="Times New Roman" w:eastAsia="Times New Roman" w:hAnsi="Times New Roman"/>
          <w:sz w:val="17"/>
          <w:szCs w:val="17"/>
          <w:color w:val="auto"/>
        </w:rPr>
        <w:t>has served as our President and Chief Technology Officer since November 2013 and as a</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member of the Board of Directors since February 2001. He previously served as our Vice President of Engineering and Chief Technology Officer after co-founding Fortinet in October 2000. Prior to co-founding Fortinet, he held positions as Vice President of Engineering for ServGate Technologies, Inc., a network security</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5" w:name="page16"/>
    <w:bookmarkEnd w:id="15"/>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580" w:right="719"/>
        <w:spacing w:after="0" w:line="270" w:lineRule="auto"/>
        <w:rPr>
          <w:sz w:val="20"/>
          <w:szCs w:val="20"/>
          <w:color w:val="auto"/>
        </w:rPr>
      </w:pPr>
      <w:r>
        <w:rPr>
          <w:rFonts w:ascii="Times New Roman" w:cs="Times New Roman" w:eastAsia="Times New Roman" w:hAnsi="Times New Roman"/>
          <w:sz w:val="17"/>
          <w:szCs w:val="17"/>
          <w:color w:val="auto"/>
        </w:rPr>
        <w:t>provider that was acquired by Amarium Technologies, Inc. in April 2006, Software Director and Architect for NetScreen and Senior Software Engineer for Milkyway Networks Corporation, a network security solutions provider. Mr. Michael Xie has an M.S. in electrical engineering from the University of Manitoba in Canada, as well as a B.S. and an M.S. in automobile engineering from Tsinghua University in China.</w:t>
      </w:r>
    </w:p>
    <w:p>
      <w:pPr>
        <w:spacing w:after="0" w:line="103" w:lineRule="exact"/>
        <w:rPr>
          <w:sz w:val="20"/>
          <w:szCs w:val="20"/>
          <w:color w:val="auto"/>
        </w:rPr>
      </w:pPr>
    </w:p>
    <w:p>
      <w:pPr>
        <w:ind w:left="580" w:right="659" w:firstLine="349"/>
        <w:spacing w:after="0" w:line="265" w:lineRule="auto"/>
        <w:rPr>
          <w:sz w:val="20"/>
          <w:szCs w:val="20"/>
          <w:color w:val="auto"/>
        </w:rPr>
      </w:pPr>
      <w:r>
        <w:rPr>
          <w:rFonts w:ascii="Times New Roman" w:cs="Times New Roman" w:eastAsia="Times New Roman" w:hAnsi="Times New Roman"/>
          <w:sz w:val="17"/>
          <w:szCs w:val="17"/>
          <w:color w:val="auto"/>
        </w:rPr>
        <w:t>Mr. Michael Xie has more than 25 years of technical and operational experience in the network security industry, which includes positions as the President and Chief Technology Officer of Fortinet, the Vice President of Engineering of ServGate and the Software Director and Architect of NetScreen. The Board of Directors believes that Mr. Michael Xie’s deep technical knowledge is invaluable in developing and improving Fortinet’s technology and network security products. The Board of Directors also believes Mr. Michael Xie provides valuable perspective and experience as a co-founder of Fortinet and one of its largest stockholders.</w:t>
      </w:r>
    </w:p>
    <w:p>
      <w:pPr>
        <w:spacing w:after="0" w:line="102" w:lineRule="exact"/>
        <w:rPr>
          <w:sz w:val="20"/>
          <w:szCs w:val="20"/>
          <w:color w:val="auto"/>
        </w:rPr>
      </w:pPr>
    </w:p>
    <w:p>
      <w:pPr>
        <w:ind w:left="580" w:right="639" w:firstLine="349"/>
        <w:spacing w:after="0" w:line="262" w:lineRule="auto"/>
        <w:rPr>
          <w:sz w:val="20"/>
          <w:szCs w:val="20"/>
          <w:color w:val="auto"/>
        </w:rPr>
      </w:pPr>
      <w:r>
        <w:rPr>
          <w:rFonts w:ascii="Times New Roman" w:cs="Times New Roman" w:eastAsia="Times New Roman" w:hAnsi="Times New Roman"/>
          <w:sz w:val="17"/>
          <w:szCs w:val="17"/>
          <w:b w:val="1"/>
          <w:bCs w:val="1"/>
          <w:i w:val="1"/>
          <w:iCs w:val="1"/>
          <w:color w:val="auto"/>
        </w:rPr>
        <w:t xml:space="preserve">Kenneth A. Goldman </w:t>
      </w:r>
      <w:r>
        <w:rPr>
          <w:rFonts w:ascii="Times New Roman" w:cs="Times New Roman" w:eastAsia="Times New Roman" w:hAnsi="Times New Roman"/>
          <w:sz w:val="17"/>
          <w:szCs w:val="17"/>
          <w:color w:val="auto"/>
        </w:rPr>
        <w:t>has served as a member of the Board of Directors since October 2020. Mr. Goldman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served as the President of Hillspire LLC, a family office management company from September 2017 through April 2022. From October 2012 to June 2017, Mr. Goldman served as the Chief Financial Officer of Yahoo! Inc., a provider of internet content and services. Prior to this, Mr. Goldman was our Senior Vice President and Chief Financial Officer from September 2007 to October 2012. From January 2015 to December 2017,</w:t>
      </w:r>
    </w:p>
    <w:p>
      <w:pPr>
        <w:spacing w:after="0" w:line="3" w:lineRule="exact"/>
        <w:rPr>
          <w:sz w:val="20"/>
          <w:szCs w:val="20"/>
          <w:color w:val="auto"/>
        </w:rPr>
      </w:pPr>
    </w:p>
    <w:p>
      <w:pPr>
        <w:ind w:left="580" w:right="599"/>
        <w:spacing w:after="0" w:line="258" w:lineRule="auto"/>
        <w:rPr>
          <w:sz w:val="20"/>
          <w:szCs w:val="20"/>
          <w:color w:val="auto"/>
        </w:rPr>
      </w:pPr>
      <w:r>
        <w:rPr>
          <w:rFonts w:ascii="Times New Roman" w:cs="Times New Roman" w:eastAsia="Times New Roman" w:hAnsi="Times New Roman"/>
          <w:sz w:val="17"/>
          <w:szCs w:val="17"/>
          <w:color w:val="auto"/>
        </w:rPr>
        <w:t>Mr. Goldman served as a member of the PCAOB, Standing Advisory Group. Mr. Goldman has been serving as a member of the PCAOB, Investor Advisory Group since he joined in February 2024. From December 1999 to December 2003, Mr. Goldman served on the Financial Accounting Standards Board’s primary advisory group. Mr. Goldman currently serves on the boards of directors and audit committees of RingCentral, Inc., a provider of cloud-based communication and collaboration products and services, Wealthfront, financial management technology company, C3.ai, Inc., an enterprise AI application software company, and Kodiak AI, Inc., an autonomous trucking company. Mr. Goldman previously served as a director of TriNet Group, Inc., a human resources management company, from August 2009 to August 2020, GoPro, Inc., an action camera technology company, from December 2013 to June 2025, Zuora, Inc., an enterprise software company, from March 2017 to February 2025, and NXP Semiconductors N.V., a semiconductor company, from August 2010 to June 2022, among others. Mr. Goldman holds a B.S. in Electrical Engineering from Cornell University and an M.B.A. from Harvard Business School.</w:t>
      </w:r>
    </w:p>
    <w:p>
      <w:pPr>
        <w:spacing w:after="0" w:line="106" w:lineRule="exact"/>
        <w:rPr>
          <w:sz w:val="20"/>
          <w:szCs w:val="20"/>
          <w:color w:val="auto"/>
        </w:rPr>
      </w:pPr>
    </w:p>
    <w:p>
      <w:pPr>
        <w:ind w:left="580" w:right="739" w:firstLine="349"/>
        <w:spacing w:after="0" w:line="270" w:lineRule="auto"/>
        <w:rPr>
          <w:sz w:val="20"/>
          <w:szCs w:val="20"/>
          <w:color w:val="auto"/>
        </w:rPr>
      </w:pPr>
      <w:r>
        <w:rPr>
          <w:rFonts w:ascii="Times New Roman" w:cs="Times New Roman" w:eastAsia="Times New Roman" w:hAnsi="Times New Roman"/>
          <w:sz w:val="17"/>
          <w:szCs w:val="17"/>
          <w:color w:val="auto"/>
        </w:rPr>
        <w:t>Mr. Goldman has developed expertise in finance, including accounting and financial reporting, as a Chief Financial Officer of Yahoo! Inc. and in other finance roles, and has career experience managing human resources and legal functions. Mr. Goldman also has over ten years of outside board experience at the aforementioned companies and numerous other public and private companies.</w:t>
      </w:r>
    </w:p>
    <w:p>
      <w:pPr>
        <w:spacing w:after="0" w:line="99" w:lineRule="exact"/>
        <w:rPr>
          <w:sz w:val="20"/>
          <w:szCs w:val="20"/>
          <w:color w:val="auto"/>
        </w:rPr>
      </w:pPr>
    </w:p>
    <w:p>
      <w:pPr>
        <w:ind w:left="580" w:right="639" w:firstLine="349"/>
        <w:spacing w:after="0" w:line="262" w:lineRule="auto"/>
        <w:rPr>
          <w:sz w:val="20"/>
          <w:szCs w:val="20"/>
          <w:color w:val="auto"/>
        </w:rPr>
      </w:pPr>
      <w:r>
        <w:rPr>
          <w:rFonts w:ascii="Times New Roman" w:cs="Times New Roman" w:eastAsia="Times New Roman" w:hAnsi="Times New Roman"/>
          <w:sz w:val="17"/>
          <w:szCs w:val="17"/>
          <w:b w:val="1"/>
          <w:bCs w:val="1"/>
          <w:i w:val="1"/>
          <w:iCs w:val="1"/>
          <w:color w:val="auto"/>
        </w:rPr>
        <w:t xml:space="preserve">Ming Hsieh </w:t>
      </w:r>
      <w:r>
        <w:rPr>
          <w:rFonts w:ascii="Times New Roman" w:cs="Times New Roman" w:eastAsia="Times New Roman" w:hAnsi="Times New Roman"/>
          <w:sz w:val="17"/>
          <w:szCs w:val="17"/>
          <w:color w:val="auto"/>
        </w:rPr>
        <w:t>has served as a member of the Board of Directors since April 2013. Mr. Hsieh has served as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 Chairman of the board of directors and Chief Executive Officer of Fulgent Therapeutics Inc., a cancer drug research and development company, since September 2012. From October 2010 to June 2012, Mr. Hsieh served as the President of 3M Cogent, Inc., a provider of global biometric identification solutions, following the acquisition of Cogent, Inc. by 3M Company in 2010. Prior to the acquisition, Mr. Hsieh served as the Chief Executive Officer, President and Chairman of the board of directors of Cogent since founding Cogent in 1990. Prior to that, Mr. Hsieh was a research and development engineer at International Rectifier Corporation, a manufacturer of semiconductors, from 1985 to 1987. Mr. Hsieh received a B.S.E.E. from the University of Southern California in 1983 and an M.S.E.E. from University of Southern California in 1984.</w:t>
      </w:r>
    </w:p>
    <w:p>
      <w:pPr>
        <w:spacing w:after="0" w:line="114" w:lineRule="exact"/>
        <w:rPr>
          <w:sz w:val="20"/>
          <w:szCs w:val="20"/>
          <w:color w:val="auto"/>
        </w:rPr>
      </w:pPr>
    </w:p>
    <w:p>
      <w:pPr>
        <w:ind w:left="580" w:right="959" w:firstLine="349"/>
        <w:spacing w:after="0" w:line="296" w:lineRule="auto"/>
        <w:rPr>
          <w:sz w:val="20"/>
          <w:szCs w:val="20"/>
          <w:color w:val="auto"/>
        </w:rPr>
      </w:pPr>
      <w:r>
        <w:rPr>
          <w:rFonts w:ascii="Times New Roman" w:cs="Times New Roman" w:eastAsia="Times New Roman" w:hAnsi="Times New Roman"/>
          <w:sz w:val="17"/>
          <w:szCs w:val="17"/>
          <w:color w:val="auto"/>
        </w:rPr>
        <w:t>Mr. Hsieh has leadership, operational and executive experience by serving as Chief Executive Officer, President and Chairman of the board of directors of Cogent.</w:t>
      </w:r>
    </w:p>
    <w:p>
      <w:pPr>
        <w:spacing w:after="0" w:line="64" w:lineRule="exact"/>
        <w:rPr>
          <w:sz w:val="20"/>
          <w:szCs w:val="20"/>
          <w:color w:val="auto"/>
        </w:rPr>
      </w:pPr>
    </w:p>
    <w:p>
      <w:pPr>
        <w:ind w:left="580" w:right="599" w:firstLine="349"/>
        <w:spacing w:after="0" w:line="263" w:lineRule="auto"/>
        <w:rPr>
          <w:sz w:val="20"/>
          <w:szCs w:val="20"/>
          <w:color w:val="auto"/>
        </w:rPr>
      </w:pPr>
      <w:r>
        <w:rPr>
          <w:rFonts w:ascii="Times New Roman" w:cs="Times New Roman" w:eastAsia="Times New Roman" w:hAnsi="Times New Roman"/>
          <w:sz w:val="17"/>
          <w:szCs w:val="17"/>
          <w:b w:val="1"/>
          <w:bCs w:val="1"/>
          <w:i w:val="1"/>
          <w:iCs w:val="1"/>
          <w:color w:val="auto"/>
        </w:rPr>
        <w:t xml:space="preserve">Jean Hu </w:t>
      </w:r>
      <w:r>
        <w:rPr>
          <w:rFonts w:ascii="Times New Roman" w:cs="Times New Roman" w:eastAsia="Times New Roman" w:hAnsi="Times New Roman"/>
          <w:sz w:val="17"/>
          <w:szCs w:val="17"/>
          <w:color w:val="auto"/>
        </w:rPr>
        <w:t>has served as a member of the Board of Directors since October 2019. Since January 2023, Ms.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Hu has served as Executive Vice President and Chief Financial Officer of Advanced Micro Devices, Inc., a semiconductor company. Prior to AMD, Ms. Hu served as Executive Vice President and Chief Financial Officer of Marvell Technology Group Ltd., a semiconductor company, from August 2016 to January 2023. Ms. Hu served as Senior Vice President and Chief Financial Officer of Qlogic Corporation, a network server and storage networking company, from April 2011 to August 2016, and as acting Chief Executive Officer of Qlogic from May 2013 to February 2014 and from August 2015 to August 2016. From 2004 to 2011, Ms. Hu served in various senior positions at Conexant Systems, Inc., a semiconductor company, including as Chief Financial Officer</w:t>
      </w: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6" w:name="page17"/>
    <w:bookmarkEnd w:id="16"/>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580" w:right="659"/>
        <w:spacing w:after="0" w:line="276" w:lineRule="auto"/>
        <w:rPr>
          <w:sz w:val="20"/>
          <w:szCs w:val="20"/>
          <w:color w:val="auto"/>
        </w:rPr>
      </w:pPr>
      <w:r>
        <w:rPr>
          <w:rFonts w:ascii="Times New Roman" w:cs="Times New Roman" w:eastAsia="Times New Roman" w:hAnsi="Times New Roman"/>
          <w:sz w:val="17"/>
          <w:szCs w:val="17"/>
          <w:color w:val="auto"/>
        </w:rPr>
        <w:t>and Senior Vice President, Business Development from December 2008 to April 2011 and as Treasurer from June 2009 until April 2011. Ms. Hu holds a B.S. in Chemical Engineering from Beijing University of Chemical Engineering and a Ph.D. in Economics from Claremont Graduate University.</w:t>
      </w:r>
    </w:p>
    <w:p>
      <w:pPr>
        <w:spacing w:after="0" w:line="98" w:lineRule="exact"/>
        <w:rPr>
          <w:sz w:val="20"/>
          <w:szCs w:val="20"/>
          <w:color w:val="auto"/>
        </w:rPr>
      </w:pPr>
    </w:p>
    <w:p>
      <w:pPr>
        <w:ind w:left="580" w:right="639" w:firstLine="349"/>
        <w:spacing w:after="0" w:line="296" w:lineRule="auto"/>
        <w:rPr>
          <w:sz w:val="20"/>
          <w:szCs w:val="20"/>
          <w:color w:val="auto"/>
        </w:rPr>
      </w:pPr>
      <w:r>
        <w:rPr>
          <w:rFonts w:ascii="Times New Roman" w:cs="Times New Roman" w:eastAsia="Times New Roman" w:hAnsi="Times New Roman"/>
          <w:sz w:val="17"/>
          <w:szCs w:val="17"/>
          <w:color w:val="auto"/>
        </w:rPr>
        <w:t>Ms. Hu has extensive experience in the management of technology companies from her positions at AMD, Marvell and Qlogic, and expertise in corporate financing, accounting and financial reporting.</w:t>
      </w:r>
    </w:p>
    <w:p>
      <w:pPr>
        <w:spacing w:after="0" w:line="77" w:lineRule="exact"/>
        <w:rPr>
          <w:sz w:val="20"/>
          <w:szCs w:val="20"/>
          <w:color w:val="auto"/>
        </w:rPr>
      </w:pPr>
    </w:p>
    <w:p>
      <w:pPr>
        <w:ind w:left="580" w:right="599" w:firstLine="349"/>
        <w:spacing w:after="0" w:line="261" w:lineRule="auto"/>
        <w:rPr>
          <w:sz w:val="20"/>
          <w:szCs w:val="20"/>
          <w:color w:val="auto"/>
        </w:rPr>
      </w:pPr>
      <w:r>
        <w:rPr>
          <w:rFonts w:ascii="Times New Roman" w:cs="Times New Roman" w:eastAsia="Times New Roman" w:hAnsi="Times New Roman"/>
          <w:sz w:val="17"/>
          <w:szCs w:val="17"/>
          <w:b w:val="1"/>
          <w:bCs w:val="1"/>
          <w:i w:val="1"/>
          <w:iCs w:val="1"/>
          <w:color w:val="auto"/>
        </w:rPr>
        <w:t xml:space="preserve">Janet Napolitano </w:t>
      </w:r>
      <w:r>
        <w:rPr>
          <w:rFonts w:ascii="Times New Roman" w:cs="Times New Roman" w:eastAsia="Times New Roman" w:hAnsi="Times New Roman"/>
          <w:sz w:val="17"/>
          <w:szCs w:val="17"/>
          <w:color w:val="auto"/>
        </w:rPr>
        <w:t>has served as a member of the Board of Directors since November 2024. Ms. Napolitano</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currently serves as the founder and faculty director of the Center for Security in Politics at UC Berkeley and as a professor of public policy at the Goldman School of Public Policy at UC Berkeley. She previously served as President of the University of California from September 2013 until her departure in August 2020. Prior to her time serving as the President of the University of California, she served as the U.S. Secretary of Homeland Security from 2009 to 2013, as governor of the state of Arizona from 2003 to 2009, as attorney general of Arizona from 1998 to 2003 and as U.S. attorney for the District of Arizona from 1993 to 1997. Prior to that, Ms. Napolitano was previously a partner of Lewis and Roca LLP, a law firm, from 1989 to 1993. Ms. Napolitano currently serves on the boards of directors for Vir Biotechnology, Inc., a pharmaceutical company that developed and sold drugs, and Zoom Communications, Inc., a communications technology company, and on the board of trustees at RAND Corporation, a nonprofit global policy research institute. Ms. Napolitano holds a B.S. in political science from Santa Clara University and a J.D. from the University of Virginia School of Law.</w:t>
      </w:r>
    </w:p>
    <w:p>
      <w:pPr>
        <w:spacing w:after="0" w:line="99" w:lineRule="exact"/>
        <w:rPr>
          <w:sz w:val="20"/>
          <w:szCs w:val="20"/>
          <w:color w:val="auto"/>
        </w:rPr>
      </w:pPr>
    </w:p>
    <w:p>
      <w:pPr>
        <w:ind w:left="580" w:right="599" w:firstLine="349"/>
        <w:spacing w:after="0" w:line="276" w:lineRule="auto"/>
        <w:rPr>
          <w:sz w:val="20"/>
          <w:szCs w:val="20"/>
          <w:color w:val="auto"/>
        </w:rPr>
      </w:pPr>
      <w:r>
        <w:rPr>
          <w:rFonts w:ascii="Times New Roman" w:cs="Times New Roman" w:eastAsia="Times New Roman" w:hAnsi="Times New Roman"/>
          <w:sz w:val="17"/>
          <w:szCs w:val="17"/>
          <w:color w:val="auto"/>
        </w:rPr>
        <w:t>Ms. Napolitano holds board positions across various industries, contributing her expertise and leadership to diverse organizations. She is a distinguished public servant and a renowned leader, bringing an exceptional perspective to the Board of Directors.</w:t>
      </w:r>
    </w:p>
    <w:p>
      <w:pPr>
        <w:spacing w:after="0" w:line="94" w:lineRule="exact"/>
        <w:rPr>
          <w:sz w:val="20"/>
          <w:szCs w:val="20"/>
          <w:color w:val="auto"/>
        </w:rPr>
      </w:pPr>
    </w:p>
    <w:p>
      <w:pPr>
        <w:ind w:left="580" w:right="599" w:firstLine="349"/>
        <w:spacing w:after="0" w:line="260" w:lineRule="auto"/>
        <w:rPr>
          <w:sz w:val="20"/>
          <w:szCs w:val="20"/>
          <w:color w:val="auto"/>
        </w:rPr>
      </w:pPr>
      <w:r>
        <w:rPr>
          <w:rFonts w:ascii="Times New Roman" w:cs="Times New Roman" w:eastAsia="Times New Roman" w:hAnsi="Times New Roman"/>
          <w:sz w:val="17"/>
          <w:szCs w:val="17"/>
          <w:b w:val="1"/>
          <w:bCs w:val="1"/>
          <w:i w:val="1"/>
          <w:iCs w:val="1"/>
          <w:color w:val="auto"/>
        </w:rPr>
        <w:t xml:space="preserve">Judith Sim </w:t>
      </w:r>
      <w:r>
        <w:rPr>
          <w:rFonts w:ascii="Times New Roman" w:cs="Times New Roman" w:eastAsia="Times New Roman" w:hAnsi="Times New Roman"/>
          <w:sz w:val="17"/>
          <w:szCs w:val="17"/>
          <w:color w:val="auto"/>
        </w:rPr>
        <w:t>has served as a member of the Board of Directors since June 2015 and has served as our Lead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Independent Director since April 2024. Ms. Sim previously held various customer-related and marketing positions at Oracle Corporation, multinational computer technology company providing cloud applications and cloud platform services, from 1991 to April 2020, including serving as the Chief of Staff to the Office of the CEO and as its Chief Marketing Officer from 2005 to April 2020. Ms. Sim has served as a director of First Advantage Corporation, a global provider of technology solutions for screening, verifications, safety and compliance related to human capital, including as the chair of the nominating and corporate governance committee and a member of the audit committee, since June 2021. Ms. Sim also previously served from October 2021 to March 2023 on the board of directors of Enterprise 4.0 Technology Acquisition Corp., a special purpose acquisition company focused on enterprise technology companies, including as chair of the compensation committee. Ms. Sim has also served on the board of directors for DataStax, Inc., a private database-as-a-service artificial intelligence company, since June 2021. Ms. Sim also previously served as a director on the board of directors of the San Francisco Chamber of Commerce from 2015 to 2020. Ms. Sim received a B.S. in dietetics from the University of California at Davis.</w:t>
      </w:r>
    </w:p>
    <w:p>
      <w:pPr>
        <w:spacing w:after="0" w:line="329" w:lineRule="exact"/>
        <w:rPr>
          <w:sz w:val="20"/>
          <w:szCs w:val="20"/>
          <w:color w:val="auto"/>
        </w:rPr>
      </w:pPr>
    </w:p>
    <w:p>
      <w:pPr>
        <w:ind w:left="580" w:right="1019" w:firstLine="349"/>
        <w:spacing w:after="0" w:line="270" w:lineRule="auto"/>
        <w:rPr>
          <w:sz w:val="20"/>
          <w:szCs w:val="20"/>
          <w:color w:val="auto"/>
        </w:rPr>
      </w:pPr>
      <w:r>
        <w:rPr>
          <w:rFonts w:ascii="Times New Roman" w:cs="Times New Roman" w:eastAsia="Times New Roman" w:hAnsi="Times New Roman"/>
          <w:sz w:val="17"/>
          <w:szCs w:val="17"/>
          <w:color w:val="auto"/>
        </w:rPr>
        <w:t>Ms. Sim has leadership and executive experience from her position as head of marketing programs at Oracle, including experience in field marketing, corporate communications, global customer programs, advertising, campaigns, events and corporate branding. Ms. Sim also has extensive experience serving on public, private and non-profit boards, including on the boards of a number of technology companies.</w:t>
      </w:r>
    </w:p>
    <w:p>
      <w:pPr>
        <w:spacing w:after="0" w:line="86" w:lineRule="exact"/>
        <w:rPr>
          <w:sz w:val="20"/>
          <w:szCs w:val="20"/>
          <w:color w:val="auto"/>
        </w:rPr>
      </w:pPr>
    </w:p>
    <w:p>
      <w:pPr>
        <w:ind w:left="580" w:right="719" w:firstLine="349"/>
        <w:spacing w:after="0" w:line="252" w:lineRule="auto"/>
        <w:rPr>
          <w:sz w:val="20"/>
          <w:szCs w:val="20"/>
          <w:color w:val="auto"/>
        </w:rPr>
      </w:pPr>
      <w:r>
        <w:rPr>
          <w:rFonts w:ascii="Times New Roman" w:cs="Times New Roman" w:eastAsia="Times New Roman" w:hAnsi="Times New Roman"/>
          <w:sz w:val="17"/>
          <w:szCs w:val="17"/>
          <w:b w:val="1"/>
          <w:bCs w:val="1"/>
          <w:i w:val="1"/>
          <w:iCs w:val="1"/>
          <w:color w:val="auto"/>
        </w:rPr>
        <w:t>Admiral James Stavridis (Ret)</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 xml:space="preserve"> USN, PhD </w:t>
      </w:r>
      <w:r>
        <w:rPr>
          <w:rFonts w:ascii="Times New Roman" w:cs="Times New Roman" w:eastAsia="Times New Roman" w:hAnsi="Times New Roman"/>
          <w:sz w:val="17"/>
          <w:szCs w:val="17"/>
          <w:color w:val="auto"/>
        </w:rPr>
        <w:t>has served as a member of the Board of Directors since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October 2021. Admiral Stavridis (Ret) spent 37 years in the U.S. Navy, rising to the rank of 4-star Admiral. Among Admiral Stavridis’ (Ret) many commands were four years as the 16</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7"/>
          <w:szCs w:val="17"/>
          <w:color w:val="auto"/>
        </w:rPr>
        <w:t xml:space="preserve"> Supreme Allied Commander of NATO, leading the NATO Alliance in global operations and where his responsibilities included cybersecurity. He was the longest serving Combatant Commander in recent U.S. history. In the course of his Navy career, Admiral Stavridis (Ret) served as senior military assistant to the Secretary of the Navy and the Secretary of Defense. He led the Navy’s premier operational think tank for innovation, Deep Blue. Following his military career, Admiral Stavridis (Ret) served for five years as the 12</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7"/>
          <w:szCs w:val="17"/>
          <w:color w:val="auto"/>
        </w:rPr>
        <w:t xml:space="preserve"> Dean of The Fletcher School of Law and Diplomacy at Tufts University. While Dean, he created a blended master’s degree in cyber and international relations at Tufts. He is a nationally recognized cybersecurity expert and routinely teaches on cyber challenges and offers insights via speaking appearances. He is currently a director, Partner and Vice Chairman, Global</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7" w:name="page18"/>
    <w:bookmarkEnd w:id="17"/>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580" w:right="659"/>
        <w:spacing w:after="0" w:line="259" w:lineRule="auto"/>
        <w:rPr>
          <w:sz w:val="20"/>
          <w:szCs w:val="20"/>
          <w:color w:val="auto"/>
        </w:rPr>
      </w:pPr>
      <w:r>
        <w:rPr>
          <w:rFonts w:ascii="Times New Roman" w:cs="Times New Roman" w:eastAsia="Times New Roman" w:hAnsi="Times New Roman"/>
          <w:sz w:val="17"/>
          <w:szCs w:val="17"/>
          <w:color w:val="auto"/>
        </w:rPr>
        <w:t>Affairs of The Carlyle Group, a multinational private equity, alternative asset management and financial services corporation, and is Chair of the Board of Trustees of the Rockefeller Foundation, an American private foundation and philanthropic medical research and arts funding organization. Admiral Stavridis (Ret) has also served on the board of directors of Ankura Consulting Group LLP, a global business advisory and expert services company, since December 2020 and on the board of directors and the finance committee of Aon plc since August 2024. Admiral Stavridis (Ret) has served on the boards of directors of several companies and institutions, equipping him with experience to provide valuable insights and an unparalleled leadership skillset to the Board of Directors, including his representation on the boards of directors of the MDA (a Canadian Satellite Company) from April 2020 to May 2022, Vigor Industrial LLC, an industrial services agency, from November 2021 to June 2023, Michael Baker International, a leading provider of engineering and consulting services, from June 2013 to December 2023, American Water from March 2018 to February 2024, Neuberger Berman Mutual Funds, a leading investment management firm, from December 2015 to June 2024, NFP Corp., a global professional services risk assessment firm, from October 2017 to April 2024 and PreVeil, Inc., a provider of secure email networks and file collaboration, from July 2017 to December 2023. Admiral Stavridis (Ret) attended the U.S. Naval Academy at Annapolis and earned a PhD in international relations from The Fletcher School at Tufts University. Admiral Stavridis (Ret) has extensive government and leadership experience as a result of his military service. The Board of Directors believes that Admiral Stavridis (Ret), with his experience with NATO and his expertise in governance matters, brings a unique and valuable perspective to the Board of Directors.</w:t>
      </w:r>
    </w:p>
    <w:p>
      <w:pPr>
        <w:spacing w:after="0" w:line="325" w:lineRule="exact"/>
        <w:rPr>
          <w:sz w:val="20"/>
          <w:szCs w:val="20"/>
          <w:color w:val="auto"/>
        </w:rPr>
      </w:pPr>
    </w:p>
    <w:p>
      <w:pPr>
        <w:ind w:left="580" w:right="619" w:firstLine="349"/>
        <w:spacing w:after="0" w:line="259" w:lineRule="auto"/>
        <w:rPr>
          <w:sz w:val="20"/>
          <w:szCs w:val="20"/>
          <w:color w:val="auto"/>
        </w:rPr>
      </w:pPr>
      <w:r>
        <w:rPr>
          <w:rFonts w:ascii="Times New Roman" w:cs="Times New Roman" w:eastAsia="Times New Roman" w:hAnsi="Times New Roman"/>
          <w:sz w:val="17"/>
          <w:szCs w:val="17"/>
          <w:b w:val="1"/>
          <w:bCs w:val="1"/>
          <w:i w:val="1"/>
          <w:iCs w:val="1"/>
          <w:color w:val="auto"/>
        </w:rPr>
        <w:t xml:space="preserve">Derek Kan </w:t>
      </w:r>
      <w:r>
        <w:rPr>
          <w:rFonts w:ascii="Times New Roman" w:cs="Times New Roman" w:eastAsia="Times New Roman" w:hAnsi="Times New Roman"/>
          <w:sz w:val="17"/>
          <w:szCs w:val="17"/>
          <w:color w:val="auto"/>
        </w:rPr>
        <w:t>was nominated by our Board of Directors to serve as a director in April 2026. From</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December 2020 until its acquisition by Shopify Inc. in July 2022, Mr. Kan served as Chief Business Officer at Deliverr, Inc., a technology-enabled e-commerce fulfillment platform. Following the acquisition, he served as Vice President of Business Operations at Shopify. Previously, Mr. Kan held senior positions in the U.S. federal government, including Deputy Director of the White House Office of Management and Budget from June 2019 through December 2020, where he oversaw government-wide technology modernization and federal IT security posture, and Under Secretary for Policy at the U.S. Department of Transportation from June 2017 through July 2019, where he oversaw a portfolio of 2,000 staff and a $3 billion budget, including policy governing connected and autonomous vehicles and cybersecurity for networked transportation infrastructure. Mr. Kan also co-led the interagency design and deployment of the nation’s COVID-19 economic response, coordinating across Treasury, SBA, and the Federal Reserve. Mr. Kan currently serves as Vice Chairman of the United States Postal Service Board of Governors. Prior to his federal service, Mr. Kan served as General Manager for Lyft in Southern California. Earlier in his career, Mr. Kan served as Chief Economic Policy Advisor to U.S. Senate Majority Leader during the 2008 financial crisis and was a Presidential Management Fellow at the White House Office of Management and Budget. Mr. Kan currently serves on the boards of directors of Toll Brothers, Inc., a luxury homebuilding company, as a member of the Audit and Risk Committee with oversight of cybersecurity risk and enterprise risk management, Globe Life Inc., an insurance company, as a member of the Audit Committee, and Oklo Inc., an advanced nuclear technology company. Mr. Kan previously served on the board of Amtrak as a member of the Audit Committee. Mr. Kan holds a B.S. in Business Administration from the University of Southern California, a M.S. in Economic History from the London School of Economics, and an M.B.A. from the Stanford Graduate School of Business, where he was named an Arjay Miller Scholar and Arbuckle Leadership Fellow.</w:t>
      </w:r>
    </w:p>
    <w:p>
      <w:pPr>
        <w:spacing w:after="0" w:line="118" w:lineRule="exact"/>
        <w:rPr>
          <w:sz w:val="20"/>
          <w:szCs w:val="20"/>
          <w:color w:val="auto"/>
        </w:rPr>
      </w:pPr>
    </w:p>
    <w:p>
      <w:pPr>
        <w:ind w:left="580" w:right="739" w:firstLine="349"/>
        <w:spacing w:after="0" w:line="267" w:lineRule="auto"/>
        <w:rPr>
          <w:sz w:val="20"/>
          <w:szCs w:val="20"/>
          <w:color w:val="auto"/>
        </w:rPr>
      </w:pPr>
      <w:r>
        <w:rPr>
          <w:rFonts w:ascii="Times New Roman" w:cs="Times New Roman" w:eastAsia="Times New Roman" w:hAnsi="Times New Roman"/>
          <w:sz w:val="17"/>
          <w:szCs w:val="17"/>
          <w:color w:val="auto"/>
        </w:rPr>
        <w:t>Mr. Kan has extensive experience in technology leadership, having built and scaled technology platforms at Deliverr and Shopify, and in cybersecurity policy from his senior positions in the U.S. federal government, where he oversaw federal IT security posture and directed policy governing networked transportation infrastructure. Mr. Kan also brings significant board governance experience, including cybersecurity risk oversight at public companies.</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8" w:name="page19"/>
    <w:bookmarkEnd w:id="18"/>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Director Nominee Expertise and Experience</w:t>
      </w:r>
    </w:p>
    <w:p>
      <w:pPr>
        <w:spacing w:after="0" w:line="147" w:lineRule="exact"/>
        <w:rPr>
          <w:sz w:val="20"/>
          <w:szCs w:val="20"/>
          <w:color w:val="auto"/>
        </w:rPr>
      </w:pPr>
    </w:p>
    <w:p>
      <w:pPr>
        <w:ind w:left="580" w:right="1079" w:firstLine="349"/>
        <w:spacing w:after="0" w:line="276" w:lineRule="auto"/>
        <w:rPr>
          <w:sz w:val="20"/>
          <w:szCs w:val="20"/>
          <w:color w:val="auto"/>
        </w:rPr>
      </w:pPr>
      <w:r>
        <w:rPr>
          <w:rFonts w:ascii="Times New Roman" w:cs="Times New Roman" w:eastAsia="Times New Roman" w:hAnsi="Times New Roman"/>
          <w:sz w:val="17"/>
          <w:szCs w:val="17"/>
          <w:color w:val="auto"/>
        </w:rPr>
        <w:t>The Board of Directors is and will be comprised of a diverse mix of directors with complementary expertise and experience, as summarized in the table below. Our director nominees may also have limited expertise and experience in addition to what is reflected in the “Number of Directors” column below.</w:t>
      </w:r>
    </w:p>
    <w:p>
      <w:pPr>
        <w:sectPr>
          <w:pgSz w:w="11900" w:h="16838" w:orient="portrait"/>
          <w:cols w:equalWidth="0" w:num="1">
            <w:col w:w="9019"/>
          </w:cols>
          <w:pgMar w:left="1440" w:top="265" w:right="1440" w:bottom="1440" w:gutter="0" w:footer="0" w:header="0"/>
        </w:sectPr>
      </w:pPr>
    </w:p>
    <w:p>
      <w:pPr>
        <w:spacing w:after="0" w:line="200" w:lineRule="exact"/>
        <w:rPr>
          <w:sz w:val="20"/>
          <w:szCs w:val="20"/>
          <w:color w:val="auto"/>
        </w:rPr>
      </w:pPr>
    </w:p>
    <w:p>
      <w:pPr>
        <w:spacing w:after="0" w:line="220" w:lineRule="exact"/>
        <w:rPr>
          <w:sz w:val="20"/>
          <w:szCs w:val="20"/>
          <w:color w:val="auto"/>
        </w:rPr>
      </w:pPr>
    </w:p>
    <w:p>
      <w:pPr>
        <w:ind w:left="580" w:right="60"/>
        <w:spacing w:after="0" w:line="273" w:lineRule="auto"/>
        <w:rPr>
          <w:sz w:val="20"/>
          <w:szCs w:val="20"/>
          <w:color w:val="auto"/>
        </w:rPr>
      </w:pPr>
      <w:r>
        <w:rPr>
          <w:rFonts w:ascii="Times New Roman" w:cs="Times New Roman" w:eastAsia="Times New Roman" w:hAnsi="Times New Roman"/>
          <w:sz w:val="13"/>
          <w:szCs w:val="13"/>
          <w:b w:val="1"/>
          <w:bCs w:val="1"/>
          <w:color w:val="auto"/>
        </w:rPr>
        <w:t>Summary of Expertise, Experience or Attribute</w:t>
      </w:r>
    </w:p>
    <w:p>
      <w:pPr>
        <w:ind w:left="740" w:right="20" w:hanging="174"/>
        <w:spacing w:after="0" w:line="222" w:lineRule="auto"/>
        <w:rPr>
          <w:sz w:val="20"/>
          <w:szCs w:val="20"/>
          <w:color w:val="auto"/>
        </w:rPr>
      </w:pPr>
      <w:r>
        <w:rPr>
          <w:rFonts w:ascii="Times New Roman" w:cs="Times New Roman" w:eastAsia="Times New Roman" w:hAnsi="Times New Roman"/>
          <w:sz w:val="14"/>
          <w:szCs w:val="14"/>
          <w:b w:val="1"/>
          <w:bCs w:val="1"/>
          <w:color w:val="auto"/>
        </w:rPr>
        <w:t xml:space="preserve">Cybersecurity </w:t>
      </w:r>
      <w:r>
        <w:rPr>
          <w:rFonts w:ascii="Times New Roman" w:cs="Times New Roman" w:eastAsia="Times New Roman" w:hAnsi="Times New Roman"/>
          <w:sz w:val="14"/>
          <w:szCs w:val="14"/>
          <w:color w:val="auto"/>
        </w:rPr>
        <w:t>Extensive knowledge of corporate and global issues related to cybersecurity challenges within private and public organizations.</w:t>
      </w:r>
    </w:p>
    <w:p>
      <w:pPr>
        <w:spacing w:after="0" w:line="2" w:lineRule="exact"/>
        <w:rPr>
          <w:sz w:val="20"/>
          <w:szCs w:val="20"/>
          <w:color w:val="auto"/>
        </w:rPr>
      </w:pPr>
    </w:p>
    <w:p>
      <w:pPr>
        <w:ind w:left="740" w:hanging="174"/>
        <w:spacing w:after="0" w:line="219" w:lineRule="auto"/>
        <w:rPr>
          <w:sz w:val="20"/>
          <w:szCs w:val="20"/>
          <w:color w:val="auto"/>
        </w:rPr>
      </w:pPr>
      <w:r>
        <w:rPr>
          <w:rFonts w:ascii="Times New Roman" w:cs="Times New Roman" w:eastAsia="Times New Roman" w:hAnsi="Times New Roman"/>
          <w:sz w:val="14"/>
          <w:szCs w:val="14"/>
          <w:b w:val="1"/>
          <w:bCs w:val="1"/>
          <w:color w:val="auto"/>
        </w:rPr>
        <w:t xml:space="preserve">Technology and Product Development </w:t>
      </w:r>
      <w:r>
        <w:rPr>
          <w:rFonts w:ascii="Times New Roman" w:cs="Times New Roman" w:eastAsia="Times New Roman" w:hAnsi="Times New Roman"/>
          <w:sz w:val="14"/>
          <w:szCs w:val="14"/>
          <w:color w:val="auto"/>
        </w:rPr>
        <w:t>Significant background working in the technology industry, including government sectors, and in management of technology companies; experience in product development, including engineering and design.</w:t>
      </w:r>
    </w:p>
    <w:p>
      <w:pPr>
        <w:spacing w:after="0" w:line="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b w:val="1"/>
          <w:bCs w:val="1"/>
          <w:color w:val="auto"/>
        </w:rPr>
        <w:t>Leadership</w:t>
      </w:r>
    </w:p>
    <w:p>
      <w:pPr>
        <w:ind w:left="740"/>
        <w:spacing w:after="0" w:line="214" w:lineRule="auto"/>
        <w:rPr>
          <w:sz w:val="20"/>
          <w:szCs w:val="20"/>
          <w:color w:val="auto"/>
        </w:rPr>
      </w:pPr>
      <w:r>
        <w:rPr>
          <w:rFonts w:ascii="Times New Roman" w:cs="Times New Roman" w:eastAsia="Times New Roman" w:hAnsi="Times New Roman"/>
          <w:sz w:val="14"/>
          <w:szCs w:val="14"/>
          <w:color w:val="auto"/>
        </w:rPr>
        <w:t>Extensive executive,</w:t>
      </w:r>
    </w:p>
    <w:p>
      <w:pPr>
        <w:ind w:left="740"/>
        <w:spacing w:after="0" w:line="215" w:lineRule="auto"/>
        <w:rPr>
          <w:sz w:val="20"/>
          <w:szCs w:val="20"/>
          <w:color w:val="auto"/>
        </w:rPr>
      </w:pPr>
      <w:r>
        <w:rPr>
          <w:rFonts w:ascii="Times New Roman" w:cs="Times New Roman" w:eastAsia="Times New Roman" w:hAnsi="Times New Roman"/>
          <w:sz w:val="14"/>
          <w:szCs w:val="14"/>
          <w:color w:val="auto"/>
        </w:rPr>
        <w:t>director or</w:t>
      </w:r>
    </w:p>
    <w:p>
      <w:pPr>
        <w:ind w:left="740"/>
        <w:spacing w:after="0" w:line="215" w:lineRule="auto"/>
        <w:rPr>
          <w:sz w:val="20"/>
          <w:szCs w:val="20"/>
          <w:color w:val="auto"/>
        </w:rPr>
      </w:pPr>
      <w:r>
        <w:rPr>
          <w:rFonts w:ascii="Times New Roman" w:cs="Times New Roman" w:eastAsia="Times New Roman" w:hAnsi="Times New Roman"/>
          <w:sz w:val="14"/>
          <w:szCs w:val="14"/>
          <w:color w:val="auto"/>
        </w:rPr>
        <w:t>management</w:t>
      </w:r>
    </w:p>
    <w:p>
      <w:pPr>
        <w:ind w:left="740"/>
        <w:spacing w:after="0" w:line="215" w:lineRule="auto"/>
        <w:rPr>
          <w:sz w:val="20"/>
          <w:szCs w:val="20"/>
          <w:color w:val="auto"/>
        </w:rPr>
      </w:pPr>
      <w:r>
        <w:rPr>
          <w:rFonts w:ascii="Times New Roman" w:cs="Times New Roman" w:eastAsia="Times New Roman" w:hAnsi="Times New Roman"/>
          <w:sz w:val="14"/>
          <w:szCs w:val="14"/>
          <w:color w:val="auto"/>
        </w:rPr>
        <w:t>experience from</w:t>
      </w:r>
    </w:p>
    <w:p>
      <w:pPr>
        <w:ind w:left="740"/>
        <w:spacing w:after="0" w:line="215" w:lineRule="auto"/>
        <w:rPr>
          <w:sz w:val="20"/>
          <w:szCs w:val="20"/>
          <w:color w:val="auto"/>
        </w:rPr>
      </w:pPr>
      <w:r>
        <w:rPr>
          <w:rFonts w:ascii="Times New Roman" w:cs="Times New Roman" w:eastAsia="Times New Roman" w:hAnsi="Times New Roman"/>
          <w:sz w:val="14"/>
          <w:szCs w:val="14"/>
          <w:color w:val="auto"/>
        </w:rPr>
        <w:t>leadership and</w:t>
      </w:r>
    </w:p>
    <w:p>
      <w:pPr>
        <w:ind w:left="740"/>
        <w:spacing w:after="0" w:line="214" w:lineRule="auto"/>
        <w:rPr>
          <w:sz w:val="20"/>
          <w:szCs w:val="20"/>
          <w:color w:val="auto"/>
        </w:rPr>
      </w:pPr>
      <w:r>
        <w:rPr>
          <w:rFonts w:ascii="Times New Roman" w:cs="Times New Roman" w:eastAsia="Times New Roman" w:hAnsi="Times New Roman"/>
          <w:sz w:val="14"/>
          <w:szCs w:val="14"/>
          <w:color w:val="auto"/>
        </w:rPr>
        <w:t>governance roles in</w:t>
      </w:r>
    </w:p>
    <w:p>
      <w:pPr>
        <w:ind w:left="740"/>
        <w:spacing w:after="0" w:line="215" w:lineRule="auto"/>
        <w:rPr>
          <w:sz w:val="20"/>
          <w:szCs w:val="20"/>
          <w:color w:val="auto"/>
        </w:rPr>
      </w:pPr>
      <w:r>
        <w:rPr>
          <w:rFonts w:ascii="Times New Roman" w:cs="Times New Roman" w:eastAsia="Times New Roman" w:hAnsi="Times New Roman"/>
          <w:sz w:val="14"/>
          <w:szCs w:val="14"/>
          <w:color w:val="auto"/>
        </w:rPr>
        <w:t>corporations,</w:t>
      </w:r>
    </w:p>
    <w:p>
      <w:pPr>
        <w:ind w:left="740"/>
        <w:spacing w:after="0" w:line="215" w:lineRule="auto"/>
        <w:rPr>
          <w:sz w:val="20"/>
          <w:szCs w:val="20"/>
          <w:color w:val="auto"/>
        </w:rPr>
      </w:pPr>
      <w:r>
        <w:rPr>
          <w:rFonts w:ascii="Times New Roman" w:cs="Times New Roman" w:eastAsia="Times New Roman" w:hAnsi="Times New Roman"/>
          <w:sz w:val="14"/>
          <w:szCs w:val="14"/>
          <w:color w:val="auto"/>
        </w:rPr>
        <w:t>government or public</w:t>
      </w:r>
    </w:p>
    <w:p>
      <w:pPr>
        <w:ind w:left="740"/>
        <w:spacing w:after="0"/>
        <w:rPr>
          <w:sz w:val="20"/>
          <w:szCs w:val="20"/>
          <w:color w:val="auto"/>
        </w:rPr>
      </w:pPr>
      <w:r>
        <w:rPr>
          <w:rFonts w:ascii="Times New Roman" w:cs="Times New Roman" w:eastAsia="Times New Roman" w:hAnsi="Times New Roman"/>
          <w:sz w:val="14"/>
          <w:szCs w:val="14"/>
          <w:color w:val="auto"/>
        </w:rPr>
        <w:t>organizations.</w:t>
      </w:r>
    </w:p>
    <w:p>
      <w:pPr>
        <w:spacing w:after="0" w:line="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3"/>
          <w:szCs w:val="13"/>
          <w:b w:val="1"/>
          <w:bCs w:val="1"/>
          <w:color w:val="auto"/>
        </w:rPr>
        <w:t>Public Service and Legal</w:t>
      </w:r>
    </w:p>
    <w:p>
      <w:pPr>
        <w:ind w:left="740"/>
        <w:spacing w:after="0" w:line="232" w:lineRule="auto"/>
        <w:rPr>
          <w:sz w:val="20"/>
          <w:szCs w:val="20"/>
          <w:color w:val="auto"/>
        </w:rPr>
      </w:pPr>
      <w:r>
        <w:rPr>
          <w:rFonts w:ascii="Times New Roman" w:cs="Times New Roman" w:eastAsia="Times New Roman" w:hAnsi="Times New Roman"/>
          <w:sz w:val="14"/>
          <w:szCs w:val="14"/>
          <w:color w:val="auto"/>
        </w:rPr>
        <w:t>Dedication to public</w:t>
      </w:r>
    </w:p>
    <w:p>
      <w:pPr>
        <w:ind w:left="740"/>
        <w:spacing w:after="0" w:line="214" w:lineRule="auto"/>
        <w:rPr>
          <w:sz w:val="20"/>
          <w:szCs w:val="20"/>
          <w:color w:val="auto"/>
        </w:rPr>
      </w:pPr>
      <w:r>
        <w:rPr>
          <w:rFonts w:ascii="Times New Roman" w:cs="Times New Roman" w:eastAsia="Times New Roman" w:hAnsi="Times New Roman"/>
          <w:sz w:val="14"/>
          <w:szCs w:val="14"/>
          <w:color w:val="auto"/>
        </w:rPr>
        <w:t>service through</w:t>
      </w:r>
    </w:p>
    <w:p>
      <w:pPr>
        <w:ind w:left="740"/>
        <w:spacing w:after="0" w:line="215" w:lineRule="auto"/>
        <w:rPr>
          <w:sz w:val="20"/>
          <w:szCs w:val="20"/>
          <w:color w:val="auto"/>
        </w:rPr>
      </w:pPr>
      <w:r>
        <w:rPr>
          <w:rFonts w:ascii="Times New Roman" w:cs="Times New Roman" w:eastAsia="Times New Roman" w:hAnsi="Times New Roman"/>
          <w:sz w:val="14"/>
          <w:szCs w:val="14"/>
          <w:color w:val="auto"/>
        </w:rPr>
        <w:t>leadership of</w:t>
      </w:r>
    </w:p>
    <w:p>
      <w:pPr>
        <w:ind w:left="740"/>
        <w:spacing w:after="0" w:line="215" w:lineRule="auto"/>
        <w:rPr>
          <w:sz w:val="20"/>
          <w:szCs w:val="20"/>
          <w:color w:val="auto"/>
        </w:rPr>
      </w:pPr>
      <w:r>
        <w:rPr>
          <w:rFonts w:ascii="Times New Roman" w:cs="Times New Roman" w:eastAsia="Times New Roman" w:hAnsi="Times New Roman"/>
          <w:sz w:val="14"/>
          <w:szCs w:val="14"/>
          <w:color w:val="auto"/>
        </w:rPr>
        <w:t>government, non-</w:t>
      </w:r>
    </w:p>
    <w:p>
      <w:pPr>
        <w:ind w:left="740"/>
        <w:spacing w:after="0" w:line="215" w:lineRule="auto"/>
        <w:rPr>
          <w:sz w:val="20"/>
          <w:szCs w:val="20"/>
          <w:color w:val="auto"/>
        </w:rPr>
      </w:pPr>
      <w:r>
        <w:rPr>
          <w:rFonts w:ascii="Times New Roman" w:cs="Times New Roman" w:eastAsia="Times New Roman" w:hAnsi="Times New Roman"/>
          <w:sz w:val="14"/>
          <w:szCs w:val="14"/>
          <w:color w:val="auto"/>
        </w:rPr>
        <w:t>governmental</w:t>
      </w:r>
    </w:p>
    <w:p>
      <w:pPr>
        <w:ind w:left="740"/>
        <w:spacing w:after="0" w:line="215" w:lineRule="auto"/>
        <w:rPr>
          <w:sz w:val="20"/>
          <w:szCs w:val="20"/>
          <w:color w:val="auto"/>
        </w:rPr>
      </w:pPr>
      <w:r>
        <w:rPr>
          <w:rFonts w:ascii="Times New Roman" w:cs="Times New Roman" w:eastAsia="Times New Roman" w:hAnsi="Times New Roman"/>
          <w:sz w:val="14"/>
          <w:szCs w:val="14"/>
          <w:color w:val="auto"/>
        </w:rPr>
        <w:t>organizations and not-</w:t>
      </w:r>
    </w:p>
    <w:p>
      <w:pPr>
        <w:ind w:left="740"/>
        <w:spacing w:after="0" w:line="214" w:lineRule="auto"/>
        <w:rPr>
          <w:sz w:val="20"/>
          <w:szCs w:val="20"/>
          <w:color w:val="auto"/>
        </w:rPr>
      </w:pPr>
      <w:r>
        <w:rPr>
          <w:rFonts w:ascii="Times New Roman" w:cs="Times New Roman" w:eastAsia="Times New Roman" w:hAnsi="Times New Roman"/>
          <w:sz w:val="14"/>
          <w:szCs w:val="14"/>
          <w:color w:val="auto"/>
        </w:rPr>
        <w:t>for-profit institutions;</w:t>
      </w:r>
    </w:p>
    <w:p>
      <w:pPr>
        <w:ind w:left="740"/>
        <w:spacing w:after="0" w:line="215" w:lineRule="auto"/>
        <w:rPr>
          <w:sz w:val="20"/>
          <w:szCs w:val="20"/>
          <w:color w:val="auto"/>
        </w:rPr>
      </w:pPr>
      <w:r>
        <w:rPr>
          <w:rFonts w:ascii="Times New Roman" w:cs="Times New Roman" w:eastAsia="Times New Roman" w:hAnsi="Times New Roman"/>
          <w:sz w:val="14"/>
          <w:szCs w:val="14"/>
          <w:color w:val="auto"/>
        </w:rPr>
        <w:t>extensive experience in</w:t>
      </w:r>
    </w:p>
    <w:p>
      <w:pPr>
        <w:ind w:left="740"/>
        <w:spacing w:after="0" w:line="215" w:lineRule="auto"/>
        <w:rPr>
          <w:sz w:val="20"/>
          <w:szCs w:val="20"/>
          <w:color w:val="auto"/>
        </w:rPr>
      </w:pPr>
      <w:r>
        <w:rPr>
          <w:rFonts w:ascii="Times New Roman" w:cs="Times New Roman" w:eastAsia="Times New Roman" w:hAnsi="Times New Roman"/>
          <w:sz w:val="14"/>
          <w:szCs w:val="14"/>
          <w:color w:val="auto"/>
        </w:rPr>
        <w:t>legal and compliance</w:t>
      </w:r>
    </w:p>
    <w:p>
      <w:pPr>
        <w:ind w:left="740"/>
        <w:spacing w:after="0"/>
        <w:rPr>
          <w:sz w:val="20"/>
          <w:szCs w:val="20"/>
          <w:color w:val="auto"/>
        </w:rPr>
      </w:pPr>
      <w:r>
        <w:rPr>
          <w:rFonts w:ascii="Times New Roman" w:cs="Times New Roman" w:eastAsia="Times New Roman" w:hAnsi="Times New Roman"/>
          <w:sz w:val="14"/>
          <w:szCs w:val="14"/>
          <w:color w:val="auto"/>
        </w:rPr>
        <w:t>matters.</w:t>
      </w:r>
    </w:p>
    <w:p>
      <w:pPr>
        <w:spacing w:after="0" w:line="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b w:val="1"/>
          <w:bCs w:val="1"/>
          <w:color w:val="auto"/>
        </w:rPr>
        <w:t>Finance</w:t>
      </w:r>
    </w:p>
    <w:p>
      <w:pPr>
        <w:ind w:left="740"/>
        <w:spacing w:after="0" w:line="214" w:lineRule="auto"/>
        <w:rPr>
          <w:sz w:val="20"/>
          <w:szCs w:val="20"/>
          <w:color w:val="auto"/>
        </w:rPr>
      </w:pPr>
      <w:r>
        <w:rPr>
          <w:rFonts w:ascii="Times New Roman" w:cs="Times New Roman" w:eastAsia="Times New Roman" w:hAnsi="Times New Roman"/>
          <w:sz w:val="14"/>
          <w:szCs w:val="14"/>
          <w:color w:val="auto"/>
        </w:rPr>
        <w:t>Leadership of a</w:t>
      </w:r>
    </w:p>
    <w:p>
      <w:pPr>
        <w:ind w:left="740"/>
        <w:spacing w:after="0" w:line="215" w:lineRule="auto"/>
        <w:rPr>
          <w:sz w:val="20"/>
          <w:szCs w:val="20"/>
          <w:color w:val="auto"/>
        </w:rPr>
      </w:pPr>
      <w:r>
        <w:rPr>
          <w:rFonts w:ascii="Times New Roman" w:cs="Times New Roman" w:eastAsia="Times New Roman" w:hAnsi="Times New Roman"/>
          <w:sz w:val="14"/>
          <w:szCs w:val="14"/>
          <w:color w:val="auto"/>
        </w:rPr>
        <w:t>financial firm or</w:t>
      </w:r>
    </w:p>
    <w:p>
      <w:pPr>
        <w:ind w:left="740"/>
        <w:spacing w:after="0" w:line="215" w:lineRule="auto"/>
        <w:rPr>
          <w:sz w:val="20"/>
          <w:szCs w:val="20"/>
          <w:color w:val="auto"/>
        </w:rPr>
      </w:pPr>
      <w:r>
        <w:rPr>
          <w:rFonts w:ascii="Times New Roman" w:cs="Times New Roman" w:eastAsia="Times New Roman" w:hAnsi="Times New Roman"/>
          <w:sz w:val="14"/>
          <w:szCs w:val="14"/>
          <w:color w:val="auto"/>
        </w:rPr>
        <w:t>management of the</w:t>
      </w:r>
    </w:p>
    <w:p>
      <w:pPr>
        <w:ind w:left="740"/>
        <w:spacing w:after="0" w:line="215" w:lineRule="auto"/>
        <w:rPr>
          <w:sz w:val="20"/>
          <w:szCs w:val="20"/>
          <w:color w:val="auto"/>
        </w:rPr>
      </w:pPr>
      <w:r>
        <w:rPr>
          <w:rFonts w:ascii="Times New Roman" w:cs="Times New Roman" w:eastAsia="Times New Roman" w:hAnsi="Times New Roman"/>
          <w:sz w:val="14"/>
          <w:szCs w:val="14"/>
          <w:color w:val="auto"/>
        </w:rPr>
        <w:t>finance function of an</w:t>
      </w:r>
    </w:p>
    <w:p>
      <w:pPr>
        <w:ind w:left="740"/>
        <w:spacing w:after="0" w:line="215" w:lineRule="auto"/>
        <w:rPr>
          <w:sz w:val="20"/>
          <w:szCs w:val="20"/>
          <w:color w:val="auto"/>
        </w:rPr>
      </w:pPr>
      <w:r>
        <w:rPr>
          <w:rFonts w:ascii="Times New Roman" w:cs="Times New Roman" w:eastAsia="Times New Roman" w:hAnsi="Times New Roman"/>
          <w:sz w:val="14"/>
          <w:szCs w:val="14"/>
          <w:color w:val="auto"/>
        </w:rPr>
        <w:t>enterprise, resulting in</w:t>
      </w:r>
    </w:p>
    <w:p>
      <w:pPr>
        <w:ind w:left="740"/>
        <w:spacing w:after="0" w:line="214" w:lineRule="auto"/>
        <w:rPr>
          <w:sz w:val="20"/>
          <w:szCs w:val="20"/>
          <w:color w:val="auto"/>
        </w:rPr>
      </w:pPr>
      <w:r>
        <w:rPr>
          <w:rFonts w:ascii="Times New Roman" w:cs="Times New Roman" w:eastAsia="Times New Roman" w:hAnsi="Times New Roman"/>
          <w:sz w:val="14"/>
          <w:szCs w:val="14"/>
          <w:color w:val="auto"/>
        </w:rPr>
        <w:t>financial proficiency</w:t>
      </w:r>
    </w:p>
    <w:p>
      <w:pPr>
        <w:spacing w:after="0" w:line="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4"/>
          <w:szCs w:val="14"/>
          <w:color w:val="auto"/>
        </w:rPr>
        <w:t>and expertise.</w:t>
      </w:r>
    </w:p>
    <w:p>
      <w:pPr>
        <w:spacing w:after="0" w:line="5" w:lineRule="exact"/>
        <w:rPr>
          <w:sz w:val="20"/>
          <w:szCs w:val="20"/>
          <w:color w:val="auto"/>
        </w:rPr>
      </w:pPr>
    </w:p>
    <w:p>
      <w:pPr>
        <w:ind w:left="740" w:right="20" w:hanging="174"/>
        <w:spacing w:after="0" w:line="224" w:lineRule="auto"/>
        <w:rPr>
          <w:sz w:val="20"/>
          <w:szCs w:val="20"/>
          <w:color w:val="auto"/>
        </w:rPr>
      </w:pPr>
      <w:r>
        <w:rPr>
          <w:rFonts w:ascii="Times New Roman" w:cs="Times New Roman" w:eastAsia="Times New Roman" w:hAnsi="Times New Roman"/>
          <w:sz w:val="14"/>
          <w:szCs w:val="14"/>
          <w:b w:val="1"/>
          <w:bCs w:val="1"/>
          <w:color w:val="auto"/>
        </w:rPr>
        <w:t xml:space="preserve">Sales and Marketing </w:t>
      </w:r>
      <w:r>
        <w:rPr>
          <w:rFonts w:ascii="Times New Roman" w:cs="Times New Roman" w:eastAsia="Times New Roman" w:hAnsi="Times New Roman"/>
          <w:sz w:val="14"/>
          <w:szCs w:val="14"/>
          <w:color w:val="auto"/>
        </w:rPr>
        <w:t>Experience in sales or marketing, and leadership of corporate sales or marketing functions.</w:t>
      </w:r>
    </w:p>
    <w:p>
      <w:pPr>
        <w:spacing w:after="0" w:line="20" w:lineRule="exact"/>
        <w:rPr>
          <w:sz w:val="20"/>
          <w:szCs w:val="20"/>
          <w:color w:val="auto"/>
        </w:rPr>
      </w:pPr>
      <w:r>
        <w:rPr>
          <w:sz w:val="20"/>
          <w:szCs w:val="20"/>
          <w:color w:val="auto"/>
        </w:rPr>
        <w:br w:type="column"/>
      </w:r>
    </w:p>
    <w:p>
      <w:pPr>
        <w:spacing w:after="0" w:line="9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Admiral</w:t>
            </w: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6"/>
              </w:rPr>
              <w:t>Ken</w:t>
            </w:r>
          </w:p>
        </w:tc>
        <w:tc>
          <w:tcPr>
            <w:tcW w:w="5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Michael</w:t>
            </w:r>
          </w:p>
        </w:tc>
        <w:tc>
          <w:tcPr>
            <w:tcW w:w="124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Kenneth A.  Ming</w:t>
            </w:r>
          </w:p>
        </w:tc>
        <w:tc>
          <w:tcPr>
            <w:tcW w:w="3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Jean</w:t>
            </w:r>
          </w:p>
        </w:tc>
        <w:tc>
          <w:tcPr>
            <w:tcW w:w="7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7"/>
              </w:rPr>
              <w:t>Janet</w:t>
            </w:r>
          </w:p>
        </w:tc>
        <w:tc>
          <w:tcPr>
            <w:tcW w:w="5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7"/>
              </w:rPr>
              <w:t>Judith</w:t>
            </w:r>
          </w:p>
        </w:tc>
        <w:tc>
          <w:tcPr>
            <w:tcW w:w="800" w:type="dxa"/>
            <w:vAlign w:val="bottom"/>
            <w:gridSpan w:val="2"/>
          </w:tcPr>
          <w:p>
            <w:pPr>
              <w:jc w:val="center"/>
              <w:ind w:right="120"/>
              <w:spacing w:after="0" w:line="144" w:lineRule="exact"/>
              <w:rPr>
                <w:sz w:val="20"/>
                <w:szCs w:val="20"/>
                <w:color w:val="auto"/>
              </w:rPr>
            </w:pPr>
            <w:r>
              <w:rPr>
                <w:rFonts w:ascii="Times New Roman" w:cs="Times New Roman" w:eastAsia="Times New Roman" w:hAnsi="Times New Roman"/>
                <w:sz w:val="14"/>
                <w:szCs w:val="14"/>
                <w:b w:val="1"/>
                <w:bCs w:val="1"/>
                <w:color w:val="auto"/>
                <w:w w:val="96"/>
              </w:rPr>
              <w:t>James</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Derek</w:t>
            </w:r>
          </w:p>
        </w:tc>
        <w:tc>
          <w:tcPr>
            <w:tcW w:w="0" w:type="dxa"/>
            <w:vAlign w:val="bottom"/>
          </w:tcPr>
          <w:p>
            <w:pPr>
              <w:spacing w:after="0"/>
              <w:rPr>
                <w:sz w:val="1"/>
                <w:szCs w:val="1"/>
                <w:color w:val="auto"/>
              </w:rPr>
            </w:pPr>
          </w:p>
        </w:tc>
      </w:tr>
      <w:tr>
        <w:trPr>
          <w:trHeight w:val="144"/>
        </w:trPr>
        <w:tc>
          <w:tcPr>
            <w:tcW w:w="380" w:type="dxa"/>
            <w:vAlign w:val="bottom"/>
            <w:gridSpan w:val="2"/>
            <w:vMerge w:val="continue"/>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1240" w:type="dxa"/>
            <w:vAlign w:val="bottom"/>
            <w:gridSpan w:val="4"/>
            <w:vMerge w:val="continue"/>
          </w:tcPr>
          <w:p>
            <w:pPr>
              <w:spacing w:after="0"/>
              <w:rPr>
                <w:sz w:val="12"/>
                <w:szCs w:val="12"/>
                <w:color w:val="auto"/>
              </w:rPr>
            </w:pPr>
          </w:p>
        </w:tc>
        <w:tc>
          <w:tcPr>
            <w:tcW w:w="380" w:type="dxa"/>
            <w:vAlign w:val="bottom"/>
            <w:gridSpan w:val="2"/>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500" w:type="dxa"/>
            <w:vAlign w:val="bottom"/>
            <w:gridSpan w:val="2"/>
            <w:vMerge w:val="continue"/>
          </w:tcPr>
          <w:p>
            <w:pPr>
              <w:spacing w:after="0"/>
              <w:rPr>
                <w:sz w:val="12"/>
                <w:szCs w:val="12"/>
                <w:color w:val="auto"/>
              </w:rPr>
            </w:pPr>
          </w:p>
        </w:tc>
        <w:tc>
          <w:tcPr>
            <w:tcW w:w="800" w:type="dxa"/>
            <w:vAlign w:val="bottom"/>
            <w:gridSpan w:val="2"/>
          </w:tcPr>
          <w:p>
            <w:pPr>
              <w:jc w:val="center"/>
              <w:ind w:right="120"/>
              <w:spacing w:after="0" w:line="144" w:lineRule="exact"/>
              <w:rPr>
                <w:sz w:val="20"/>
                <w:szCs w:val="20"/>
                <w:color w:val="auto"/>
              </w:rPr>
            </w:pPr>
            <w:r>
              <w:rPr>
                <w:rFonts w:ascii="Times New Roman" w:cs="Times New Roman" w:eastAsia="Times New Roman" w:hAnsi="Times New Roman"/>
                <w:sz w:val="14"/>
                <w:szCs w:val="14"/>
                <w:b w:val="1"/>
                <w:bCs w:val="1"/>
                <w:color w:val="auto"/>
                <w:w w:val="96"/>
              </w:rPr>
              <w:t>Stavridis</w:t>
            </w:r>
          </w:p>
        </w:tc>
        <w:tc>
          <w:tcPr>
            <w:tcW w:w="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3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Xie</w:t>
            </w:r>
          </w:p>
        </w:tc>
        <w:tc>
          <w:tcPr>
            <w:tcW w:w="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Xie</w:t>
            </w:r>
          </w:p>
        </w:tc>
        <w:tc>
          <w:tcPr>
            <w:tcW w:w="124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Goldman  Hsieh</w:t>
            </w:r>
          </w:p>
        </w:tc>
        <w:tc>
          <w:tcPr>
            <w:tcW w:w="3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6"/>
              </w:rPr>
              <w:t>Hu</w:t>
            </w:r>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6"/>
              </w:rPr>
              <w:t>Napolitano</w:t>
            </w:r>
          </w:p>
        </w:tc>
        <w:tc>
          <w:tcPr>
            <w:tcW w:w="5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4"/>
              </w:rPr>
              <w:t>Sim</w:t>
            </w: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(Ret)</w:t>
            </w: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Kan</w:t>
            </w:r>
          </w:p>
        </w:tc>
        <w:tc>
          <w:tcPr>
            <w:tcW w:w="0" w:type="dxa"/>
            <w:vAlign w:val="bottom"/>
          </w:tcPr>
          <w:p>
            <w:pPr>
              <w:spacing w:after="0"/>
              <w:rPr>
                <w:sz w:val="1"/>
                <w:szCs w:val="1"/>
                <w:color w:val="auto"/>
              </w:rPr>
            </w:pPr>
          </w:p>
        </w:tc>
      </w:tr>
      <w:tr>
        <w:trPr>
          <w:trHeight w:val="23"/>
        </w:trPr>
        <w:tc>
          <w:tcPr>
            <w:tcW w:w="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622"/>
        </w:trPr>
        <w:tc>
          <w:tcPr>
            <w:tcW w:w="38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rPr>
              <w:t>P</w:t>
            </w:r>
          </w:p>
        </w:tc>
        <w:tc>
          <w:tcPr>
            <w:tcW w:w="58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rPr>
              <w:t>P</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rPr>
              <w:t>P</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rPr>
              <w:t>P</w:t>
            </w:r>
          </w:p>
        </w:tc>
        <w:tc>
          <w:tcPr>
            <w:tcW w:w="700" w:type="dxa"/>
            <w:vAlign w:val="bottom"/>
          </w:tcPr>
          <w:p>
            <w:pPr>
              <w:jc w:val="center"/>
              <w:spacing w:after="0"/>
              <w:rPr>
                <w:sz w:val="20"/>
                <w:szCs w:val="20"/>
                <w:color w:val="auto"/>
              </w:rPr>
            </w:pPr>
            <w:r>
              <w:rPr>
                <w:rFonts w:ascii="Arial" w:cs="Arial" w:eastAsia="Arial" w:hAnsi="Arial"/>
                <w:sz w:val="11"/>
                <w:szCs w:val="11"/>
                <w:b w:val="1"/>
                <w:bCs w:val="1"/>
                <w:color w:val="auto"/>
              </w:rPr>
              <w:t>P</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-1019175</wp:posOffset>
            </wp:positionH>
            <wp:positionV relativeFrom="paragraph">
              <wp:posOffset>-407035</wp:posOffset>
            </wp:positionV>
            <wp:extent cx="4990465" cy="7651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990465" cy="765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80"/>
        <w:spacing w:after="0"/>
        <w:tabs>
          <w:tab w:leader="none" w:pos="560" w:val="left"/>
          <w:tab w:leader="none" w:pos="1220" w:val="left"/>
          <w:tab w:leader="none" w:pos="1840" w:val="left"/>
          <w:tab w:leader="none" w:pos="2280" w:val="left"/>
          <w:tab w:leader="none" w:pos="2840" w:val="left"/>
          <w:tab w:leader="none" w:pos="3480" w:val="left"/>
          <w:tab w:leader="none" w:pos="4120" w:val="left"/>
          <w:tab w:leader="none" w:pos="4920" w:val="left"/>
        </w:tabs>
        <w:rPr>
          <w:sz w:val="20"/>
          <w:szCs w:val="20"/>
          <w:color w:val="auto"/>
        </w:rPr>
      </w:pPr>
      <w:r>
        <w:rPr>
          <w:rFonts w:ascii="Arial" w:cs="Arial" w:eastAsia="Arial" w:hAnsi="Arial"/>
          <w:sz w:val="11"/>
          <w:szCs w:val="11"/>
          <w:b w:val="1"/>
          <w:bCs w:val="1"/>
          <w:color w:val="auto"/>
        </w:rPr>
        <w:t>P</w:t>
      </w:r>
      <w:r>
        <w:rPr>
          <w:sz w:val="20"/>
          <w:szCs w:val="20"/>
          <w:color w:val="auto"/>
        </w:rPr>
        <w:tab/>
      </w:r>
      <w:r>
        <w:rPr>
          <w:rFonts w:ascii="Arial" w:cs="Arial" w:eastAsia="Arial" w:hAnsi="Arial"/>
          <w:sz w:val="11"/>
          <w:szCs w:val="11"/>
          <w:b w:val="1"/>
          <w:bCs w:val="1"/>
          <w:color w:val="auto"/>
        </w:rPr>
        <w:t>P</w:t>
      </w:r>
      <w:r>
        <w:rPr>
          <w:sz w:val="20"/>
          <w:szCs w:val="20"/>
          <w:color w:val="auto"/>
        </w:rPr>
        <w:tab/>
      </w:r>
      <w:r>
        <w:rPr>
          <w:rFonts w:ascii="Arial" w:cs="Arial" w:eastAsia="Arial" w:hAnsi="Arial"/>
          <w:sz w:val="11"/>
          <w:szCs w:val="11"/>
          <w:b w:val="1"/>
          <w:bCs w:val="1"/>
          <w:color w:val="auto"/>
        </w:rPr>
        <w:t>P</w:t>
      </w:r>
      <w:r>
        <w:rPr>
          <w:sz w:val="20"/>
          <w:szCs w:val="20"/>
          <w:color w:val="auto"/>
        </w:rPr>
        <w:tab/>
      </w:r>
      <w:r>
        <w:rPr>
          <w:rFonts w:ascii="Arial" w:cs="Arial" w:eastAsia="Arial" w:hAnsi="Arial"/>
          <w:sz w:val="11"/>
          <w:szCs w:val="11"/>
          <w:b w:val="1"/>
          <w:bCs w:val="1"/>
          <w:color w:val="auto"/>
        </w:rPr>
        <w:t>P</w:t>
      </w:r>
      <w:r>
        <w:rPr>
          <w:sz w:val="20"/>
          <w:szCs w:val="20"/>
          <w:color w:val="auto"/>
        </w:rPr>
        <w:tab/>
      </w:r>
      <w:r>
        <w:rPr>
          <w:rFonts w:ascii="Arial" w:cs="Arial" w:eastAsia="Arial" w:hAnsi="Arial"/>
          <w:sz w:val="11"/>
          <w:szCs w:val="11"/>
          <w:b w:val="1"/>
          <w:bCs w:val="1"/>
          <w:color w:val="auto"/>
        </w:rPr>
        <w:t>P</w:t>
      </w:r>
      <w:r>
        <w:rPr>
          <w:sz w:val="20"/>
          <w:szCs w:val="20"/>
          <w:color w:val="auto"/>
        </w:rPr>
        <w:tab/>
      </w:r>
      <w:r>
        <w:rPr>
          <w:rFonts w:ascii="Arial" w:cs="Arial" w:eastAsia="Arial" w:hAnsi="Arial"/>
          <w:sz w:val="11"/>
          <w:szCs w:val="11"/>
          <w:b w:val="1"/>
          <w:bCs w:val="1"/>
          <w:color w:val="auto"/>
        </w:rPr>
        <w:t>P</w:t>
      </w:r>
      <w:r>
        <w:rPr>
          <w:sz w:val="20"/>
          <w:szCs w:val="20"/>
          <w:color w:val="auto"/>
        </w:rPr>
        <w:tab/>
      </w:r>
      <w:r>
        <w:rPr>
          <w:rFonts w:ascii="Arial" w:cs="Arial" w:eastAsia="Arial" w:hAnsi="Arial"/>
          <w:sz w:val="11"/>
          <w:szCs w:val="11"/>
          <w:b w:val="1"/>
          <w:bCs w:val="1"/>
          <w:color w:val="auto"/>
        </w:rPr>
        <w:t>P</w:t>
      </w:r>
      <w:r>
        <w:rPr>
          <w:sz w:val="20"/>
          <w:szCs w:val="20"/>
          <w:color w:val="auto"/>
        </w:rPr>
        <w:tab/>
      </w:r>
      <w:r>
        <w:rPr>
          <w:rFonts w:ascii="Arial" w:cs="Arial" w:eastAsia="Arial" w:hAnsi="Arial"/>
          <w:sz w:val="11"/>
          <w:szCs w:val="11"/>
          <w:b w:val="1"/>
          <w:bCs w:val="1"/>
          <w:color w:val="auto"/>
        </w:rPr>
        <w:t>P</w:t>
      </w:r>
      <w:r>
        <w:rPr>
          <w:sz w:val="20"/>
          <w:szCs w:val="20"/>
          <w:color w:val="auto"/>
        </w:rPr>
        <w:tab/>
      </w:r>
      <w:r>
        <w:rPr>
          <w:rFonts w:ascii="Arial" w:cs="Arial" w:eastAsia="Arial" w:hAnsi="Arial"/>
          <w:sz w:val="11"/>
          <w:szCs w:val="11"/>
          <w:b w:val="1"/>
          <w:bCs w:val="1"/>
          <w:color w:val="auto"/>
        </w:rPr>
        <w:t>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-1019175</wp:posOffset>
            </wp:positionH>
            <wp:positionV relativeFrom="paragraph">
              <wp:posOffset>620395</wp:posOffset>
            </wp:positionV>
            <wp:extent cx="4990465" cy="9398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990465" cy="939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80"/>
        <w:spacing w:after="0"/>
        <w:tabs>
          <w:tab w:leader="none" w:pos="560" w:val="left"/>
          <w:tab w:leader="none" w:pos="1220" w:val="left"/>
          <w:tab w:leader="none" w:pos="1840" w:val="left"/>
          <w:tab w:leader="none" w:pos="2280" w:val="left"/>
          <w:tab w:leader="none" w:pos="2840" w:val="left"/>
          <w:tab w:leader="none" w:pos="3480" w:val="left"/>
          <w:tab w:leader="none" w:pos="4120" w:val="left"/>
          <w:tab w:leader="none" w:pos="4920" w:val="left"/>
        </w:tabs>
        <w:rPr>
          <w:sz w:val="20"/>
          <w:szCs w:val="20"/>
          <w:color w:val="auto"/>
        </w:rPr>
      </w:pPr>
      <w:r>
        <w:rPr>
          <w:rFonts w:ascii="Arial" w:cs="Arial" w:eastAsia="Arial" w:hAnsi="Arial"/>
          <w:sz w:val="11"/>
          <w:szCs w:val="11"/>
          <w:b w:val="1"/>
          <w:bCs w:val="1"/>
          <w:color w:val="auto"/>
        </w:rPr>
        <w:t>P</w:t>
      </w:r>
      <w:r>
        <w:rPr>
          <w:sz w:val="20"/>
          <w:szCs w:val="20"/>
          <w:color w:val="auto"/>
        </w:rPr>
        <w:tab/>
      </w:r>
      <w:r>
        <w:rPr>
          <w:rFonts w:ascii="Arial" w:cs="Arial" w:eastAsia="Arial" w:hAnsi="Arial"/>
          <w:sz w:val="11"/>
          <w:szCs w:val="11"/>
          <w:b w:val="1"/>
          <w:bCs w:val="1"/>
          <w:color w:val="auto"/>
        </w:rPr>
        <w:t>P</w:t>
      </w:r>
      <w:r>
        <w:rPr>
          <w:sz w:val="20"/>
          <w:szCs w:val="20"/>
          <w:color w:val="auto"/>
        </w:rPr>
        <w:tab/>
      </w:r>
      <w:r>
        <w:rPr>
          <w:rFonts w:ascii="Arial" w:cs="Arial" w:eastAsia="Arial" w:hAnsi="Arial"/>
          <w:sz w:val="11"/>
          <w:szCs w:val="11"/>
          <w:b w:val="1"/>
          <w:bCs w:val="1"/>
          <w:color w:val="auto"/>
        </w:rPr>
        <w:t>P</w:t>
      </w:r>
      <w:r>
        <w:rPr>
          <w:sz w:val="20"/>
          <w:szCs w:val="20"/>
          <w:color w:val="auto"/>
        </w:rPr>
        <w:tab/>
      </w:r>
      <w:r>
        <w:rPr>
          <w:rFonts w:ascii="Arial" w:cs="Arial" w:eastAsia="Arial" w:hAnsi="Arial"/>
          <w:sz w:val="11"/>
          <w:szCs w:val="11"/>
          <w:b w:val="1"/>
          <w:bCs w:val="1"/>
          <w:color w:val="auto"/>
        </w:rPr>
        <w:t>P</w:t>
      </w:r>
      <w:r>
        <w:rPr>
          <w:sz w:val="20"/>
          <w:szCs w:val="20"/>
          <w:color w:val="auto"/>
        </w:rPr>
        <w:tab/>
      </w:r>
      <w:r>
        <w:rPr>
          <w:rFonts w:ascii="Arial" w:cs="Arial" w:eastAsia="Arial" w:hAnsi="Arial"/>
          <w:sz w:val="11"/>
          <w:szCs w:val="11"/>
          <w:b w:val="1"/>
          <w:bCs w:val="1"/>
          <w:color w:val="auto"/>
        </w:rPr>
        <w:t>P</w:t>
      </w:r>
      <w:r>
        <w:rPr>
          <w:sz w:val="20"/>
          <w:szCs w:val="20"/>
          <w:color w:val="auto"/>
        </w:rPr>
        <w:tab/>
      </w:r>
      <w:r>
        <w:rPr>
          <w:rFonts w:ascii="Arial" w:cs="Arial" w:eastAsia="Arial" w:hAnsi="Arial"/>
          <w:sz w:val="11"/>
          <w:szCs w:val="11"/>
          <w:b w:val="1"/>
          <w:bCs w:val="1"/>
          <w:color w:val="auto"/>
        </w:rPr>
        <w:t>P</w:t>
      </w:r>
      <w:r>
        <w:rPr>
          <w:sz w:val="20"/>
          <w:szCs w:val="20"/>
          <w:color w:val="auto"/>
        </w:rPr>
        <w:tab/>
      </w:r>
      <w:r>
        <w:rPr>
          <w:rFonts w:ascii="Arial" w:cs="Arial" w:eastAsia="Arial" w:hAnsi="Arial"/>
          <w:sz w:val="11"/>
          <w:szCs w:val="11"/>
          <w:b w:val="1"/>
          <w:bCs w:val="1"/>
          <w:color w:val="auto"/>
        </w:rPr>
        <w:t>P</w:t>
      </w:r>
      <w:r>
        <w:rPr>
          <w:sz w:val="20"/>
          <w:szCs w:val="20"/>
          <w:color w:val="auto"/>
        </w:rPr>
        <w:tab/>
      </w:r>
      <w:r>
        <w:rPr>
          <w:rFonts w:ascii="Arial" w:cs="Arial" w:eastAsia="Arial" w:hAnsi="Arial"/>
          <w:sz w:val="11"/>
          <w:szCs w:val="11"/>
          <w:b w:val="1"/>
          <w:bCs w:val="1"/>
          <w:color w:val="auto"/>
        </w:rPr>
        <w:t>P</w:t>
      </w:r>
      <w:r>
        <w:rPr>
          <w:sz w:val="20"/>
          <w:szCs w:val="20"/>
          <w:color w:val="auto"/>
        </w:rPr>
        <w:tab/>
      </w:r>
      <w:r>
        <w:rPr>
          <w:rFonts w:ascii="Arial" w:cs="Arial" w:eastAsia="Arial" w:hAnsi="Arial"/>
          <w:sz w:val="11"/>
          <w:szCs w:val="11"/>
          <w:b w:val="1"/>
          <w:bCs w:val="1"/>
          <w:color w:val="auto"/>
        </w:rPr>
        <w:t>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80"/>
        <w:spacing w:after="0"/>
        <w:tabs>
          <w:tab w:leader="none" w:pos="1220" w:val="left"/>
          <w:tab w:leader="none" w:pos="2840" w:val="left"/>
          <w:tab w:leader="none" w:pos="4120" w:val="left"/>
          <w:tab w:leader="none" w:pos="4920" w:val="left"/>
        </w:tabs>
        <w:rPr>
          <w:sz w:val="20"/>
          <w:szCs w:val="20"/>
          <w:color w:val="auto"/>
        </w:rPr>
      </w:pPr>
      <w:r>
        <w:rPr>
          <w:rFonts w:ascii="Arial" w:cs="Arial" w:eastAsia="Arial" w:hAnsi="Arial"/>
          <w:sz w:val="11"/>
          <w:szCs w:val="11"/>
          <w:b w:val="1"/>
          <w:bCs w:val="1"/>
          <w:color w:val="auto"/>
        </w:rPr>
        <w:t>P</w:t>
      </w:r>
      <w:r>
        <w:rPr>
          <w:sz w:val="20"/>
          <w:szCs w:val="20"/>
          <w:color w:val="auto"/>
        </w:rPr>
        <w:tab/>
      </w:r>
      <w:r>
        <w:rPr>
          <w:rFonts w:ascii="Arial" w:cs="Arial" w:eastAsia="Arial" w:hAnsi="Arial"/>
          <w:sz w:val="11"/>
          <w:szCs w:val="11"/>
          <w:b w:val="1"/>
          <w:bCs w:val="1"/>
          <w:color w:val="auto"/>
        </w:rPr>
        <w:t>P</w:t>
      </w:r>
      <w:r>
        <w:rPr>
          <w:sz w:val="20"/>
          <w:szCs w:val="20"/>
          <w:color w:val="auto"/>
        </w:rPr>
        <w:tab/>
      </w:r>
      <w:r>
        <w:rPr>
          <w:rFonts w:ascii="Arial" w:cs="Arial" w:eastAsia="Arial" w:hAnsi="Arial"/>
          <w:sz w:val="11"/>
          <w:szCs w:val="11"/>
          <w:b w:val="1"/>
          <w:bCs w:val="1"/>
          <w:color w:val="auto"/>
        </w:rPr>
        <w:t>P</w:t>
      </w:r>
      <w:r>
        <w:rPr>
          <w:sz w:val="20"/>
          <w:szCs w:val="20"/>
          <w:color w:val="auto"/>
        </w:rPr>
        <w:tab/>
      </w:r>
      <w:r>
        <w:rPr>
          <w:rFonts w:ascii="Arial" w:cs="Arial" w:eastAsia="Arial" w:hAnsi="Arial"/>
          <w:sz w:val="11"/>
          <w:szCs w:val="11"/>
          <w:b w:val="1"/>
          <w:bCs w:val="1"/>
          <w:color w:val="auto"/>
        </w:rPr>
        <w:t>P</w:t>
      </w:r>
      <w:r>
        <w:rPr>
          <w:sz w:val="20"/>
          <w:szCs w:val="20"/>
          <w:color w:val="auto"/>
        </w:rPr>
        <w:tab/>
      </w:r>
      <w:r>
        <w:rPr>
          <w:rFonts w:ascii="Arial" w:cs="Arial" w:eastAsia="Arial" w:hAnsi="Arial"/>
          <w:sz w:val="11"/>
          <w:szCs w:val="11"/>
          <w:b w:val="1"/>
          <w:bCs w:val="1"/>
          <w:color w:val="auto"/>
        </w:rPr>
        <w:t>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-1019175</wp:posOffset>
            </wp:positionH>
            <wp:positionV relativeFrom="paragraph">
              <wp:posOffset>528955</wp:posOffset>
            </wp:positionV>
            <wp:extent cx="4990465" cy="7569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990465" cy="756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ind w:left="1240"/>
        <w:spacing w:after="0"/>
        <w:tabs>
          <w:tab w:leader="none" w:pos="1840" w:val="left"/>
          <w:tab w:leader="none" w:pos="2280" w:val="left"/>
          <w:tab w:leader="none" w:pos="4920" w:val="left"/>
        </w:tabs>
        <w:rPr>
          <w:sz w:val="20"/>
          <w:szCs w:val="20"/>
          <w:color w:val="auto"/>
        </w:rPr>
      </w:pPr>
      <w:r>
        <w:rPr>
          <w:rFonts w:ascii="Arial" w:cs="Arial" w:eastAsia="Arial" w:hAnsi="Arial"/>
          <w:sz w:val="11"/>
          <w:szCs w:val="11"/>
          <w:b w:val="1"/>
          <w:bCs w:val="1"/>
          <w:color w:val="auto"/>
        </w:rPr>
        <w:t>P</w:t>
      </w:r>
      <w:r>
        <w:rPr>
          <w:sz w:val="20"/>
          <w:szCs w:val="20"/>
          <w:color w:val="auto"/>
        </w:rPr>
        <w:tab/>
      </w:r>
      <w:r>
        <w:rPr>
          <w:rFonts w:ascii="Arial" w:cs="Arial" w:eastAsia="Arial" w:hAnsi="Arial"/>
          <w:sz w:val="11"/>
          <w:szCs w:val="11"/>
          <w:b w:val="1"/>
          <w:bCs w:val="1"/>
          <w:color w:val="auto"/>
        </w:rPr>
        <w:t>P</w:t>
      </w:r>
      <w:r>
        <w:rPr>
          <w:sz w:val="20"/>
          <w:szCs w:val="20"/>
          <w:color w:val="auto"/>
        </w:rPr>
        <w:tab/>
      </w:r>
      <w:r>
        <w:rPr>
          <w:rFonts w:ascii="Arial" w:cs="Arial" w:eastAsia="Arial" w:hAnsi="Arial"/>
          <w:sz w:val="11"/>
          <w:szCs w:val="11"/>
          <w:b w:val="1"/>
          <w:bCs w:val="1"/>
          <w:color w:val="auto"/>
        </w:rPr>
        <w:t>P</w:t>
      </w:r>
      <w:r>
        <w:rPr>
          <w:sz w:val="20"/>
          <w:szCs w:val="20"/>
          <w:color w:val="auto"/>
        </w:rPr>
        <w:tab/>
      </w:r>
      <w:r>
        <w:rPr>
          <w:rFonts w:ascii="Arial" w:cs="Arial" w:eastAsia="Arial" w:hAnsi="Arial"/>
          <w:sz w:val="11"/>
          <w:szCs w:val="11"/>
          <w:b w:val="1"/>
          <w:bCs w:val="1"/>
          <w:color w:val="auto"/>
        </w:rPr>
        <w:t>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both"/>
        <w:ind w:left="3500"/>
        <w:spacing w:after="0"/>
        <w:tabs>
          <w:tab w:leader="none" w:pos="4920" w:val="left"/>
        </w:tabs>
        <w:rPr>
          <w:sz w:val="20"/>
          <w:szCs w:val="20"/>
          <w:color w:val="auto"/>
        </w:rPr>
      </w:pPr>
      <w:r>
        <w:rPr>
          <w:rFonts w:ascii="Arial" w:cs="Arial" w:eastAsia="Arial" w:hAnsi="Arial"/>
          <w:sz w:val="11"/>
          <w:szCs w:val="11"/>
          <w:b w:val="1"/>
          <w:bCs w:val="1"/>
          <w:color w:val="auto"/>
        </w:rPr>
        <w:t>P</w:t>
      </w:r>
      <w:r>
        <w:rPr>
          <w:sz w:val="20"/>
          <w:szCs w:val="20"/>
          <w:color w:val="auto"/>
        </w:rPr>
        <w:tab/>
      </w:r>
      <w:r>
        <w:rPr>
          <w:rFonts w:ascii="Arial" w:cs="Arial" w:eastAsia="Arial" w:hAnsi="Arial"/>
          <w:sz w:val="11"/>
          <w:szCs w:val="11"/>
          <w:b w:val="1"/>
          <w:bCs w:val="1"/>
          <w:color w:val="auto"/>
        </w:rPr>
        <w:t>P</w:t>
      </w:r>
    </w:p>
    <w:p>
      <w:pPr>
        <w:spacing w:after="0" w:line="20" w:lineRule="exact"/>
        <w:rPr>
          <w:sz w:val="20"/>
          <w:szCs w:val="20"/>
          <w:color w:val="auto"/>
        </w:rPr>
      </w:pPr>
      <w:r>
        <w:rPr>
          <w:sz w:val="20"/>
          <w:szCs w:val="20"/>
          <w:color w:val="auto"/>
        </w:rPr>
        <w:br w:type="column"/>
      </w:r>
    </w:p>
    <w:p>
      <w:pPr>
        <w:spacing w:after="0" w:line="400" w:lineRule="exact"/>
        <w:rPr>
          <w:sz w:val="20"/>
          <w:szCs w:val="20"/>
          <w:color w:val="auto"/>
        </w:rPr>
      </w:pPr>
    </w:p>
    <w:p>
      <w:pPr>
        <w:jc w:val="right"/>
        <w:ind w:right="679"/>
        <w:spacing w:after="0"/>
        <w:rPr>
          <w:sz w:val="20"/>
          <w:szCs w:val="20"/>
          <w:color w:val="auto"/>
        </w:rPr>
      </w:pPr>
      <w:r>
        <w:rPr>
          <w:rFonts w:ascii="Times New Roman" w:cs="Times New Roman" w:eastAsia="Times New Roman" w:hAnsi="Times New Roman"/>
          <w:sz w:val="14"/>
          <w:szCs w:val="14"/>
          <w:b w:val="1"/>
          <w:bCs w:val="1"/>
          <w:color w:val="auto"/>
        </w:rPr>
        <w:t>Number of</w:t>
      </w:r>
    </w:p>
    <w:p>
      <w:pPr>
        <w:spacing w:after="0" w:line="1" w:lineRule="exact"/>
        <w:rPr>
          <w:sz w:val="20"/>
          <w:szCs w:val="20"/>
          <w:color w:val="auto"/>
        </w:rPr>
      </w:pPr>
    </w:p>
    <w:p>
      <w:pPr>
        <w:jc w:val="right"/>
        <w:ind w:right="719"/>
        <w:spacing w:after="0"/>
        <w:rPr>
          <w:sz w:val="20"/>
          <w:szCs w:val="20"/>
          <w:color w:val="auto"/>
        </w:rPr>
      </w:pPr>
      <w:r>
        <w:rPr>
          <w:rFonts w:ascii="Times New Roman" w:cs="Times New Roman" w:eastAsia="Times New Roman" w:hAnsi="Times New Roman"/>
          <w:sz w:val="14"/>
          <w:szCs w:val="14"/>
          <w:b w:val="1"/>
          <w:bCs w:val="1"/>
          <w:color w:val="auto"/>
        </w:rPr>
        <w:t>Directors</w:t>
      </w:r>
    </w:p>
    <w:p>
      <w:pPr>
        <w:spacing w:after="0" w:line="200" w:lineRule="exact"/>
        <w:rPr>
          <w:sz w:val="20"/>
          <w:szCs w:val="20"/>
          <w:color w:val="auto"/>
        </w:rPr>
      </w:pPr>
    </w:p>
    <w:p>
      <w:pPr>
        <w:spacing w:after="0" w:line="31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b w:val="1"/>
          <w:bCs w:val="1"/>
          <w:color w:val="auto"/>
        </w:rPr>
        <w:t>5 of 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b w:val="1"/>
          <w:bCs w:val="1"/>
          <w:color w:val="auto"/>
        </w:rPr>
        <w:t>9 of 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b w:val="1"/>
          <w:bCs w:val="1"/>
          <w:color w:val="auto"/>
        </w:rPr>
        <w:t>9 of 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b w:val="1"/>
          <w:bCs w:val="1"/>
          <w:color w:val="auto"/>
        </w:rPr>
        <w:t>5 of 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b w:val="1"/>
          <w:bCs w:val="1"/>
          <w:color w:val="auto"/>
        </w:rPr>
        <w:t>4 of 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b w:val="1"/>
          <w:bCs w:val="1"/>
          <w:color w:val="auto"/>
        </w:rPr>
        <w:t>2 of 9</w:t>
      </w:r>
    </w:p>
    <w:p>
      <w:pPr>
        <w:spacing w:after="0" w:line="565" w:lineRule="exact"/>
        <w:rPr>
          <w:sz w:val="20"/>
          <w:szCs w:val="20"/>
          <w:color w:val="auto"/>
        </w:rPr>
      </w:pPr>
    </w:p>
    <w:p>
      <w:pPr>
        <w:sectPr>
          <w:pgSz w:w="11900" w:h="16838" w:orient="portrait"/>
          <w:cols w:equalWidth="0" w:num="3">
            <w:col w:w="2060" w:space="120"/>
            <w:col w:w="5340" w:space="160"/>
            <w:col w:w="1339"/>
          </w:cols>
          <w:pgMar w:left="1440" w:top="265" w:right="1440"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9" w:name="page20"/>
    <w:bookmarkEnd w:id="19"/>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Director Nominee Tenure and Age Distribution</w:t>
      </w:r>
    </w:p>
    <w:p>
      <w:pPr>
        <w:spacing w:after="0" w:line="147" w:lineRule="exact"/>
        <w:rPr>
          <w:sz w:val="20"/>
          <w:szCs w:val="20"/>
          <w:color w:val="auto"/>
        </w:rPr>
      </w:pPr>
    </w:p>
    <w:p>
      <w:pPr>
        <w:ind w:left="580" w:right="639" w:firstLine="349"/>
        <w:spacing w:after="0" w:line="266" w:lineRule="auto"/>
        <w:rPr>
          <w:sz w:val="20"/>
          <w:szCs w:val="20"/>
          <w:color w:val="auto"/>
        </w:rPr>
      </w:pPr>
      <w:r>
        <w:rPr>
          <w:rFonts w:ascii="Times New Roman" w:cs="Times New Roman" w:eastAsia="Times New Roman" w:hAnsi="Times New Roman"/>
          <w:sz w:val="17"/>
          <w:szCs w:val="17"/>
          <w:color w:val="auto"/>
        </w:rPr>
        <w:t>We also believe that our current Board of Directors composition represents an effective balance with respect to director tenure and age. Recent director additions provide the Board of Directors with fresh perspectives and diverse experiences, while directors with longer tenure provide continuity and valuable insight into our business and strategy. The following tables provide information regarding the current tenure and age distribution of the Director Nominees (as of March 31, 2026), assuming Mr. Kan is elected to the Board of Directors.</w:t>
      </w:r>
    </w:p>
    <w:p>
      <w:pPr>
        <w:spacing w:after="0" w:line="200" w:lineRule="exact"/>
        <w:rPr>
          <w:sz w:val="20"/>
          <w:szCs w:val="20"/>
          <w:color w:val="auto"/>
        </w:rPr>
      </w:pPr>
    </w:p>
    <w:p>
      <w:pPr>
        <w:spacing w:after="0" w:line="243" w:lineRule="exact"/>
        <w:rPr>
          <w:sz w:val="20"/>
          <w:szCs w:val="20"/>
          <w:color w:val="auto"/>
        </w:rPr>
      </w:pPr>
    </w:p>
    <w:tbl>
      <w:tblPr>
        <w:tblLayout w:type="fixed"/>
        <w:tblInd w:w="580" w:type="dxa"/>
        <w:tblCellMar>
          <w:top w:w="0" w:type="dxa"/>
          <w:left w:w="0" w:type="dxa"/>
          <w:bottom w:w="0" w:type="dxa"/>
          <w:right w:w="0" w:type="dxa"/>
        </w:tblCellMar>
      </w:tblPr>
      <w:tr>
        <w:trPr>
          <w:trHeight w:val="184"/>
        </w:trPr>
        <w:tc>
          <w:tcPr>
            <w:tcW w:w="1980" w:type="dxa"/>
            <w:vAlign w:val="bottom"/>
            <w:gridSpan w:val="2"/>
          </w:tcPr>
          <w:p>
            <w:pPr>
              <w:ind w:left="700"/>
              <w:spacing w:after="0"/>
              <w:rPr>
                <w:sz w:val="20"/>
                <w:szCs w:val="20"/>
                <w:color w:val="auto"/>
              </w:rPr>
            </w:pPr>
            <w:r>
              <w:rPr>
                <w:rFonts w:ascii="Times New Roman" w:cs="Times New Roman" w:eastAsia="Times New Roman" w:hAnsi="Times New Roman"/>
                <w:sz w:val="14"/>
                <w:szCs w:val="14"/>
                <w:b w:val="1"/>
                <w:bCs w:val="1"/>
                <w:color w:val="auto"/>
              </w:rPr>
              <w:t>Tenure</w:t>
            </w:r>
          </w:p>
        </w:tc>
        <w:tc>
          <w:tcPr>
            <w:tcW w:w="19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Number of Directors</w:t>
            </w:r>
          </w:p>
        </w:tc>
        <w:tc>
          <w:tcPr>
            <w:tcW w:w="19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4"/>
              </w:rPr>
              <w:t>Age</w:t>
            </w:r>
          </w:p>
        </w:tc>
        <w:tc>
          <w:tcPr>
            <w:tcW w:w="1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Number of Directors</w:t>
            </w:r>
          </w:p>
        </w:tc>
      </w:tr>
      <w:tr>
        <w:trPr>
          <w:trHeight w:val="23"/>
        </w:trPr>
        <w:tc>
          <w:tcPr>
            <w:tcW w:w="1860" w:type="dxa"/>
            <w:vAlign w:val="bottom"/>
            <w:tcBorders>
              <w:bottom w:val="single" w:sz="8" w:color="auto"/>
            </w:tcBorders>
          </w:tcPr>
          <w:p>
            <w:pPr>
              <w:spacing w:after="0"/>
              <w:rPr>
                <w:sz w:val="2"/>
                <w:szCs w:val="2"/>
                <w:color w:val="auto"/>
              </w:rPr>
            </w:pPr>
          </w:p>
        </w:tc>
        <w:tc>
          <w:tcPr>
            <w:tcW w:w="120" w:type="dxa"/>
            <w:vAlign w:val="bottom"/>
            <w:tcBorders>
              <w:bottom w:val="single" w:sz="8" w:color="CDE9F6"/>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Borders>
              <w:bottom w:val="single" w:sz="8" w:color="CDE9F6"/>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80" w:type="dxa"/>
            <w:vAlign w:val="bottom"/>
            <w:tcBorders>
              <w:bottom w:val="single" w:sz="8" w:color="CDE9F6"/>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35"/>
        </w:trPr>
        <w:tc>
          <w:tcPr>
            <w:tcW w:w="1860" w:type="dxa"/>
            <w:vAlign w:val="bottom"/>
            <w:tcBorders>
              <w:bottom w:val="single" w:sz="8" w:color="CDE9F6"/>
            </w:tcBorders>
            <w:shd w:val="clear" w:color="auto" w:fill="CDE9F6"/>
          </w:tcPr>
          <w:p>
            <w:pPr>
              <w:jc w:val="center"/>
              <w:spacing w:after="0"/>
              <w:rPr>
                <w:sz w:val="20"/>
                <w:szCs w:val="20"/>
                <w:color w:val="auto"/>
              </w:rPr>
            </w:pPr>
            <w:r>
              <w:rPr>
                <w:rFonts w:ascii="Times New Roman" w:cs="Times New Roman" w:eastAsia="Times New Roman" w:hAnsi="Times New Roman"/>
                <w:sz w:val="17"/>
                <w:szCs w:val="17"/>
                <w:color w:val="auto"/>
              </w:rPr>
              <w:t>More than 10 years</w:t>
            </w:r>
          </w:p>
        </w:tc>
        <w:tc>
          <w:tcPr>
            <w:tcW w:w="120" w:type="dxa"/>
            <w:vAlign w:val="bottom"/>
            <w:tcBorders>
              <w:bottom w:val="single" w:sz="8" w:color="CDE9F6"/>
            </w:tcBorders>
            <w:shd w:val="clear" w:color="auto" w:fill="CDE9F6"/>
          </w:tcPr>
          <w:p>
            <w:pPr>
              <w:spacing w:after="0"/>
              <w:rPr>
                <w:sz w:val="20"/>
                <w:szCs w:val="20"/>
                <w:color w:val="auto"/>
              </w:rPr>
            </w:pPr>
          </w:p>
        </w:tc>
        <w:tc>
          <w:tcPr>
            <w:tcW w:w="1860" w:type="dxa"/>
            <w:vAlign w:val="bottom"/>
            <w:tcBorders>
              <w:bottom w:val="single" w:sz="8" w:color="CDE9F6"/>
            </w:tcBorders>
            <w:shd w:val="clear" w:color="auto" w:fill="CDE9F6"/>
          </w:tcPr>
          <w:p>
            <w:pPr>
              <w:jc w:val="center"/>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tcBorders>
              <w:bottom w:val="single" w:sz="8" w:color="CDE9F6"/>
            </w:tcBorders>
            <w:shd w:val="clear" w:color="auto" w:fill="CDE9F6"/>
          </w:tcPr>
          <w:p>
            <w:pPr>
              <w:spacing w:after="0"/>
              <w:rPr>
                <w:sz w:val="20"/>
                <w:szCs w:val="20"/>
                <w:color w:val="auto"/>
              </w:rPr>
            </w:pPr>
          </w:p>
        </w:tc>
        <w:tc>
          <w:tcPr>
            <w:tcW w:w="1860" w:type="dxa"/>
            <w:vAlign w:val="bottom"/>
            <w:tcBorders>
              <w:bottom w:val="single" w:sz="8" w:color="CDE9F6"/>
            </w:tcBorders>
            <w:shd w:val="clear" w:color="auto" w:fill="CDE9F6"/>
          </w:tcPr>
          <w:p>
            <w:pPr>
              <w:jc w:val="center"/>
              <w:spacing w:after="0"/>
              <w:rPr>
                <w:sz w:val="20"/>
                <w:szCs w:val="20"/>
                <w:color w:val="auto"/>
              </w:rPr>
            </w:pPr>
            <w:r>
              <w:rPr>
                <w:rFonts w:ascii="Times New Roman" w:cs="Times New Roman" w:eastAsia="Times New Roman" w:hAnsi="Times New Roman"/>
                <w:sz w:val="17"/>
                <w:szCs w:val="17"/>
                <w:color w:val="auto"/>
              </w:rPr>
              <w:t>71+ years</w:t>
            </w:r>
          </w:p>
        </w:tc>
        <w:tc>
          <w:tcPr>
            <w:tcW w:w="80" w:type="dxa"/>
            <w:vAlign w:val="bottom"/>
            <w:tcBorders>
              <w:bottom w:val="single" w:sz="8" w:color="CDE9F6"/>
            </w:tcBorders>
            <w:shd w:val="clear" w:color="auto" w:fill="CDE9F6"/>
          </w:tcPr>
          <w:p>
            <w:pPr>
              <w:spacing w:after="0"/>
              <w:rPr>
                <w:sz w:val="20"/>
                <w:szCs w:val="20"/>
                <w:color w:val="auto"/>
              </w:rPr>
            </w:pPr>
          </w:p>
        </w:tc>
        <w:tc>
          <w:tcPr>
            <w:tcW w:w="1980" w:type="dxa"/>
            <w:vAlign w:val="bottom"/>
            <w:tcBorders>
              <w:bottom w:val="single" w:sz="8" w:color="CDE9F6"/>
            </w:tcBorders>
            <w:shd w:val="clear" w:color="auto" w:fill="CDE9F6"/>
          </w:tcPr>
          <w:p>
            <w:pPr>
              <w:jc w:val="center"/>
              <w:spacing w:after="0"/>
              <w:rPr>
                <w:sz w:val="20"/>
                <w:szCs w:val="20"/>
                <w:color w:val="auto"/>
              </w:rPr>
            </w:pPr>
            <w:r>
              <w:rPr>
                <w:rFonts w:ascii="Times New Roman" w:cs="Times New Roman" w:eastAsia="Times New Roman" w:hAnsi="Times New Roman"/>
                <w:sz w:val="17"/>
                <w:szCs w:val="17"/>
                <w:color w:val="auto"/>
              </w:rPr>
              <w:t>2</w:t>
            </w:r>
          </w:p>
        </w:tc>
      </w:tr>
      <w:tr>
        <w:trPr>
          <w:trHeight w:val="235"/>
        </w:trPr>
        <w:tc>
          <w:tcPr>
            <w:tcW w:w="198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6 – 10 years</w:t>
            </w:r>
          </w:p>
        </w:tc>
        <w:tc>
          <w:tcPr>
            <w:tcW w:w="18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Pr>
          <w:p>
            <w:pPr>
              <w:spacing w:after="0"/>
              <w:rPr>
                <w:sz w:val="20"/>
                <w:szCs w:val="20"/>
                <w:color w:val="auto"/>
              </w:rPr>
            </w:pPr>
          </w:p>
        </w:tc>
        <w:tc>
          <w:tcPr>
            <w:tcW w:w="194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61 – 70 years</w:t>
            </w:r>
          </w:p>
        </w:tc>
        <w:tc>
          <w:tcPr>
            <w:tcW w:w="19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w:t>
            </w:r>
          </w:p>
        </w:tc>
      </w:tr>
      <w:tr>
        <w:trPr>
          <w:trHeight w:val="40"/>
        </w:trPr>
        <w:tc>
          <w:tcPr>
            <w:tcW w:w="1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980" w:type="dxa"/>
            <w:vAlign w:val="bottom"/>
          </w:tcPr>
          <w:p>
            <w:pPr>
              <w:spacing w:after="0"/>
              <w:rPr>
                <w:sz w:val="3"/>
                <w:szCs w:val="3"/>
                <w:color w:val="auto"/>
              </w:rPr>
            </w:pPr>
          </w:p>
        </w:tc>
      </w:tr>
      <w:tr>
        <w:trPr>
          <w:trHeight w:val="235"/>
        </w:trPr>
        <w:tc>
          <w:tcPr>
            <w:tcW w:w="1980" w:type="dxa"/>
            <w:vAlign w:val="bottom"/>
            <w:gridSpan w:val="2"/>
            <w:shd w:val="clear" w:color="auto" w:fill="CDE9F6"/>
          </w:tcPr>
          <w:p>
            <w:pPr>
              <w:jc w:val="center"/>
              <w:ind w:right="100"/>
              <w:spacing w:after="0"/>
              <w:rPr>
                <w:sz w:val="20"/>
                <w:szCs w:val="20"/>
                <w:color w:val="auto"/>
              </w:rPr>
            </w:pPr>
            <w:r>
              <w:rPr>
                <w:rFonts w:ascii="Times New Roman" w:cs="Times New Roman" w:eastAsia="Times New Roman" w:hAnsi="Times New Roman"/>
                <w:sz w:val="17"/>
                <w:szCs w:val="17"/>
                <w:color w:val="auto"/>
              </w:rPr>
              <w:t>0 – 5 years</w:t>
            </w:r>
          </w:p>
        </w:tc>
        <w:tc>
          <w:tcPr>
            <w:tcW w:w="1860" w:type="dxa"/>
            <w:vAlign w:val="bottom"/>
            <w:shd w:val="clear" w:color="auto" w:fill="CDE9F6"/>
          </w:tcPr>
          <w:p>
            <w:pPr>
              <w:jc w:val="center"/>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shd w:val="clear" w:color="auto" w:fill="CDE9F6"/>
          </w:tcPr>
          <w:p>
            <w:pPr>
              <w:spacing w:after="0"/>
              <w:rPr>
                <w:sz w:val="20"/>
                <w:szCs w:val="20"/>
                <w:color w:val="auto"/>
              </w:rPr>
            </w:pPr>
          </w:p>
        </w:tc>
        <w:tc>
          <w:tcPr>
            <w:tcW w:w="1940" w:type="dxa"/>
            <w:vAlign w:val="bottom"/>
            <w:gridSpan w:val="2"/>
            <w:shd w:val="clear" w:color="auto" w:fill="CDE9F6"/>
          </w:tcPr>
          <w:p>
            <w:pPr>
              <w:jc w:val="center"/>
              <w:ind w:right="80"/>
              <w:spacing w:after="0"/>
              <w:rPr>
                <w:sz w:val="20"/>
                <w:szCs w:val="20"/>
                <w:color w:val="auto"/>
              </w:rPr>
            </w:pPr>
            <w:r>
              <w:rPr>
                <w:rFonts w:ascii="Times New Roman" w:cs="Times New Roman" w:eastAsia="Times New Roman" w:hAnsi="Times New Roman"/>
                <w:sz w:val="17"/>
                <w:szCs w:val="17"/>
                <w:color w:val="auto"/>
              </w:rPr>
              <w:t>40 – 60 years</w:t>
            </w:r>
          </w:p>
        </w:tc>
        <w:tc>
          <w:tcPr>
            <w:tcW w:w="1980" w:type="dxa"/>
            <w:vAlign w:val="bottom"/>
            <w:shd w:val="clear" w:color="auto" w:fill="CDE9F6"/>
          </w:tcPr>
          <w:p>
            <w:pPr>
              <w:jc w:val="center"/>
              <w:spacing w:after="0"/>
              <w:rPr>
                <w:sz w:val="20"/>
                <w:szCs w:val="20"/>
                <w:color w:val="auto"/>
              </w:rPr>
            </w:pPr>
            <w:r>
              <w:rPr>
                <w:rFonts w:ascii="Times New Roman" w:cs="Times New Roman" w:eastAsia="Times New Roman" w:hAnsi="Times New Roman"/>
                <w:sz w:val="17"/>
                <w:szCs w:val="17"/>
                <w:color w:val="auto"/>
              </w:rPr>
              <w:t>3</w:t>
            </w:r>
          </w:p>
        </w:tc>
      </w:tr>
      <w:tr>
        <w:trPr>
          <w:trHeight w:val="40"/>
        </w:trPr>
        <w:tc>
          <w:tcPr>
            <w:tcW w:w="1860" w:type="dxa"/>
            <w:vAlign w:val="bottom"/>
            <w:shd w:val="clear" w:color="auto" w:fill="CDE9F6"/>
          </w:tcPr>
          <w:p>
            <w:pPr>
              <w:spacing w:after="0"/>
              <w:rPr>
                <w:sz w:val="3"/>
                <w:szCs w:val="3"/>
                <w:color w:val="auto"/>
              </w:rPr>
            </w:pPr>
          </w:p>
        </w:tc>
        <w:tc>
          <w:tcPr>
            <w:tcW w:w="120" w:type="dxa"/>
            <w:vAlign w:val="bottom"/>
            <w:shd w:val="clear" w:color="auto" w:fill="CDE9F6"/>
          </w:tcPr>
          <w:p>
            <w:pPr>
              <w:spacing w:after="0"/>
              <w:rPr>
                <w:sz w:val="3"/>
                <w:szCs w:val="3"/>
                <w:color w:val="auto"/>
              </w:rPr>
            </w:pPr>
          </w:p>
        </w:tc>
        <w:tc>
          <w:tcPr>
            <w:tcW w:w="1860" w:type="dxa"/>
            <w:vAlign w:val="bottom"/>
            <w:shd w:val="clear" w:color="auto" w:fill="CDE9F6"/>
          </w:tcPr>
          <w:p>
            <w:pPr>
              <w:spacing w:after="0"/>
              <w:rPr>
                <w:sz w:val="3"/>
                <w:szCs w:val="3"/>
                <w:color w:val="auto"/>
              </w:rPr>
            </w:pPr>
          </w:p>
        </w:tc>
        <w:tc>
          <w:tcPr>
            <w:tcW w:w="100" w:type="dxa"/>
            <w:vAlign w:val="bottom"/>
            <w:shd w:val="clear" w:color="auto" w:fill="CDE9F6"/>
          </w:tcPr>
          <w:p>
            <w:pPr>
              <w:spacing w:after="0"/>
              <w:rPr>
                <w:sz w:val="3"/>
                <w:szCs w:val="3"/>
                <w:color w:val="auto"/>
              </w:rPr>
            </w:pPr>
          </w:p>
        </w:tc>
        <w:tc>
          <w:tcPr>
            <w:tcW w:w="1860" w:type="dxa"/>
            <w:vAlign w:val="bottom"/>
            <w:shd w:val="clear" w:color="auto" w:fill="CDE9F6"/>
          </w:tcPr>
          <w:p>
            <w:pPr>
              <w:spacing w:after="0"/>
              <w:rPr>
                <w:sz w:val="3"/>
                <w:szCs w:val="3"/>
                <w:color w:val="auto"/>
              </w:rPr>
            </w:pPr>
          </w:p>
        </w:tc>
        <w:tc>
          <w:tcPr>
            <w:tcW w:w="80" w:type="dxa"/>
            <w:vAlign w:val="bottom"/>
            <w:shd w:val="clear" w:color="auto" w:fill="CDE9F6"/>
          </w:tcPr>
          <w:p>
            <w:pPr>
              <w:spacing w:after="0"/>
              <w:rPr>
                <w:sz w:val="3"/>
                <w:szCs w:val="3"/>
                <w:color w:val="auto"/>
              </w:rPr>
            </w:pPr>
          </w:p>
        </w:tc>
        <w:tc>
          <w:tcPr>
            <w:tcW w:w="1980" w:type="dxa"/>
            <w:vAlign w:val="bottom"/>
            <w:shd w:val="clear" w:color="auto" w:fill="CDE9F6"/>
          </w:tcPr>
          <w:p>
            <w:pPr>
              <w:spacing w:after="0"/>
              <w:rPr>
                <w:sz w:val="3"/>
                <w:szCs w:val="3"/>
                <w:color w:val="auto"/>
              </w:rPr>
            </w:pPr>
          </w:p>
        </w:tc>
      </w:tr>
    </w:tbl>
    <w:p>
      <w:pPr>
        <w:spacing w:after="0" w:line="18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Board Evaluations</w:t>
      </w:r>
    </w:p>
    <w:p>
      <w:pPr>
        <w:spacing w:after="0" w:line="147" w:lineRule="exact"/>
        <w:rPr>
          <w:sz w:val="20"/>
          <w:szCs w:val="20"/>
          <w:color w:val="auto"/>
        </w:rPr>
      </w:pPr>
    </w:p>
    <w:p>
      <w:pPr>
        <w:ind w:left="580" w:right="619" w:firstLine="349"/>
        <w:spacing w:after="0" w:line="261" w:lineRule="auto"/>
        <w:rPr>
          <w:sz w:val="20"/>
          <w:szCs w:val="20"/>
          <w:color w:val="auto"/>
        </w:rPr>
      </w:pPr>
      <w:r>
        <w:rPr>
          <w:rFonts w:ascii="Times New Roman" w:cs="Times New Roman" w:eastAsia="Times New Roman" w:hAnsi="Times New Roman"/>
          <w:sz w:val="17"/>
          <w:szCs w:val="17"/>
          <w:color w:val="auto"/>
        </w:rPr>
        <w:t>The Board of Directors is committed to a robust self-evaluation process designed for continuous improvement. To achieve this, the Board of Directors conducts an annual self-evaluation for itself and its committees. As part of this process, each member of the Board of Directors completes a survey conducted by a third-party consulting firm to provide feedback and/or individually meets with the consulting firm to discuss the processes, structure, composition and effectiveness of the Board of Directors. The evaluation process is designed to help the Board of Directors assess the performance of the Board of Directors and its committees, their own individual performance and the individual performances of fellow directors. The third-party consulting firm also collects feedback on the Board of Directors as a whole and each individual director from key members of management. The feedback received from the Board of Directors and management is shared first with the Governance and Social Responsibility Committee and then made available to the individual directors and the full Board of Directors.</w:t>
      </w:r>
    </w:p>
    <w:p>
      <w:pPr>
        <w:spacing w:after="0" w:line="11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7"/>
          <w:szCs w:val="17"/>
          <w:color w:val="auto"/>
        </w:rPr>
        <w:t>The Board of Directors evaluation process is used:</w:t>
      </w:r>
    </w:p>
    <w:p>
      <w:pPr>
        <w:spacing w:after="0" w:line="158" w:lineRule="exact"/>
        <w:rPr>
          <w:sz w:val="20"/>
          <w:szCs w:val="20"/>
          <w:color w:val="auto"/>
        </w:rPr>
      </w:pPr>
    </w:p>
    <w:p>
      <w:pPr>
        <w:ind w:left="1100" w:right="579" w:hanging="176"/>
        <w:spacing w:after="0" w:line="276" w:lineRule="auto"/>
        <w:tabs>
          <w:tab w:leader="none" w:pos="1117"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the Board of Directors and the Governance and Social Responsibility Committee to assess the current composition of the Board of Directors and its committees and make recommendations for the qualifications, expertise and characteristics we should seek in identifying potential new directors;</w:t>
      </w:r>
    </w:p>
    <w:p>
      <w:pPr>
        <w:spacing w:after="0" w:line="85" w:lineRule="exact"/>
        <w:rPr>
          <w:rFonts w:ascii="Times New Roman" w:cs="Times New Roman" w:eastAsia="Times New Roman" w:hAnsi="Times New Roman"/>
          <w:sz w:val="17"/>
          <w:szCs w:val="17"/>
          <w:color w:val="auto"/>
        </w:rPr>
      </w:pPr>
    </w:p>
    <w:p>
      <w:pPr>
        <w:ind w:left="1100" w:right="679" w:hanging="176"/>
        <w:spacing w:after="0" w:line="276" w:lineRule="auto"/>
        <w:tabs>
          <w:tab w:leader="none" w:pos="1117"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the Board of Directors and the Governance and Social Responsibility Committee to identify the strengths and areas of opportunity of each member of the Board of Directors, the Board as a whole, and each committee;</w:t>
      </w:r>
    </w:p>
    <w:p>
      <w:pPr>
        <w:spacing w:after="0" w:line="98" w:lineRule="exact"/>
        <w:rPr>
          <w:rFonts w:ascii="Times New Roman" w:cs="Times New Roman" w:eastAsia="Times New Roman" w:hAnsi="Times New Roman"/>
          <w:sz w:val="17"/>
          <w:szCs w:val="17"/>
          <w:color w:val="auto"/>
        </w:rPr>
      </w:pPr>
    </w:p>
    <w:p>
      <w:pPr>
        <w:ind w:left="1100" w:right="839" w:hanging="176"/>
        <w:spacing w:after="0" w:line="296" w:lineRule="auto"/>
        <w:tabs>
          <w:tab w:leader="none" w:pos="1117"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the Board of Directors to provide insight into how the Board as a whole, each committee and each member of the Board of Directors can be most valuable;</w:t>
      </w:r>
    </w:p>
    <w:p>
      <w:pPr>
        <w:spacing w:after="0" w:line="81" w:lineRule="exact"/>
        <w:rPr>
          <w:rFonts w:ascii="Times New Roman" w:cs="Times New Roman" w:eastAsia="Times New Roman" w:hAnsi="Times New Roman"/>
          <w:sz w:val="17"/>
          <w:szCs w:val="17"/>
          <w:color w:val="auto"/>
        </w:rPr>
      </w:pPr>
    </w:p>
    <w:p>
      <w:pPr>
        <w:ind w:left="1100" w:right="719" w:hanging="176"/>
        <w:spacing w:after="0" w:line="296" w:lineRule="auto"/>
        <w:tabs>
          <w:tab w:leader="none" w:pos="1117"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improve agenda topics of the Board of Directors and its committees so that information they receive enables them to effectively address the issues they consider most critical; and</w:t>
      </w:r>
    </w:p>
    <w:p>
      <w:pPr>
        <w:spacing w:after="0" w:line="67" w:lineRule="exact"/>
        <w:rPr>
          <w:rFonts w:ascii="Times New Roman" w:cs="Times New Roman" w:eastAsia="Times New Roman" w:hAnsi="Times New Roman"/>
          <w:sz w:val="17"/>
          <w:szCs w:val="17"/>
          <w:color w:val="auto"/>
        </w:rPr>
      </w:pPr>
    </w:p>
    <w:p>
      <w:pPr>
        <w:jc w:val="both"/>
        <w:ind w:left="1100" w:right="739" w:hanging="176"/>
        <w:spacing w:after="0" w:line="276" w:lineRule="auto"/>
        <w:tabs>
          <w:tab w:leader="none" w:pos="1117"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the Governance and Social Responsibility Committee as part of its annual review of each director’s performance when considering whether to recommend the nomination of the director for re-election to the Board of Directors.</w:t>
      </w:r>
    </w:p>
    <w:p>
      <w:pPr>
        <w:spacing w:after="0" w:line="96" w:lineRule="exact"/>
        <w:rPr>
          <w:sz w:val="20"/>
          <w:szCs w:val="20"/>
          <w:color w:val="auto"/>
        </w:rPr>
      </w:pPr>
    </w:p>
    <w:p>
      <w:pPr>
        <w:ind w:left="580" w:right="679" w:firstLine="349"/>
        <w:spacing w:after="0" w:line="299" w:lineRule="auto"/>
        <w:rPr>
          <w:sz w:val="20"/>
          <w:szCs w:val="20"/>
          <w:color w:val="auto"/>
        </w:rPr>
      </w:pPr>
      <w:r>
        <w:rPr>
          <w:rFonts w:ascii="Times New Roman" w:cs="Times New Roman" w:eastAsia="Times New Roman" w:hAnsi="Times New Roman"/>
          <w:sz w:val="17"/>
          <w:szCs w:val="17"/>
          <w:color w:val="auto"/>
        </w:rPr>
        <w:t>See “</w:t>
      </w:r>
      <w:r>
        <w:rPr>
          <w:rFonts w:ascii="Times New Roman" w:cs="Times New Roman" w:eastAsia="Times New Roman" w:hAnsi="Times New Roman"/>
          <w:sz w:val="17"/>
          <w:szCs w:val="17"/>
          <w:i w:val="1"/>
          <w:iCs w:val="1"/>
          <w:color w:val="auto"/>
        </w:rPr>
        <w:t>Corporate Governance</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i w:val="1"/>
          <w:iCs w:val="1"/>
          <w:color w:val="auto"/>
        </w:rPr>
        <w:t>Executive Compensation — Compensation of Directors</w:t>
      </w:r>
      <w:r>
        <w:rPr>
          <w:rFonts w:ascii="Times New Roman" w:cs="Times New Roman" w:eastAsia="Times New Roman" w:hAnsi="Times New Roman"/>
          <w:sz w:val="17"/>
          <w:szCs w:val="17"/>
          <w:color w:val="auto"/>
        </w:rPr>
        <w:t>” for additional information regarding the Board of Directors.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0" w:name="page21"/>
    <w:bookmarkEnd w:id="20"/>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PROPOSAL TWO</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RATIFICATION OF APPOINTMENT OF</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INDEPENDENT REGISTERED PUBLIC ACCOUNTING FIRM</w:t>
      </w:r>
    </w:p>
    <w:p>
      <w:pPr>
        <w:spacing w:after="0" w:line="20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General</w:t>
      </w:r>
    </w:p>
    <w:p>
      <w:pPr>
        <w:spacing w:after="0" w:line="147" w:lineRule="exact"/>
        <w:rPr>
          <w:sz w:val="20"/>
          <w:szCs w:val="20"/>
          <w:color w:val="auto"/>
        </w:rPr>
      </w:pPr>
    </w:p>
    <w:p>
      <w:pPr>
        <w:ind w:left="580" w:right="599" w:firstLine="349"/>
        <w:spacing w:after="0" w:line="265" w:lineRule="auto"/>
        <w:rPr>
          <w:sz w:val="20"/>
          <w:szCs w:val="20"/>
          <w:color w:val="auto"/>
        </w:rPr>
      </w:pPr>
      <w:r>
        <w:rPr>
          <w:rFonts w:ascii="Times New Roman" w:cs="Times New Roman" w:eastAsia="Times New Roman" w:hAnsi="Times New Roman"/>
          <w:sz w:val="17"/>
          <w:szCs w:val="17"/>
          <w:color w:val="auto"/>
        </w:rPr>
        <w:t>The Audit Committee of the Board of Directors (the “Audit Committee”) has selected Deloitte &amp; Touche LLP as Fortinet’s independent registered public accounting firm to audit the financial statements of Fortinet for the fiscal year ending December 31, 2026, which will include an audit of the effectiveness of Fortinet’s internal control over financial reporting. A representative of Deloitte &amp; Touche LLP is expected to be present at the 2026 Annual Meeting, will have the opportunity to make a statement if such representative desires to do so and is expected to be available to respond to appropriate questions.</w:t>
      </w:r>
    </w:p>
    <w:p>
      <w:pPr>
        <w:spacing w:after="0" w:line="106" w:lineRule="exact"/>
        <w:rPr>
          <w:sz w:val="20"/>
          <w:szCs w:val="20"/>
          <w:color w:val="auto"/>
        </w:rPr>
      </w:pPr>
    </w:p>
    <w:p>
      <w:pPr>
        <w:ind w:left="580" w:right="699" w:firstLine="349"/>
        <w:spacing w:after="0" w:line="267" w:lineRule="auto"/>
        <w:rPr>
          <w:sz w:val="20"/>
          <w:szCs w:val="20"/>
          <w:color w:val="auto"/>
        </w:rPr>
      </w:pPr>
      <w:r>
        <w:rPr>
          <w:rFonts w:ascii="Times New Roman" w:cs="Times New Roman" w:eastAsia="Times New Roman" w:hAnsi="Times New Roman"/>
          <w:sz w:val="17"/>
          <w:szCs w:val="17"/>
          <w:color w:val="auto"/>
        </w:rPr>
        <w:t>If the appointment is not ratified, the Audit Committee will consider whether it should select other independent auditors. Even if the appointment is ratified, the Audit Committee, in its discretion, may direct the appointment of a different independent registered public accounting firm as Fortinet’s independent auditors at any time during the year if the Audit Committee determines that such a change would be in Fortinet’s and its stockholders’ best interests.</w:t>
      </w:r>
    </w:p>
    <w:p>
      <w:pPr>
        <w:spacing w:after="0" w:line="103" w:lineRule="exact"/>
        <w:rPr>
          <w:sz w:val="20"/>
          <w:szCs w:val="20"/>
          <w:color w:val="auto"/>
        </w:rPr>
      </w:pPr>
    </w:p>
    <w:p>
      <w:pPr>
        <w:jc w:val="center"/>
        <w:ind w:left="574" w:right="594"/>
        <w:spacing w:after="0" w:line="278" w:lineRule="auto"/>
        <w:rPr>
          <w:sz w:val="20"/>
          <w:szCs w:val="20"/>
          <w:color w:val="auto"/>
        </w:rPr>
      </w:pPr>
      <w:r>
        <w:rPr>
          <w:rFonts w:ascii="Times New Roman" w:cs="Times New Roman" w:eastAsia="Times New Roman" w:hAnsi="Times New Roman"/>
          <w:sz w:val="17"/>
          <w:szCs w:val="17"/>
          <w:b w:val="1"/>
          <w:bCs w:val="1"/>
          <w:color w:val="auto"/>
        </w:rPr>
        <w:t>THE BOARD OF DIRECTORS RECOMMENDS A VOTE “FOR” THE RATIFICATION OF THE APPOINTMENT OF DELOITTE &amp; TOUCHE LLP AS FORTINET’S INDEPENDENT REGISTERED PUBLIC ACCOUNTING FIRM FOR THE FISCAL YEAR ENDING DECEMBER 31, 2026.</w:t>
      </w:r>
    </w:p>
    <w:p>
      <w:pPr>
        <w:spacing w:after="0" w:line="15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Principal Accounting Fees and Services</w:t>
      </w:r>
    </w:p>
    <w:p>
      <w:pPr>
        <w:spacing w:after="0" w:line="147" w:lineRule="exact"/>
        <w:rPr>
          <w:sz w:val="20"/>
          <w:szCs w:val="20"/>
          <w:color w:val="auto"/>
        </w:rPr>
      </w:pPr>
    </w:p>
    <w:p>
      <w:pPr>
        <w:ind w:left="580" w:right="1059" w:firstLine="349"/>
        <w:spacing w:after="0" w:line="296" w:lineRule="auto"/>
        <w:rPr>
          <w:sz w:val="20"/>
          <w:szCs w:val="20"/>
          <w:color w:val="auto"/>
        </w:rPr>
      </w:pPr>
      <w:r>
        <w:rPr>
          <w:rFonts w:ascii="Times New Roman" w:cs="Times New Roman" w:eastAsia="Times New Roman" w:hAnsi="Times New Roman"/>
          <w:sz w:val="17"/>
          <w:szCs w:val="17"/>
          <w:color w:val="auto"/>
        </w:rPr>
        <w:t>The following table presents fees billed for professional audit services and other services rendered to Fortinet by Deloitte &amp; Touche LLP for the years ended December 31, 2025 and December 31, 2024.</w:t>
      </w:r>
    </w:p>
    <w:p>
      <w:pPr>
        <w:spacing w:after="0" w:line="206" w:lineRule="exact"/>
        <w:rPr>
          <w:sz w:val="20"/>
          <w:szCs w:val="20"/>
          <w:color w:val="auto"/>
        </w:rPr>
      </w:pPr>
    </w:p>
    <w:tbl>
      <w:tblPr>
        <w:tblLayout w:type="fixed"/>
        <w:tblInd w:w="580" w:type="dxa"/>
        <w:tblCellMar>
          <w:top w:w="0" w:type="dxa"/>
          <w:left w:w="0" w:type="dxa"/>
          <w:bottom w:w="0" w:type="dxa"/>
          <w:right w:w="0" w:type="dxa"/>
        </w:tblCellMar>
      </w:tblPr>
      <w:tr>
        <w:trPr>
          <w:trHeight w:val="184"/>
        </w:trPr>
        <w:tc>
          <w:tcPr>
            <w:tcW w:w="5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5380" w:type="dxa"/>
            <w:vAlign w:val="bottom"/>
            <w:tcBorders>
              <w:bottom w:val="single" w:sz="8" w:color="D9EDFA"/>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D9EDFA"/>
            </w:tcBorders>
          </w:tcPr>
          <w:p>
            <w:pPr>
              <w:spacing w:after="0"/>
              <w:rPr>
                <w:sz w:val="2"/>
                <w:szCs w:val="2"/>
                <w:color w:val="auto"/>
              </w:rPr>
            </w:pPr>
          </w:p>
        </w:tc>
        <w:tc>
          <w:tcPr>
            <w:tcW w:w="20" w:type="dxa"/>
            <w:vAlign w:val="bottom"/>
            <w:tcBorders>
              <w:bottom w:val="single" w:sz="8" w:color="D9EDFA"/>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5"/>
        </w:trPr>
        <w:tc>
          <w:tcPr>
            <w:tcW w:w="5380" w:type="dxa"/>
            <w:vAlign w:val="bottom"/>
            <w:shd w:val="clear" w:color="auto" w:fill="D9EDFA"/>
          </w:tcPr>
          <w:p>
            <w:pPr>
              <w:spacing w:after="0"/>
              <w:rPr>
                <w:sz w:val="20"/>
                <w:szCs w:val="20"/>
                <w:color w:val="auto"/>
              </w:rPr>
            </w:pPr>
            <w:r>
              <w:rPr>
                <w:rFonts w:ascii="Times New Roman" w:cs="Times New Roman" w:eastAsia="Times New Roman" w:hAnsi="Times New Roman"/>
                <w:sz w:val="17"/>
                <w:szCs w:val="17"/>
                <w:color w:val="auto"/>
              </w:rPr>
              <w:t>Audit Fees</w:t>
            </w:r>
            <w:r>
              <w:rPr>
                <w:rFonts w:ascii="Times New Roman" w:cs="Times New Roman" w:eastAsia="Times New Roman" w:hAnsi="Times New Roman"/>
                <w:sz w:val="20"/>
                <w:szCs w:val="20"/>
                <w:color w:val="auto"/>
                <w:vertAlign w:val="superscript"/>
              </w:rPr>
              <w:t>(1)</w:t>
            </w:r>
          </w:p>
        </w:tc>
        <w:tc>
          <w:tcPr>
            <w:tcW w:w="260" w:type="dxa"/>
            <w:vAlign w:val="bottom"/>
            <w:shd w:val="clear" w:color="auto" w:fill="D9EDFA"/>
          </w:tcPr>
          <w:p>
            <w:pPr>
              <w:jc w:val="right"/>
              <w:ind w:right="93"/>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D9EDFA"/>
          </w:tcPr>
          <w:p>
            <w:pPr>
              <w:jc w:val="right"/>
              <w:spacing w:after="0"/>
              <w:rPr>
                <w:sz w:val="20"/>
                <w:szCs w:val="20"/>
                <w:color w:val="auto"/>
              </w:rPr>
            </w:pPr>
            <w:r>
              <w:rPr>
                <w:rFonts w:ascii="Times New Roman" w:cs="Times New Roman" w:eastAsia="Times New Roman" w:hAnsi="Times New Roman"/>
                <w:sz w:val="17"/>
                <w:szCs w:val="17"/>
                <w:color w:val="auto"/>
              </w:rPr>
              <w:t>5,339,112</w:t>
            </w:r>
          </w:p>
        </w:tc>
        <w:tc>
          <w:tcPr>
            <w:tcW w:w="80" w:type="dxa"/>
            <w:vAlign w:val="bottom"/>
            <w:shd w:val="clear" w:color="auto" w:fill="D9EDFA"/>
          </w:tcPr>
          <w:p>
            <w:pPr>
              <w:spacing w:after="0"/>
              <w:rPr>
                <w:sz w:val="22"/>
                <w:szCs w:val="22"/>
                <w:color w:val="auto"/>
              </w:rPr>
            </w:pPr>
          </w:p>
        </w:tc>
        <w:tc>
          <w:tcPr>
            <w:tcW w:w="20" w:type="dxa"/>
            <w:vAlign w:val="bottom"/>
            <w:shd w:val="clear" w:color="auto" w:fill="D9EDFA"/>
          </w:tcPr>
          <w:p>
            <w:pPr>
              <w:spacing w:after="0"/>
              <w:rPr>
                <w:sz w:val="22"/>
                <w:szCs w:val="22"/>
                <w:color w:val="auto"/>
              </w:rPr>
            </w:pPr>
          </w:p>
        </w:tc>
        <w:tc>
          <w:tcPr>
            <w:tcW w:w="260" w:type="dxa"/>
            <w:vAlign w:val="bottom"/>
            <w:shd w:val="clear" w:color="auto" w:fill="D9EDFA"/>
          </w:tcPr>
          <w:p>
            <w:pPr>
              <w:jc w:val="right"/>
              <w:ind w:right="145"/>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shd w:val="clear" w:color="auto" w:fill="D9EDFA"/>
          </w:tcPr>
          <w:p>
            <w:pPr>
              <w:jc w:val="right"/>
              <w:spacing w:after="0"/>
              <w:rPr>
                <w:sz w:val="20"/>
                <w:szCs w:val="20"/>
                <w:color w:val="auto"/>
              </w:rPr>
            </w:pPr>
            <w:r>
              <w:rPr>
                <w:rFonts w:ascii="Times New Roman" w:cs="Times New Roman" w:eastAsia="Times New Roman" w:hAnsi="Times New Roman"/>
                <w:sz w:val="17"/>
                <w:szCs w:val="17"/>
                <w:color w:val="auto"/>
              </w:rPr>
              <w:t>5,532,727</w:t>
            </w:r>
          </w:p>
        </w:tc>
      </w:tr>
      <w:tr>
        <w:trPr>
          <w:trHeight w:val="275"/>
        </w:trPr>
        <w:tc>
          <w:tcPr>
            <w:tcW w:w="5380" w:type="dxa"/>
            <w:vAlign w:val="bottom"/>
          </w:tcPr>
          <w:p>
            <w:pPr>
              <w:spacing w:after="0"/>
              <w:rPr>
                <w:sz w:val="20"/>
                <w:szCs w:val="20"/>
                <w:color w:val="auto"/>
              </w:rPr>
            </w:pPr>
            <w:r>
              <w:rPr>
                <w:rFonts w:ascii="Times New Roman" w:cs="Times New Roman" w:eastAsia="Times New Roman" w:hAnsi="Times New Roman"/>
                <w:sz w:val="17"/>
                <w:szCs w:val="17"/>
                <w:color w:val="auto"/>
              </w:rPr>
              <w:t>Tax Fees</w:t>
            </w:r>
            <w:r>
              <w:rPr>
                <w:rFonts w:ascii="Times New Roman" w:cs="Times New Roman" w:eastAsia="Times New Roman" w:hAnsi="Times New Roman"/>
                <w:sz w:val="20"/>
                <w:szCs w:val="20"/>
                <w:color w:val="auto"/>
                <w:vertAlign w:val="superscript"/>
              </w:rPr>
              <w:t>(2)</w:t>
            </w:r>
          </w:p>
        </w:tc>
        <w:tc>
          <w:tcPr>
            <w:tcW w:w="260" w:type="dxa"/>
            <w:vAlign w:val="bottom"/>
          </w:tcPr>
          <w:p>
            <w:pPr>
              <w:spacing w:after="0"/>
              <w:rPr>
                <w:sz w:val="23"/>
                <w:szCs w:val="23"/>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1,294,439</w:t>
            </w: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911,800</w:t>
            </w:r>
          </w:p>
        </w:tc>
      </w:tr>
      <w:tr>
        <w:trPr>
          <w:trHeight w:val="275"/>
        </w:trPr>
        <w:tc>
          <w:tcPr>
            <w:tcW w:w="5380" w:type="dxa"/>
            <w:vAlign w:val="bottom"/>
            <w:shd w:val="clear" w:color="auto" w:fill="D9EDFA"/>
          </w:tcPr>
          <w:p>
            <w:pPr>
              <w:spacing w:after="0"/>
              <w:rPr>
                <w:sz w:val="20"/>
                <w:szCs w:val="20"/>
                <w:color w:val="auto"/>
              </w:rPr>
            </w:pPr>
            <w:r>
              <w:rPr>
                <w:rFonts w:ascii="Times New Roman" w:cs="Times New Roman" w:eastAsia="Times New Roman" w:hAnsi="Times New Roman"/>
                <w:sz w:val="17"/>
                <w:szCs w:val="17"/>
                <w:color w:val="auto"/>
              </w:rPr>
              <w:t>All Other Fees</w:t>
            </w:r>
            <w:r>
              <w:rPr>
                <w:rFonts w:ascii="Times New Roman" w:cs="Times New Roman" w:eastAsia="Times New Roman" w:hAnsi="Times New Roman"/>
                <w:sz w:val="20"/>
                <w:szCs w:val="20"/>
                <w:color w:val="auto"/>
                <w:vertAlign w:val="superscript"/>
              </w:rPr>
              <w:t>(3)</w:t>
            </w:r>
          </w:p>
        </w:tc>
        <w:tc>
          <w:tcPr>
            <w:tcW w:w="260" w:type="dxa"/>
            <w:vAlign w:val="bottom"/>
            <w:tcBorders>
              <w:bottom w:val="single" w:sz="8" w:color="auto"/>
            </w:tcBorders>
            <w:shd w:val="clear" w:color="auto" w:fill="D9EDFA"/>
          </w:tcPr>
          <w:p>
            <w:pPr>
              <w:spacing w:after="0"/>
              <w:rPr>
                <w:sz w:val="23"/>
                <w:szCs w:val="23"/>
                <w:color w:val="auto"/>
              </w:rPr>
            </w:pPr>
          </w:p>
        </w:tc>
        <w:tc>
          <w:tcPr>
            <w:tcW w:w="900" w:type="dxa"/>
            <w:vAlign w:val="bottom"/>
            <w:tcBorders>
              <w:bottom w:val="single" w:sz="8" w:color="auto"/>
            </w:tcBorders>
            <w:shd w:val="clear" w:color="auto" w:fill="D9EDFA"/>
          </w:tcPr>
          <w:p>
            <w:pPr>
              <w:jc w:val="right"/>
              <w:spacing w:after="0"/>
              <w:rPr>
                <w:sz w:val="20"/>
                <w:szCs w:val="20"/>
                <w:color w:val="auto"/>
              </w:rPr>
            </w:pPr>
            <w:r>
              <w:rPr>
                <w:rFonts w:ascii="Times New Roman" w:cs="Times New Roman" w:eastAsia="Times New Roman" w:hAnsi="Times New Roman"/>
                <w:sz w:val="17"/>
                <w:szCs w:val="17"/>
                <w:color w:val="auto"/>
              </w:rPr>
              <w:t>2,519</w:t>
            </w:r>
          </w:p>
        </w:tc>
        <w:tc>
          <w:tcPr>
            <w:tcW w:w="80" w:type="dxa"/>
            <w:vAlign w:val="bottom"/>
            <w:shd w:val="clear" w:color="auto" w:fill="D9EDFA"/>
          </w:tcPr>
          <w:p>
            <w:pPr>
              <w:spacing w:after="0"/>
              <w:rPr>
                <w:sz w:val="23"/>
                <w:szCs w:val="23"/>
                <w:color w:val="auto"/>
              </w:rPr>
            </w:pPr>
          </w:p>
        </w:tc>
        <w:tc>
          <w:tcPr>
            <w:tcW w:w="20" w:type="dxa"/>
            <w:vAlign w:val="bottom"/>
            <w:shd w:val="clear" w:color="auto" w:fill="D9EDFA"/>
          </w:tcPr>
          <w:p>
            <w:pPr>
              <w:spacing w:after="0"/>
              <w:rPr>
                <w:sz w:val="23"/>
                <w:szCs w:val="23"/>
                <w:color w:val="auto"/>
              </w:rPr>
            </w:pPr>
          </w:p>
        </w:tc>
        <w:tc>
          <w:tcPr>
            <w:tcW w:w="260" w:type="dxa"/>
            <w:vAlign w:val="bottom"/>
            <w:tcBorders>
              <w:bottom w:val="single" w:sz="8" w:color="auto"/>
            </w:tcBorders>
            <w:shd w:val="clear" w:color="auto" w:fill="D9EDFA"/>
          </w:tcPr>
          <w:p>
            <w:pPr>
              <w:spacing w:after="0"/>
              <w:rPr>
                <w:sz w:val="23"/>
                <w:szCs w:val="23"/>
                <w:color w:val="auto"/>
              </w:rPr>
            </w:pPr>
          </w:p>
        </w:tc>
        <w:tc>
          <w:tcPr>
            <w:tcW w:w="960" w:type="dxa"/>
            <w:vAlign w:val="bottom"/>
            <w:tcBorders>
              <w:bottom w:val="single" w:sz="8" w:color="auto"/>
            </w:tcBorders>
            <w:shd w:val="clear" w:color="auto" w:fill="D9EDFA"/>
          </w:tcPr>
          <w:p>
            <w:pPr>
              <w:jc w:val="right"/>
              <w:spacing w:after="0"/>
              <w:rPr>
                <w:sz w:val="20"/>
                <w:szCs w:val="20"/>
                <w:color w:val="auto"/>
              </w:rPr>
            </w:pPr>
            <w:r>
              <w:rPr>
                <w:rFonts w:ascii="Times New Roman" w:cs="Times New Roman" w:eastAsia="Times New Roman" w:hAnsi="Times New Roman"/>
                <w:sz w:val="17"/>
                <w:szCs w:val="17"/>
                <w:color w:val="auto"/>
              </w:rPr>
              <w:t>1,895</w:t>
            </w:r>
          </w:p>
        </w:tc>
      </w:tr>
      <w:tr>
        <w:trPr>
          <w:trHeight w:val="235"/>
        </w:trPr>
        <w:tc>
          <w:tcPr>
            <w:tcW w:w="53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Total</w:t>
            </w:r>
          </w:p>
        </w:tc>
        <w:tc>
          <w:tcPr>
            <w:tcW w:w="26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6,636,070</w:t>
            </w:r>
          </w:p>
        </w:tc>
        <w:tc>
          <w:tcPr>
            <w:tcW w:w="280" w:type="dxa"/>
            <w:vAlign w:val="bottom"/>
            <w:gridSpan w:val="2"/>
          </w:tcPr>
          <w:p>
            <w:pPr>
              <w:jc w:val="right"/>
              <w:ind w:right="14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6,446,422</w:t>
            </w:r>
          </w:p>
        </w:tc>
      </w:tr>
      <w:tr>
        <w:trPr>
          <w:trHeight w:val="20"/>
        </w:trPr>
        <w:tc>
          <w:tcPr>
            <w:tcW w:w="53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3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________________________</w:t>
      </w:r>
    </w:p>
    <w:p>
      <w:pPr>
        <w:spacing w:after="0" w:line="231" w:lineRule="exact"/>
        <w:rPr>
          <w:sz w:val="20"/>
          <w:szCs w:val="20"/>
          <w:color w:val="auto"/>
        </w:rPr>
      </w:pPr>
    </w:p>
    <w:p>
      <w:pPr>
        <w:ind w:left="920" w:right="679" w:hanging="346"/>
        <w:spacing w:after="0" w:line="268" w:lineRule="auto"/>
        <w:tabs>
          <w:tab w:leader="none" w:pos="905"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Audit Fees consist of fees for professional services provided in connection with the audit of our annual consolidated financial statements, audit of our internal control over financial reporting, the review of our quarterly consolidated financial statements and audit services that are normally provided by the independent registered public accounting firm in connection with statutory and regulatory filings for those fiscal years.</w:t>
      </w:r>
    </w:p>
    <w:p>
      <w:pPr>
        <w:spacing w:after="0" w:line="240" w:lineRule="exact"/>
        <w:rPr>
          <w:rFonts w:ascii="Times New Roman" w:cs="Times New Roman" w:eastAsia="Times New Roman" w:hAnsi="Times New Roman"/>
          <w:sz w:val="17"/>
          <w:szCs w:val="17"/>
          <w:color w:val="auto"/>
        </w:rPr>
      </w:pPr>
    </w:p>
    <w:p>
      <w:pPr>
        <w:ind w:left="920" w:right="759" w:hanging="346"/>
        <w:spacing w:after="0" w:line="296" w:lineRule="auto"/>
        <w:tabs>
          <w:tab w:leader="none" w:pos="905"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Tax Fees consist of charges for services related to federal and state income tax compliance, analysis for research and development credits and the Foreign Derived Intangible Income, and routine tax consulting.</w:t>
      </w:r>
    </w:p>
    <w:p>
      <w:pPr>
        <w:spacing w:after="0" w:line="15" w:lineRule="exact"/>
        <w:rPr>
          <w:rFonts w:ascii="Times New Roman" w:cs="Times New Roman" w:eastAsia="Times New Roman" w:hAnsi="Times New Roman"/>
          <w:sz w:val="17"/>
          <w:szCs w:val="17"/>
          <w:color w:val="auto"/>
        </w:rPr>
      </w:pPr>
    </w:p>
    <w:p>
      <w:pPr>
        <w:ind w:left="920" w:right="579" w:hanging="346"/>
        <w:spacing w:after="0" w:line="296" w:lineRule="auto"/>
        <w:tabs>
          <w:tab w:leader="none" w:pos="905"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Other Fees consist of products and services provided by Deloitte &amp; Touche LLP that are not included in the service categories reported above.</w:t>
      </w:r>
    </w:p>
    <w:p>
      <w:pPr>
        <w:spacing w:after="0" w:line="14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Approval of Audit and Non-Audit Services</w:t>
      </w:r>
    </w:p>
    <w:p>
      <w:pPr>
        <w:spacing w:after="0" w:line="147" w:lineRule="exact"/>
        <w:rPr>
          <w:sz w:val="20"/>
          <w:szCs w:val="20"/>
          <w:color w:val="auto"/>
        </w:rPr>
      </w:pPr>
    </w:p>
    <w:p>
      <w:pPr>
        <w:ind w:left="580" w:right="619" w:firstLine="349"/>
        <w:spacing w:after="0" w:line="276" w:lineRule="auto"/>
        <w:rPr>
          <w:sz w:val="20"/>
          <w:szCs w:val="20"/>
          <w:color w:val="auto"/>
        </w:rPr>
      </w:pPr>
      <w:r>
        <w:rPr>
          <w:rFonts w:ascii="Times New Roman" w:cs="Times New Roman" w:eastAsia="Times New Roman" w:hAnsi="Times New Roman"/>
          <w:sz w:val="17"/>
          <w:szCs w:val="17"/>
          <w:color w:val="auto"/>
        </w:rPr>
        <w:t>Pursuant to its charter, the Audit Committee is required to (i) review and approve, in advance, the scope and plans for all audits and audit fees and (ii) approve, in advance, all non-audit services to be performed by our independent auditor that are not otherwise prohibited by law and any associated fees.</w:t>
      </w:r>
    </w:p>
    <w:p>
      <w:pPr>
        <w:spacing w:after="0" w:line="98" w:lineRule="exact"/>
        <w:rPr>
          <w:sz w:val="20"/>
          <w:szCs w:val="20"/>
          <w:color w:val="auto"/>
        </w:rPr>
      </w:pPr>
    </w:p>
    <w:p>
      <w:pPr>
        <w:jc w:val="center"/>
        <w:ind w:left="2020" w:right="300"/>
        <w:spacing w:after="0" w:line="505" w:lineRule="auto"/>
        <w:rPr>
          <w:sz w:val="20"/>
          <w:szCs w:val="20"/>
          <w:color w:val="auto"/>
        </w:rPr>
      </w:pPr>
      <w:r>
        <w:rPr>
          <w:rFonts w:ascii="Times New Roman" w:cs="Times New Roman" w:eastAsia="Times New Roman" w:hAnsi="Times New Roman"/>
          <w:sz w:val="17"/>
          <w:szCs w:val="17"/>
          <w:color w:val="auto"/>
        </w:rPr>
        <w:t>All Deloitte &amp; Touche LLP services and fees in 2025 and 2024 were approved by the Audit Committee.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-135890</wp:posOffset>
            </wp:positionV>
            <wp:extent cx="499046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1" w:name="page22"/>
    <w:bookmarkEnd w:id="21"/>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PROPOSAL THREE</w:t>
      </w: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ADVISORY VOTE TO APPROVE NAMED EXECUTIVE OFFICER COMPENSATION</w:t>
      </w:r>
    </w:p>
    <w:p>
      <w:pPr>
        <w:spacing w:after="0" w:line="147" w:lineRule="exact"/>
        <w:rPr>
          <w:sz w:val="20"/>
          <w:szCs w:val="20"/>
          <w:color w:val="auto"/>
        </w:rPr>
      </w:pPr>
    </w:p>
    <w:p>
      <w:pPr>
        <w:ind w:left="580" w:right="739" w:firstLine="349"/>
        <w:spacing w:after="0" w:line="262" w:lineRule="auto"/>
        <w:rPr>
          <w:sz w:val="20"/>
          <w:szCs w:val="20"/>
          <w:color w:val="auto"/>
        </w:rPr>
      </w:pPr>
      <w:r>
        <w:rPr>
          <w:rFonts w:ascii="Times New Roman" w:cs="Times New Roman" w:eastAsia="Times New Roman" w:hAnsi="Times New Roman"/>
          <w:sz w:val="17"/>
          <w:szCs w:val="17"/>
          <w:color w:val="auto"/>
        </w:rPr>
        <w:t>As required by Section 14A of the Exchange Act and the corresponding rules of the SEC, Fortinet is seeking stockholder approval, on an advisory and non-binding basis, of the compensation of our named executive officers as disclosed in accordance with the SEC’s rules in the “</w:t>
      </w:r>
      <w:r>
        <w:rPr>
          <w:rFonts w:ascii="Times New Roman" w:cs="Times New Roman" w:eastAsia="Times New Roman" w:hAnsi="Times New Roman"/>
          <w:sz w:val="17"/>
          <w:szCs w:val="17"/>
          <w:i w:val="1"/>
          <w:iCs w:val="1"/>
          <w:color w:val="auto"/>
        </w:rPr>
        <w:t>Executive Compensation</w:t>
      </w:r>
      <w:r>
        <w:rPr>
          <w:rFonts w:ascii="Times New Roman" w:cs="Times New Roman" w:eastAsia="Times New Roman" w:hAnsi="Times New Roman"/>
          <w:sz w:val="17"/>
          <w:szCs w:val="17"/>
          <w:color w:val="auto"/>
        </w:rPr>
        <w:t>” section of this Proxy Statement. This proposal, commonly known as a “say-on-pay” proposal, gives our stockholders the opportunity to express their views on our named executive officers’ compensation as a whole. This vote is not intended to address any specific item of compensation or any specific named executive officer but rather the overall compensation of all of our named executive officers and the compensation philosophy, policies and practices described in this Proxy Statement.</w:t>
      </w:r>
    </w:p>
    <w:p>
      <w:pPr>
        <w:spacing w:after="0" w:line="113" w:lineRule="exact"/>
        <w:rPr>
          <w:sz w:val="20"/>
          <w:szCs w:val="20"/>
          <w:color w:val="auto"/>
        </w:rPr>
      </w:pPr>
    </w:p>
    <w:p>
      <w:pPr>
        <w:ind w:left="580" w:right="759" w:firstLine="349"/>
        <w:spacing w:after="0" w:line="270" w:lineRule="auto"/>
        <w:rPr>
          <w:sz w:val="20"/>
          <w:szCs w:val="20"/>
          <w:color w:val="auto"/>
        </w:rPr>
      </w:pPr>
      <w:r>
        <w:rPr>
          <w:rFonts w:ascii="Times New Roman" w:cs="Times New Roman" w:eastAsia="Times New Roman" w:hAnsi="Times New Roman"/>
          <w:sz w:val="17"/>
          <w:szCs w:val="17"/>
          <w:color w:val="auto"/>
        </w:rPr>
        <w:t>The say-on-pay vote is advisory, and therefore not binding on Fortinet, the Human Resources Committee of the Board of Directors (the “Human Resources Committee”) or the Board of Directors. Following the 2026 Annual Meeting, the next such non-binding advisory vote to approve our named executive officers’ compensation as a whole is scheduled to occur at the 2027 Annual Meeting.</w:t>
      </w:r>
    </w:p>
    <w:p>
      <w:pPr>
        <w:spacing w:after="0" w:line="103" w:lineRule="exact"/>
        <w:rPr>
          <w:sz w:val="20"/>
          <w:szCs w:val="20"/>
          <w:color w:val="auto"/>
        </w:rPr>
      </w:pPr>
    </w:p>
    <w:p>
      <w:pPr>
        <w:ind w:left="580" w:right="659" w:firstLine="349"/>
        <w:spacing w:after="0" w:line="260" w:lineRule="auto"/>
        <w:rPr>
          <w:sz w:val="20"/>
          <w:szCs w:val="20"/>
          <w:color w:val="auto"/>
        </w:rPr>
      </w:pPr>
      <w:r>
        <w:rPr>
          <w:rFonts w:ascii="Times New Roman" w:cs="Times New Roman" w:eastAsia="Times New Roman" w:hAnsi="Times New Roman"/>
          <w:sz w:val="17"/>
          <w:szCs w:val="17"/>
          <w:color w:val="auto"/>
        </w:rPr>
        <w:t>The Board of Directors and the Human Resources Committee value the opinions of our stockholders and the say-on-pay vote provides information to us regarding stockholder sentiment about our executive compensation philosophy, policies and practices, which the Human Resources Committee will be able to consider when determining executive compensation for the remainder of the current fiscal year and beyond. To the extent there is any significant vote against the compensation of our named executive officers as disclosed in this Proxy Statement, we will consider our stockholders’ concerns, and the Human Resources Committee will evaluate whether any actions are necessary to address those concerns. We believe that the information we have provided in the “</w:t>
      </w:r>
      <w:r>
        <w:rPr>
          <w:rFonts w:ascii="Times New Roman" w:cs="Times New Roman" w:eastAsia="Times New Roman" w:hAnsi="Times New Roman"/>
          <w:sz w:val="17"/>
          <w:szCs w:val="17"/>
          <w:i w:val="1"/>
          <w:iCs w:val="1"/>
          <w:color w:val="auto"/>
        </w:rPr>
        <w:t>Executive Compensation</w:t>
      </w:r>
      <w:r>
        <w:rPr>
          <w:rFonts w:ascii="Times New Roman" w:cs="Times New Roman" w:eastAsia="Times New Roman" w:hAnsi="Times New Roman"/>
          <w:sz w:val="17"/>
          <w:szCs w:val="17"/>
          <w:color w:val="auto"/>
        </w:rPr>
        <w:t>” section of this Proxy Statement, and in particular the information discussed in “</w:t>
      </w:r>
      <w:r>
        <w:rPr>
          <w:rFonts w:ascii="Times New Roman" w:cs="Times New Roman" w:eastAsia="Times New Roman" w:hAnsi="Times New Roman"/>
          <w:sz w:val="17"/>
          <w:szCs w:val="17"/>
          <w:i w:val="1"/>
          <w:iCs w:val="1"/>
          <w:color w:val="auto"/>
        </w:rPr>
        <w:t>Executive Compensation — Compensation Discussion and Analysis,</w:t>
      </w:r>
      <w:r>
        <w:rPr>
          <w:rFonts w:ascii="Times New Roman" w:cs="Times New Roman" w:eastAsia="Times New Roman" w:hAnsi="Times New Roman"/>
          <w:sz w:val="17"/>
          <w:szCs w:val="17"/>
          <w:color w:val="auto"/>
        </w:rPr>
        <w:t>” demonstrates that our executive compensation program was designed appropriately and is working to ensure our executive officers’ interests are aligned with our stockholders’ interests. Accordingly, we ask our stockholders to vote “FOR” the following resolution at the 2026 Annual Meeting:</w:t>
      </w:r>
    </w:p>
    <w:p>
      <w:pPr>
        <w:spacing w:after="0" w:line="105" w:lineRule="exact"/>
        <w:rPr>
          <w:sz w:val="20"/>
          <w:szCs w:val="20"/>
          <w:color w:val="auto"/>
        </w:rPr>
      </w:pPr>
    </w:p>
    <w:p>
      <w:pPr>
        <w:ind w:left="580" w:right="619" w:firstLine="349"/>
        <w:spacing w:after="0" w:line="270" w:lineRule="auto"/>
        <w:rPr>
          <w:sz w:val="20"/>
          <w:szCs w:val="20"/>
          <w:color w:val="auto"/>
        </w:rPr>
      </w:pPr>
      <w:r>
        <w:rPr>
          <w:rFonts w:ascii="Times New Roman" w:cs="Times New Roman" w:eastAsia="Times New Roman" w:hAnsi="Times New Roman"/>
          <w:sz w:val="17"/>
          <w:szCs w:val="17"/>
          <w:color w:val="auto"/>
        </w:rPr>
        <w:t>“RESOLVED, that Fortinet’s stockholders approve, on an advisory basis, the compensation of the named executive officers, as disclosed in Fortinet’s Proxy Statement for the 2026 Annual Meeting pursuant to the Item 402 of Regulation S-K, including the Compensation Discussion and Analysis, the compensation tables and narrative discussion and the other related disclosure.”</w:t>
      </w:r>
    </w:p>
    <w:p>
      <w:pPr>
        <w:spacing w:after="0" w:line="1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THE BOARD OF DIRECTORS RECOMMENDS A VOTE “FOR” THIS PROPOSAL.</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2" w:name="page23"/>
    <w:bookmarkEnd w:id="22"/>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CORPORATE SOCIAL RESPONSIBILITY</w:t>
      </w:r>
    </w:p>
    <w:p>
      <w:pPr>
        <w:spacing w:after="0" w:line="147" w:lineRule="exact"/>
        <w:rPr>
          <w:sz w:val="20"/>
          <w:szCs w:val="20"/>
          <w:color w:val="auto"/>
        </w:rPr>
      </w:pPr>
    </w:p>
    <w:p>
      <w:pPr>
        <w:ind w:left="580" w:right="599" w:firstLine="349"/>
        <w:spacing w:after="0" w:line="270" w:lineRule="auto"/>
        <w:rPr>
          <w:sz w:val="20"/>
          <w:szCs w:val="20"/>
          <w:color w:val="auto"/>
        </w:rPr>
      </w:pPr>
      <w:r>
        <w:rPr>
          <w:rFonts w:ascii="Times New Roman" w:cs="Times New Roman" w:eastAsia="Times New Roman" w:hAnsi="Times New Roman"/>
          <w:sz w:val="17"/>
          <w:szCs w:val="17"/>
          <w:color w:val="auto"/>
        </w:rPr>
        <w:t>We believe that our corporate vision — a digital world you can always trust — is essential to achieving just and sustainable societies, and that it is our responsibility to deliver on that vision by addressing cybersecurity risks to society growing an inclusive cybersecurity workforce, representing the interests of the environment and promoting responsible business across our value chain. These responsibilities drive our CSR practices.</w:t>
      </w:r>
    </w:p>
    <w:p>
      <w:pPr>
        <w:spacing w:after="0" w:line="103" w:lineRule="exact"/>
        <w:rPr>
          <w:sz w:val="20"/>
          <w:szCs w:val="20"/>
          <w:color w:val="auto"/>
        </w:rPr>
      </w:pPr>
    </w:p>
    <w:p>
      <w:pPr>
        <w:ind w:left="580" w:right="579" w:firstLine="349"/>
        <w:spacing w:after="0" w:line="262" w:lineRule="auto"/>
        <w:rPr>
          <w:sz w:val="20"/>
          <w:szCs w:val="20"/>
          <w:color w:val="auto"/>
        </w:rPr>
      </w:pPr>
      <w:r>
        <w:rPr>
          <w:rFonts w:ascii="Times New Roman" w:cs="Times New Roman" w:eastAsia="Times New Roman" w:hAnsi="Times New Roman"/>
          <w:sz w:val="17"/>
          <w:szCs w:val="17"/>
          <w:color w:val="auto"/>
        </w:rPr>
        <w:t>Our commitment to CSR starts at the highest level with the Governance and Social Responsibility Committee, which the Board of Directors combined in 2024 with the Social Responsibility Committee that was established in 2021. The Governance and Social Responsibility Committee’s CSR function ensures proper focus on, and provides proper oversight of, our CSR strategy, initiatives and execution. Our senior leadership sponsors and helps oversee the integration of our CSR priorities broadly throughout our business operations, and our Global Head of Sustainability manages a team and chairs an internal cross-functional employee CSR Committee to define our CSR strategy and lead execution. We believe having oversight at the level of a committee of the Board of Directors reinforces the importance of CSR practices in our business and helps steer our CSR performance.</w:t>
      </w:r>
    </w:p>
    <w:p>
      <w:pPr>
        <w:spacing w:after="0" w:line="323" w:lineRule="exact"/>
        <w:rPr>
          <w:sz w:val="20"/>
          <w:szCs w:val="20"/>
          <w:color w:val="auto"/>
        </w:rPr>
      </w:pPr>
    </w:p>
    <w:p>
      <w:pPr>
        <w:ind w:left="580" w:right="679" w:firstLine="349"/>
        <w:spacing w:after="0" w:line="276" w:lineRule="auto"/>
        <w:rPr>
          <w:sz w:val="20"/>
          <w:szCs w:val="20"/>
          <w:color w:val="auto"/>
        </w:rPr>
      </w:pPr>
      <w:r>
        <w:rPr>
          <w:rFonts w:ascii="Times New Roman" w:cs="Times New Roman" w:eastAsia="Times New Roman" w:hAnsi="Times New Roman"/>
          <w:sz w:val="17"/>
          <w:szCs w:val="17"/>
          <w:color w:val="auto"/>
        </w:rPr>
        <w:t>Our objective is to promote long-term value for our stakeholders, including customers, partners, suppliers, employees, stockholders and communities. Our sustainability strategy, which is based on a formal materiality assessment conducted in 2021 and refreshed in 2024, with outside experts, is informed as follows:</w:t>
      </w:r>
    </w:p>
    <w:p>
      <w:pPr>
        <w:spacing w:after="0" w:line="102"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800" w:type="dxa"/>
            <w:vAlign w:val="bottom"/>
            <w:vMerge w:val="restart"/>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Addressing Cybersecurity</w:t>
            </w:r>
          </w:p>
        </w:tc>
        <w:tc>
          <w:tcPr>
            <w:tcW w:w="80" w:type="dxa"/>
            <w:vAlign w:val="bottom"/>
          </w:tcPr>
          <w:p>
            <w:pPr>
              <w:spacing w:after="0"/>
              <w:rPr>
                <w:sz w:val="13"/>
                <w:szCs w:val="13"/>
                <w:color w:val="auto"/>
              </w:rPr>
            </w:pPr>
          </w:p>
        </w:tc>
        <w:tc>
          <w:tcPr>
            <w:tcW w:w="19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Growing an</w:t>
            </w:r>
          </w:p>
        </w:tc>
        <w:tc>
          <w:tcPr>
            <w:tcW w:w="1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8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960" w:type="dxa"/>
            <w:vAlign w:val="bottom"/>
            <w:gridSpan w:val="2"/>
          </w:tcPr>
          <w:p>
            <w:pPr>
              <w:jc w:val="center"/>
              <w:ind w:right="120"/>
              <w:spacing w:after="0" w:line="144" w:lineRule="exact"/>
              <w:rPr>
                <w:sz w:val="20"/>
                <w:szCs w:val="20"/>
                <w:color w:val="auto"/>
              </w:rPr>
            </w:pPr>
            <w:r>
              <w:rPr>
                <w:rFonts w:ascii="Times New Roman" w:cs="Times New Roman" w:eastAsia="Times New Roman" w:hAnsi="Times New Roman"/>
                <w:sz w:val="14"/>
                <w:szCs w:val="14"/>
                <w:b w:val="1"/>
                <w:bCs w:val="1"/>
                <w:color w:val="auto"/>
                <w:w w:val="96"/>
              </w:rPr>
              <w:t>Inclusive</w:t>
            </w:r>
          </w:p>
        </w:tc>
        <w:tc>
          <w:tcPr>
            <w:tcW w:w="19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Promoting Responsible Business</w:t>
            </w:r>
          </w:p>
        </w:tc>
        <w:tc>
          <w:tcPr>
            <w:tcW w:w="80" w:type="dxa"/>
            <w:vAlign w:val="bottom"/>
          </w:tcPr>
          <w:p>
            <w:pPr>
              <w:spacing w:after="0"/>
              <w:rPr>
                <w:sz w:val="12"/>
                <w:szCs w:val="12"/>
                <w:color w:val="auto"/>
              </w:rPr>
            </w:pPr>
          </w:p>
        </w:tc>
        <w:tc>
          <w:tcPr>
            <w:tcW w:w="196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Respecting the Environment</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1800" w:type="dxa"/>
            <w:vAlign w:val="bottom"/>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w w:val="99"/>
              </w:rPr>
              <w:t>Risks to Society</w:t>
            </w:r>
          </w:p>
        </w:tc>
        <w:tc>
          <w:tcPr>
            <w:tcW w:w="80" w:type="dxa"/>
            <w:vAlign w:val="bottom"/>
          </w:tcPr>
          <w:p>
            <w:pPr>
              <w:spacing w:after="0"/>
              <w:rPr>
                <w:sz w:val="16"/>
                <w:szCs w:val="16"/>
                <w:color w:val="auto"/>
              </w:rPr>
            </w:pPr>
          </w:p>
        </w:tc>
        <w:tc>
          <w:tcPr>
            <w:tcW w:w="19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Cybersecurity Workforce</w:t>
            </w:r>
          </w:p>
        </w:tc>
        <w:tc>
          <w:tcPr>
            <w:tcW w:w="19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80" w:type="dxa"/>
            <w:vAlign w:val="bottom"/>
            <w:tcBorders>
              <w:bottom w:val="single" w:sz="8" w:color="D9EDFA"/>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Borders>
              <w:bottom w:val="single" w:sz="8" w:color="D9EDFA"/>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80" w:type="dxa"/>
            <w:vAlign w:val="bottom"/>
            <w:tcBorders>
              <w:bottom w:val="single" w:sz="8" w:color="D9EDFA"/>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1800" w:type="dxa"/>
            <w:vAlign w:val="bottom"/>
            <w:shd w:val="clear" w:color="auto" w:fill="D9EDFA"/>
          </w:tcPr>
          <w:p>
            <w:pPr>
              <w:spacing w:after="0" w:line="185" w:lineRule="exact"/>
              <w:rPr>
                <w:sz w:val="20"/>
                <w:szCs w:val="20"/>
                <w:color w:val="auto"/>
              </w:rPr>
            </w:pPr>
            <w:r>
              <w:rPr>
                <w:rFonts w:ascii="Times New Roman" w:cs="Times New Roman" w:eastAsia="Times New Roman" w:hAnsi="Times New Roman"/>
                <w:sz w:val="17"/>
                <w:szCs w:val="17"/>
                <w:color w:val="auto"/>
              </w:rPr>
              <w:t>We work to advance the</w:t>
            </w:r>
          </w:p>
        </w:tc>
        <w:tc>
          <w:tcPr>
            <w:tcW w:w="80" w:type="dxa"/>
            <w:vAlign w:val="bottom"/>
            <w:shd w:val="clear" w:color="auto" w:fill="D9EDFA"/>
          </w:tcPr>
          <w:p>
            <w:pPr>
              <w:spacing w:after="0"/>
              <w:rPr>
                <w:sz w:val="16"/>
                <w:szCs w:val="16"/>
                <w:color w:val="auto"/>
              </w:rPr>
            </w:pPr>
          </w:p>
        </w:tc>
        <w:tc>
          <w:tcPr>
            <w:tcW w:w="1860" w:type="dxa"/>
            <w:vAlign w:val="bottom"/>
            <w:shd w:val="clear" w:color="auto" w:fill="D9EDFA"/>
          </w:tcPr>
          <w:p>
            <w:pPr>
              <w:spacing w:after="0" w:line="185" w:lineRule="exact"/>
              <w:rPr>
                <w:sz w:val="20"/>
                <w:szCs w:val="20"/>
                <w:color w:val="auto"/>
              </w:rPr>
            </w:pPr>
            <w:r>
              <w:rPr>
                <w:rFonts w:ascii="Times New Roman" w:cs="Times New Roman" w:eastAsia="Times New Roman" w:hAnsi="Times New Roman"/>
                <w:sz w:val="17"/>
                <w:szCs w:val="17"/>
                <w:color w:val="auto"/>
              </w:rPr>
              <w:t>We are committed to</w:t>
            </w:r>
          </w:p>
        </w:tc>
        <w:tc>
          <w:tcPr>
            <w:tcW w:w="100" w:type="dxa"/>
            <w:vAlign w:val="bottom"/>
            <w:shd w:val="clear" w:color="auto" w:fill="D9EDFA"/>
          </w:tcPr>
          <w:p>
            <w:pPr>
              <w:spacing w:after="0"/>
              <w:rPr>
                <w:sz w:val="16"/>
                <w:szCs w:val="16"/>
                <w:color w:val="auto"/>
              </w:rPr>
            </w:pPr>
          </w:p>
        </w:tc>
        <w:tc>
          <w:tcPr>
            <w:tcW w:w="1960" w:type="dxa"/>
            <w:vAlign w:val="bottom"/>
            <w:shd w:val="clear" w:color="auto" w:fill="D9EDFA"/>
          </w:tcPr>
          <w:p>
            <w:pPr>
              <w:spacing w:after="0" w:line="185" w:lineRule="exact"/>
              <w:rPr>
                <w:sz w:val="20"/>
                <w:szCs w:val="20"/>
                <w:color w:val="auto"/>
              </w:rPr>
            </w:pPr>
            <w:r>
              <w:rPr>
                <w:rFonts w:ascii="Times New Roman" w:cs="Times New Roman" w:eastAsia="Times New Roman" w:hAnsi="Times New Roman"/>
                <w:sz w:val="17"/>
                <w:szCs w:val="17"/>
                <w:color w:val="auto"/>
              </w:rPr>
              <w:t>We are committed to</w:t>
            </w:r>
          </w:p>
        </w:tc>
        <w:tc>
          <w:tcPr>
            <w:tcW w:w="80" w:type="dxa"/>
            <w:vAlign w:val="bottom"/>
            <w:shd w:val="clear" w:color="auto" w:fill="D9EDFA"/>
          </w:tcPr>
          <w:p>
            <w:pPr>
              <w:spacing w:after="0"/>
              <w:rPr>
                <w:sz w:val="16"/>
                <w:szCs w:val="16"/>
                <w:color w:val="auto"/>
              </w:rPr>
            </w:pPr>
          </w:p>
        </w:tc>
        <w:tc>
          <w:tcPr>
            <w:tcW w:w="1960" w:type="dxa"/>
            <w:vAlign w:val="bottom"/>
            <w:shd w:val="clear" w:color="auto" w:fill="D9EDFA"/>
          </w:tcPr>
          <w:p>
            <w:pPr>
              <w:spacing w:after="0" w:line="185" w:lineRule="exact"/>
              <w:rPr>
                <w:sz w:val="20"/>
                <w:szCs w:val="20"/>
                <w:color w:val="auto"/>
              </w:rPr>
            </w:pPr>
            <w:r>
              <w:rPr>
                <w:rFonts w:ascii="Times New Roman" w:cs="Times New Roman" w:eastAsia="Times New Roman" w:hAnsi="Times New Roman"/>
                <w:sz w:val="17"/>
                <w:szCs w:val="17"/>
                <w:color w:val="auto"/>
              </w:rPr>
              <w:t>We are focused on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800" w:type="dxa"/>
            <w:vAlign w:val="bottom"/>
            <w:shd w:val="clear" w:color="auto" w:fill="D9EDFA"/>
          </w:tcPr>
          <w:p>
            <w:pPr>
              <w:spacing w:after="0"/>
              <w:rPr>
                <w:sz w:val="20"/>
                <w:szCs w:val="20"/>
                <w:color w:val="auto"/>
              </w:rPr>
            </w:pPr>
            <w:r>
              <w:rPr>
                <w:rFonts w:ascii="Times New Roman" w:cs="Times New Roman" w:eastAsia="Times New Roman" w:hAnsi="Times New Roman"/>
                <w:sz w:val="17"/>
                <w:szCs w:val="17"/>
                <w:color w:val="auto"/>
              </w:rPr>
              <w:t>industry through</w:t>
            </w:r>
          </w:p>
        </w:tc>
        <w:tc>
          <w:tcPr>
            <w:tcW w:w="2040" w:type="dxa"/>
            <w:vAlign w:val="bottom"/>
            <w:gridSpan w:val="3"/>
            <w:shd w:val="clear" w:color="auto" w:fill="D9EDFA"/>
          </w:tcPr>
          <w:p>
            <w:pPr>
              <w:ind w:left="80"/>
              <w:spacing w:after="0"/>
              <w:rPr>
                <w:sz w:val="20"/>
                <w:szCs w:val="20"/>
                <w:color w:val="auto"/>
              </w:rPr>
            </w:pPr>
            <w:r>
              <w:rPr>
                <w:rFonts w:ascii="Times New Roman" w:cs="Times New Roman" w:eastAsia="Times New Roman" w:hAnsi="Times New Roman"/>
                <w:sz w:val="17"/>
                <w:szCs w:val="17"/>
                <w:color w:val="auto"/>
              </w:rPr>
              <w:t>fostering an inclusive</w:t>
            </w:r>
          </w:p>
        </w:tc>
        <w:tc>
          <w:tcPr>
            <w:tcW w:w="1960" w:type="dxa"/>
            <w:vAlign w:val="bottom"/>
            <w:shd w:val="clear" w:color="auto" w:fill="D9EDFA"/>
          </w:tcPr>
          <w:p>
            <w:pPr>
              <w:spacing w:after="0"/>
              <w:rPr>
                <w:sz w:val="20"/>
                <w:szCs w:val="20"/>
                <w:color w:val="auto"/>
              </w:rPr>
            </w:pPr>
            <w:r>
              <w:rPr>
                <w:rFonts w:ascii="Times New Roman" w:cs="Times New Roman" w:eastAsia="Times New Roman" w:hAnsi="Times New Roman"/>
                <w:sz w:val="17"/>
                <w:szCs w:val="17"/>
                <w:color w:val="auto"/>
              </w:rPr>
              <w:t>conducting business</w:t>
            </w:r>
          </w:p>
        </w:tc>
        <w:tc>
          <w:tcPr>
            <w:tcW w:w="2040" w:type="dxa"/>
            <w:vAlign w:val="bottom"/>
            <w:gridSpan w:val="2"/>
            <w:shd w:val="clear" w:color="auto" w:fill="D9EDFA"/>
          </w:tcPr>
          <w:p>
            <w:pPr>
              <w:ind w:left="80"/>
              <w:spacing w:after="0"/>
              <w:rPr>
                <w:sz w:val="20"/>
                <w:szCs w:val="20"/>
                <w:color w:val="auto"/>
              </w:rPr>
            </w:pPr>
            <w:r>
              <w:rPr>
                <w:rFonts w:ascii="Times New Roman" w:cs="Times New Roman" w:eastAsia="Times New Roman" w:hAnsi="Times New Roman"/>
                <w:sz w:val="17"/>
                <w:szCs w:val="17"/>
                <w:color w:val="auto"/>
              </w:rPr>
              <w:t>addressing the climate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800" w:type="dxa"/>
            <w:vAlign w:val="bottom"/>
            <w:shd w:val="clear" w:color="auto" w:fill="D9EDFA"/>
          </w:tcPr>
          <w:p>
            <w:pPr>
              <w:spacing w:after="0"/>
              <w:rPr>
                <w:sz w:val="20"/>
                <w:szCs w:val="20"/>
                <w:color w:val="auto"/>
              </w:rPr>
            </w:pPr>
            <w:r>
              <w:rPr>
                <w:rFonts w:ascii="Times New Roman" w:cs="Times New Roman" w:eastAsia="Times New Roman" w:hAnsi="Times New Roman"/>
                <w:sz w:val="17"/>
                <w:szCs w:val="17"/>
                <w:color w:val="auto"/>
              </w:rPr>
              <w:t>continually innovating in</w:t>
            </w:r>
          </w:p>
        </w:tc>
        <w:tc>
          <w:tcPr>
            <w:tcW w:w="2040" w:type="dxa"/>
            <w:vAlign w:val="bottom"/>
            <w:gridSpan w:val="3"/>
            <w:shd w:val="clear" w:color="auto" w:fill="D9EDFA"/>
          </w:tcPr>
          <w:p>
            <w:pPr>
              <w:ind w:left="80"/>
              <w:spacing w:after="0"/>
              <w:rPr>
                <w:sz w:val="20"/>
                <w:szCs w:val="20"/>
                <w:color w:val="auto"/>
              </w:rPr>
            </w:pPr>
            <w:r>
              <w:rPr>
                <w:rFonts w:ascii="Times New Roman" w:cs="Times New Roman" w:eastAsia="Times New Roman" w:hAnsi="Times New Roman"/>
                <w:sz w:val="17"/>
                <w:szCs w:val="17"/>
                <w:color w:val="auto"/>
              </w:rPr>
              <w:t>workforce within our</w:t>
            </w:r>
          </w:p>
        </w:tc>
        <w:tc>
          <w:tcPr>
            <w:tcW w:w="1960" w:type="dxa"/>
            <w:vAlign w:val="bottom"/>
            <w:shd w:val="clear" w:color="auto" w:fill="D9EDFA"/>
          </w:tcPr>
          <w:p>
            <w:pPr>
              <w:spacing w:after="0"/>
              <w:rPr>
                <w:sz w:val="20"/>
                <w:szCs w:val="20"/>
                <w:color w:val="auto"/>
              </w:rPr>
            </w:pPr>
            <w:r>
              <w:rPr>
                <w:rFonts w:ascii="Times New Roman" w:cs="Times New Roman" w:eastAsia="Times New Roman" w:hAnsi="Times New Roman"/>
                <w:sz w:val="17"/>
                <w:szCs w:val="17"/>
                <w:color w:val="auto"/>
              </w:rPr>
              <w:t>ethically across our entire</w:t>
            </w:r>
          </w:p>
        </w:tc>
        <w:tc>
          <w:tcPr>
            <w:tcW w:w="2040" w:type="dxa"/>
            <w:vAlign w:val="bottom"/>
            <w:gridSpan w:val="2"/>
            <w:shd w:val="clear" w:color="auto" w:fill="D9EDFA"/>
          </w:tcPr>
          <w:p>
            <w:pPr>
              <w:ind w:left="80"/>
              <w:spacing w:after="0"/>
              <w:rPr>
                <w:sz w:val="20"/>
                <w:szCs w:val="20"/>
                <w:color w:val="auto"/>
              </w:rPr>
            </w:pPr>
            <w:r>
              <w:rPr>
                <w:rFonts w:ascii="Times New Roman" w:cs="Times New Roman" w:eastAsia="Times New Roman" w:hAnsi="Times New Roman"/>
                <w:sz w:val="17"/>
                <w:szCs w:val="17"/>
                <w:color w:val="auto"/>
              </w:rPr>
              <w:t>change impacts and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800" w:type="dxa"/>
            <w:vAlign w:val="bottom"/>
            <w:shd w:val="clear" w:color="auto" w:fill="D9EDFA"/>
          </w:tcPr>
          <w:p>
            <w:pPr>
              <w:spacing w:after="0"/>
              <w:rPr>
                <w:sz w:val="20"/>
                <w:szCs w:val="20"/>
                <w:color w:val="auto"/>
              </w:rPr>
            </w:pPr>
            <w:r>
              <w:rPr>
                <w:rFonts w:ascii="Times New Roman" w:cs="Times New Roman" w:eastAsia="Times New Roman" w:hAnsi="Times New Roman"/>
                <w:sz w:val="17"/>
                <w:szCs w:val="17"/>
                <w:color w:val="auto"/>
              </w:rPr>
              <w:t>our products and services</w:t>
            </w:r>
          </w:p>
        </w:tc>
        <w:tc>
          <w:tcPr>
            <w:tcW w:w="2040" w:type="dxa"/>
            <w:vAlign w:val="bottom"/>
            <w:gridSpan w:val="3"/>
            <w:shd w:val="clear" w:color="auto" w:fill="D9EDFA"/>
          </w:tcPr>
          <w:p>
            <w:pPr>
              <w:ind w:left="80"/>
              <w:spacing w:after="0"/>
              <w:rPr>
                <w:sz w:val="20"/>
                <w:szCs w:val="20"/>
                <w:color w:val="auto"/>
              </w:rPr>
            </w:pPr>
            <w:r>
              <w:rPr>
                <w:rFonts w:ascii="Times New Roman" w:cs="Times New Roman" w:eastAsia="Times New Roman" w:hAnsi="Times New Roman"/>
                <w:sz w:val="17"/>
                <w:szCs w:val="17"/>
                <w:color w:val="auto"/>
              </w:rPr>
              <w:t>organization and across</w:t>
            </w:r>
          </w:p>
        </w:tc>
        <w:tc>
          <w:tcPr>
            <w:tcW w:w="1960" w:type="dxa"/>
            <w:vAlign w:val="bottom"/>
            <w:shd w:val="clear" w:color="auto" w:fill="D9EDFA"/>
          </w:tcPr>
          <w:p>
            <w:pPr>
              <w:spacing w:after="0"/>
              <w:rPr>
                <w:sz w:val="20"/>
                <w:szCs w:val="20"/>
                <w:color w:val="auto"/>
              </w:rPr>
            </w:pPr>
            <w:r>
              <w:rPr>
                <w:rFonts w:ascii="Times New Roman" w:cs="Times New Roman" w:eastAsia="Times New Roman" w:hAnsi="Times New Roman"/>
                <w:sz w:val="17"/>
                <w:szCs w:val="17"/>
                <w:color w:val="auto"/>
              </w:rPr>
              <w:t>value chain, including</w:t>
            </w:r>
          </w:p>
        </w:tc>
        <w:tc>
          <w:tcPr>
            <w:tcW w:w="2040" w:type="dxa"/>
            <w:vAlign w:val="bottom"/>
            <w:gridSpan w:val="2"/>
            <w:shd w:val="clear" w:color="auto" w:fill="D9EDFA"/>
          </w:tcPr>
          <w:p>
            <w:pPr>
              <w:ind w:left="80"/>
              <w:spacing w:after="0"/>
              <w:rPr>
                <w:sz w:val="20"/>
                <w:szCs w:val="20"/>
                <w:color w:val="auto"/>
              </w:rPr>
            </w:pPr>
            <w:r>
              <w:rPr>
                <w:rFonts w:ascii="Times New Roman" w:cs="Times New Roman" w:eastAsia="Times New Roman" w:hAnsi="Times New Roman"/>
                <w:sz w:val="17"/>
                <w:szCs w:val="17"/>
                <w:color w:val="auto"/>
              </w:rPr>
              <w:t>minimizing the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800" w:type="dxa"/>
            <w:vAlign w:val="bottom"/>
            <w:shd w:val="clear" w:color="auto" w:fill="D9EDFA"/>
          </w:tcPr>
          <w:p>
            <w:pPr>
              <w:spacing w:after="0"/>
              <w:rPr>
                <w:sz w:val="20"/>
                <w:szCs w:val="20"/>
                <w:color w:val="auto"/>
              </w:rPr>
            </w:pPr>
            <w:r>
              <w:rPr>
                <w:rFonts w:ascii="Times New Roman" w:cs="Times New Roman" w:eastAsia="Times New Roman" w:hAnsi="Times New Roman"/>
                <w:sz w:val="17"/>
                <w:szCs w:val="17"/>
                <w:color w:val="auto"/>
              </w:rPr>
              <w:t>to protect organizations</w:t>
            </w:r>
          </w:p>
        </w:tc>
        <w:tc>
          <w:tcPr>
            <w:tcW w:w="2040" w:type="dxa"/>
            <w:vAlign w:val="bottom"/>
            <w:gridSpan w:val="3"/>
            <w:shd w:val="clear" w:color="auto" w:fill="D9EDFA"/>
          </w:tcPr>
          <w:p>
            <w:pPr>
              <w:ind w:left="80"/>
              <w:spacing w:after="0"/>
              <w:rPr>
                <w:sz w:val="20"/>
                <w:szCs w:val="20"/>
                <w:color w:val="auto"/>
              </w:rPr>
            </w:pPr>
            <w:r>
              <w:rPr>
                <w:rFonts w:ascii="Times New Roman" w:cs="Times New Roman" w:eastAsia="Times New Roman" w:hAnsi="Times New Roman"/>
                <w:sz w:val="17"/>
                <w:szCs w:val="17"/>
                <w:color w:val="auto"/>
              </w:rPr>
              <w:t>the cybersecurity industry.</w:t>
            </w:r>
          </w:p>
        </w:tc>
        <w:tc>
          <w:tcPr>
            <w:tcW w:w="1960" w:type="dxa"/>
            <w:vAlign w:val="bottom"/>
            <w:shd w:val="clear" w:color="auto" w:fill="D9EDFA"/>
          </w:tcPr>
          <w:p>
            <w:pPr>
              <w:spacing w:after="0"/>
              <w:rPr>
                <w:sz w:val="20"/>
                <w:szCs w:val="20"/>
                <w:color w:val="auto"/>
              </w:rPr>
            </w:pPr>
            <w:r>
              <w:rPr>
                <w:rFonts w:ascii="Times New Roman" w:cs="Times New Roman" w:eastAsia="Times New Roman" w:hAnsi="Times New Roman"/>
                <w:sz w:val="17"/>
                <w:szCs w:val="17"/>
                <w:color w:val="auto"/>
              </w:rPr>
              <w:t>respecting human rights,</w:t>
            </w:r>
          </w:p>
        </w:tc>
        <w:tc>
          <w:tcPr>
            <w:tcW w:w="2040" w:type="dxa"/>
            <w:vAlign w:val="bottom"/>
            <w:gridSpan w:val="2"/>
            <w:shd w:val="clear" w:color="auto" w:fill="D9EDFA"/>
          </w:tcPr>
          <w:p>
            <w:pPr>
              <w:ind w:left="80"/>
              <w:spacing w:after="0"/>
              <w:rPr>
                <w:sz w:val="20"/>
                <w:szCs w:val="20"/>
                <w:color w:val="auto"/>
              </w:rPr>
            </w:pPr>
            <w:r>
              <w:rPr>
                <w:rFonts w:ascii="Times New Roman" w:cs="Times New Roman" w:eastAsia="Times New Roman" w:hAnsi="Times New Roman"/>
                <w:sz w:val="17"/>
                <w:szCs w:val="17"/>
                <w:color w:val="auto"/>
              </w:rPr>
              <w:t>environmental footprint of</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800" w:type="dxa"/>
            <w:vAlign w:val="bottom"/>
            <w:shd w:val="clear" w:color="auto" w:fill="D9EDFA"/>
          </w:tcPr>
          <w:p>
            <w:pPr>
              <w:spacing w:after="0"/>
              <w:rPr>
                <w:sz w:val="20"/>
                <w:szCs w:val="20"/>
                <w:color w:val="auto"/>
              </w:rPr>
            </w:pPr>
            <w:r>
              <w:rPr>
                <w:rFonts w:ascii="Times New Roman" w:cs="Times New Roman" w:eastAsia="Times New Roman" w:hAnsi="Times New Roman"/>
                <w:sz w:val="17"/>
                <w:szCs w:val="17"/>
                <w:color w:val="auto"/>
              </w:rPr>
              <w:t>against evolving cyber</w:t>
            </w:r>
          </w:p>
        </w:tc>
        <w:tc>
          <w:tcPr>
            <w:tcW w:w="2040" w:type="dxa"/>
            <w:vAlign w:val="bottom"/>
            <w:gridSpan w:val="3"/>
            <w:shd w:val="clear" w:color="auto" w:fill="D9EDFA"/>
          </w:tcPr>
          <w:p>
            <w:pPr>
              <w:ind w:left="80"/>
              <w:spacing w:after="0"/>
              <w:rPr>
                <w:sz w:val="20"/>
                <w:szCs w:val="20"/>
                <w:color w:val="auto"/>
              </w:rPr>
            </w:pPr>
            <w:r>
              <w:rPr>
                <w:rFonts w:ascii="Times New Roman" w:cs="Times New Roman" w:eastAsia="Times New Roman" w:hAnsi="Times New Roman"/>
                <w:sz w:val="17"/>
                <w:szCs w:val="17"/>
                <w:color w:val="auto"/>
              </w:rPr>
              <w:t>By empowering</w:t>
            </w:r>
          </w:p>
        </w:tc>
        <w:tc>
          <w:tcPr>
            <w:tcW w:w="1960" w:type="dxa"/>
            <w:vAlign w:val="bottom"/>
            <w:shd w:val="clear" w:color="auto" w:fill="D9EDFA"/>
          </w:tcPr>
          <w:p>
            <w:pPr>
              <w:spacing w:after="0"/>
              <w:rPr>
                <w:sz w:val="20"/>
                <w:szCs w:val="20"/>
                <w:color w:val="auto"/>
              </w:rPr>
            </w:pPr>
            <w:r>
              <w:rPr>
                <w:rFonts w:ascii="Times New Roman" w:cs="Times New Roman" w:eastAsia="Times New Roman" w:hAnsi="Times New Roman"/>
                <w:sz w:val="17"/>
                <w:szCs w:val="17"/>
                <w:color w:val="auto"/>
              </w:rPr>
              <w:t>complying with all laws,</w:t>
            </w:r>
          </w:p>
        </w:tc>
        <w:tc>
          <w:tcPr>
            <w:tcW w:w="2040" w:type="dxa"/>
            <w:vAlign w:val="bottom"/>
            <w:gridSpan w:val="2"/>
            <w:shd w:val="clear" w:color="auto" w:fill="D9EDFA"/>
          </w:tcPr>
          <w:p>
            <w:pPr>
              <w:ind w:left="80"/>
              <w:spacing w:after="0"/>
              <w:rPr>
                <w:sz w:val="20"/>
                <w:szCs w:val="20"/>
                <w:color w:val="auto"/>
              </w:rPr>
            </w:pPr>
            <w:r>
              <w:rPr>
                <w:rFonts w:ascii="Times New Roman" w:cs="Times New Roman" w:eastAsia="Times New Roman" w:hAnsi="Times New Roman"/>
                <w:sz w:val="17"/>
                <w:szCs w:val="17"/>
                <w:color w:val="auto"/>
              </w:rPr>
              <w:t>our solutions, operations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800" w:type="dxa"/>
            <w:vAlign w:val="bottom"/>
            <w:shd w:val="clear" w:color="auto" w:fill="D9EDFA"/>
          </w:tcPr>
          <w:p>
            <w:pPr>
              <w:spacing w:after="0"/>
              <w:rPr>
                <w:sz w:val="20"/>
                <w:szCs w:val="20"/>
                <w:color w:val="auto"/>
              </w:rPr>
            </w:pPr>
            <w:r>
              <w:rPr>
                <w:rFonts w:ascii="Times New Roman" w:cs="Times New Roman" w:eastAsia="Times New Roman" w:hAnsi="Times New Roman"/>
                <w:sz w:val="17"/>
                <w:szCs w:val="17"/>
                <w:color w:val="auto"/>
              </w:rPr>
              <w:t>threats, collaborating</w:t>
            </w:r>
          </w:p>
        </w:tc>
        <w:tc>
          <w:tcPr>
            <w:tcW w:w="2040" w:type="dxa"/>
            <w:vAlign w:val="bottom"/>
            <w:gridSpan w:val="3"/>
            <w:shd w:val="clear" w:color="auto" w:fill="D9EDFA"/>
          </w:tcPr>
          <w:p>
            <w:pPr>
              <w:ind w:left="80"/>
              <w:spacing w:after="0"/>
              <w:rPr>
                <w:sz w:val="20"/>
                <w:szCs w:val="20"/>
                <w:color w:val="auto"/>
              </w:rPr>
            </w:pPr>
            <w:r>
              <w:rPr>
                <w:rFonts w:ascii="Times New Roman" w:cs="Times New Roman" w:eastAsia="Times New Roman" w:hAnsi="Times New Roman"/>
                <w:sz w:val="17"/>
                <w:szCs w:val="17"/>
                <w:color w:val="auto"/>
              </w:rPr>
              <w:t>individuals from all</w:t>
            </w:r>
          </w:p>
        </w:tc>
        <w:tc>
          <w:tcPr>
            <w:tcW w:w="1960" w:type="dxa"/>
            <w:vAlign w:val="bottom"/>
            <w:shd w:val="clear" w:color="auto" w:fill="D9EDFA"/>
          </w:tcPr>
          <w:p>
            <w:pPr>
              <w:spacing w:after="0"/>
              <w:rPr>
                <w:sz w:val="20"/>
                <w:szCs w:val="20"/>
                <w:color w:val="auto"/>
              </w:rPr>
            </w:pPr>
            <w:r>
              <w:rPr>
                <w:rFonts w:ascii="Times New Roman" w:cs="Times New Roman" w:eastAsia="Times New Roman" w:hAnsi="Times New Roman"/>
                <w:sz w:val="17"/>
                <w:szCs w:val="17"/>
                <w:color w:val="auto"/>
              </w:rPr>
              <w:t>and ensuring our</w:t>
            </w:r>
          </w:p>
        </w:tc>
        <w:tc>
          <w:tcPr>
            <w:tcW w:w="2040" w:type="dxa"/>
            <w:vAlign w:val="bottom"/>
            <w:gridSpan w:val="2"/>
            <w:shd w:val="clear" w:color="auto" w:fill="D9EDFA"/>
          </w:tcPr>
          <w:p>
            <w:pPr>
              <w:ind w:left="80"/>
              <w:spacing w:after="0"/>
              <w:rPr>
                <w:sz w:val="20"/>
                <w:szCs w:val="20"/>
                <w:color w:val="auto"/>
              </w:rPr>
            </w:pPr>
            <w:r>
              <w:rPr>
                <w:rFonts w:ascii="Times New Roman" w:cs="Times New Roman" w:eastAsia="Times New Roman" w:hAnsi="Times New Roman"/>
                <w:sz w:val="17"/>
                <w:szCs w:val="17"/>
                <w:color w:val="auto"/>
              </w:rPr>
              <w:t>and our broader 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800" w:type="dxa"/>
            <w:vAlign w:val="bottom"/>
            <w:shd w:val="clear" w:color="auto" w:fill="D9EDFA"/>
          </w:tcPr>
          <w:p>
            <w:pPr>
              <w:spacing w:after="0"/>
              <w:rPr>
                <w:sz w:val="20"/>
                <w:szCs w:val="20"/>
                <w:color w:val="auto"/>
              </w:rPr>
            </w:pPr>
            <w:r>
              <w:rPr>
                <w:rFonts w:ascii="Times New Roman" w:cs="Times New Roman" w:eastAsia="Times New Roman" w:hAnsi="Times New Roman"/>
                <w:sz w:val="17"/>
                <w:szCs w:val="17"/>
                <w:color w:val="auto"/>
              </w:rPr>
              <w:t>with public and private</w:t>
            </w:r>
          </w:p>
        </w:tc>
        <w:tc>
          <w:tcPr>
            <w:tcW w:w="2040" w:type="dxa"/>
            <w:vAlign w:val="bottom"/>
            <w:gridSpan w:val="3"/>
            <w:shd w:val="clear" w:color="auto" w:fill="D9EDFA"/>
          </w:tcPr>
          <w:p>
            <w:pPr>
              <w:ind w:left="80"/>
              <w:spacing w:after="0"/>
              <w:rPr>
                <w:sz w:val="20"/>
                <w:szCs w:val="20"/>
                <w:color w:val="auto"/>
              </w:rPr>
            </w:pPr>
            <w:r>
              <w:rPr>
                <w:rFonts w:ascii="Times New Roman" w:cs="Times New Roman" w:eastAsia="Times New Roman" w:hAnsi="Times New Roman"/>
                <w:sz w:val="17"/>
                <w:szCs w:val="17"/>
                <w:color w:val="auto"/>
              </w:rPr>
              <w:t>backgrounds to reach their</w:t>
            </w:r>
          </w:p>
        </w:tc>
        <w:tc>
          <w:tcPr>
            <w:tcW w:w="1960" w:type="dxa"/>
            <w:vAlign w:val="bottom"/>
            <w:shd w:val="clear" w:color="auto" w:fill="D9EDFA"/>
          </w:tcPr>
          <w:p>
            <w:pPr>
              <w:spacing w:after="0"/>
              <w:rPr>
                <w:sz w:val="20"/>
                <w:szCs w:val="20"/>
                <w:color w:val="auto"/>
              </w:rPr>
            </w:pPr>
            <w:r>
              <w:rPr>
                <w:rFonts w:ascii="Times New Roman" w:cs="Times New Roman" w:eastAsia="Times New Roman" w:hAnsi="Times New Roman"/>
                <w:sz w:val="17"/>
                <w:szCs w:val="17"/>
                <w:color w:val="auto"/>
              </w:rPr>
              <w:t>employees, partners and</w:t>
            </w:r>
          </w:p>
        </w:tc>
        <w:tc>
          <w:tcPr>
            <w:tcW w:w="2040" w:type="dxa"/>
            <w:vAlign w:val="bottom"/>
            <w:gridSpan w:val="2"/>
            <w:shd w:val="clear" w:color="auto" w:fill="D9EDFA"/>
          </w:tcPr>
          <w:p>
            <w:pPr>
              <w:ind w:left="80"/>
              <w:spacing w:after="0"/>
              <w:rPr>
                <w:sz w:val="20"/>
                <w:szCs w:val="20"/>
                <w:color w:val="auto"/>
              </w:rPr>
            </w:pPr>
            <w:r>
              <w:rPr>
                <w:rFonts w:ascii="Times New Roman" w:cs="Times New Roman" w:eastAsia="Times New Roman" w:hAnsi="Times New Roman"/>
                <w:sz w:val="17"/>
                <w:szCs w:val="17"/>
                <w:color w:val="auto"/>
              </w:rPr>
              <w:t>chain.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800" w:type="dxa"/>
            <w:vAlign w:val="bottom"/>
            <w:shd w:val="clear" w:color="auto" w:fill="D9EDFA"/>
          </w:tcPr>
          <w:p>
            <w:pPr>
              <w:spacing w:after="0"/>
              <w:rPr>
                <w:sz w:val="20"/>
                <w:szCs w:val="20"/>
                <w:color w:val="auto"/>
              </w:rPr>
            </w:pPr>
            <w:r>
              <w:rPr>
                <w:rFonts w:ascii="Times New Roman" w:cs="Times New Roman" w:eastAsia="Times New Roman" w:hAnsi="Times New Roman"/>
                <w:sz w:val="17"/>
                <w:szCs w:val="17"/>
                <w:color w:val="auto"/>
              </w:rPr>
              <w:t>organizations globally to</w:t>
            </w:r>
          </w:p>
        </w:tc>
        <w:tc>
          <w:tcPr>
            <w:tcW w:w="2040" w:type="dxa"/>
            <w:vAlign w:val="bottom"/>
            <w:gridSpan w:val="3"/>
            <w:shd w:val="clear" w:color="auto" w:fill="D9EDFA"/>
          </w:tcPr>
          <w:p>
            <w:pPr>
              <w:ind w:left="80"/>
              <w:spacing w:after="0"/>
              <w:rPr>
                <w:sz w:val="20"/>
                <w:szCs w:val="20"/>
                <w:color w:val="auto"/>
              </w:rPr>
            </w:pPr>
            <w:r>
              <w:rPr>
                <w:rFonts w:ascii="Times New Roman" w:cs="Times New Roman" w:eastAsia="Times New Roman" w:hAnsi="Times New Roman"/>
                <w:sz w:val="17"/>
                <w:szCs w:val="17"/>
                <w:color w:val="auto"/>
              </w:rPr>
              <w:t>full potential and</w:t>
            </w:r>
          </w:p>
        </w:tc>
        <w:tc>
          <w:tcPr>
            <w:tcW w:w="1960" w:type="dxa"/>
            <w:vAlign w:val="bottom"/>
            <w:shd w:val="clear" w:color="auto" w:fill="D9EDFA"/>
          </w:tcPr>
          <w:p>
            <w:pPr>
              <w:spacing w:after="0"/>
              <w:rPr>
                <w:sz w:val="20"/>
                <w:szCs w:val="20"/>
                <w:color w:val="auto"/>
              </w:rPr>
            </w:pPr>
            <w:r>
              <w:rPr>
                <w:rFonts w:ascii="Times New Roman" w:cs="Times New Roman" w:eastAsia="Times New Roman" w:hAnsi="Times New Roman"/>
                <w:sz w:val="17"/>
                <w:szCs w:val="17"/>
                <w:color w:val="auto"/>
              </w:rPr>
              <w:t>others adhere to our</w:t>
            </w:r>
          </w:p>
        </w:tc>
        <w:tc>
          <w:tcPr>
            <w:tcW w:w="80" w:type="dxa"/>
            <w:vAlign w:val="bottom"/>
            <w:shd w:val="clear" w:color="auto" w:fill="D9EDFA"/>
          </w:tcPr>
          <w:p>
            <w:pPr>
              <w:spacing w:after="0"/>
              <w:rPr>
                <w:sz w:val="18"/>
                <w:szCs w:val="18"/>
                <w:color w:val="auto"/>
              </w:rPr>
            </w:pPr>
          </w:p>
        </w:tc>
        <w:tc>
          <w:tcPr>
            <w:tcW w:w="1960" w:type="dxa"/>
            <w:vAlign w:val="bottom"/>
            <w:shd w:val="clear" w:color="auto" w:fill="D9EDFA"/>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800" w:type="dxa"/>
            <w:vAlign w:val="bottom"/>
            <w:shd w:val="clear" w:color="auto" w:fill="D9EDFA"/>
          </w:tcPr>
          <w:p>
            <w:pPr>
              <w:spacing w:after="0"/>
              <w:rPr>
                <w:sz w:val="20"/>
                <w:szCs w:val="20"/>
                <w:color w:val="auto"/>
              </w:rPr>
            </w:pPr>
            <w:r>
              <w:rPr>
                <w:rFonts w:ascii="Times New Roman" w:cs="Times New Roman" w:eastAsia="Times New Roman" w:hAnsi="Times New Roman"/>
                <w:sz w:val="17"/>
                <w:szCs w:val="17"/>
                <w:color w:val="auto"/>
              </w:rPr>
              <w:t>combat cybercrime, and</w:t>
            </w:r>
          </w:p>
        </w:tc>
        <w:tc>
          <w:tcPr>
            <w:tcW w:w="2040" w:type="dxa"/>
            <w:vAlign w:val="bottom"/>
            <w:gridSpan w:val="3"/>
            <w:shd w:val="clear" w:color="auto" w:fill="D9EDFA"/>
          </w:tcPr>
          <w:p>
            <w:pPr>
              <w:ind w:left="80"/>
              <w:spacing w:after="0"/>
              <w:rPr>
                <w:sz w:val="20"/>
                <w:szCs w:val="20"/>
                <w:color w:val="auto"/>
              </w:rPr>
            </w:pPr>
            <w:r>
              <w:rPr>
                <w:rFonts w:ascii="Times New Roman" w:cs="Times New Roman" w:eastAsia="Times New Roman" w:hAnsi="Times New Roman"/>
                <w:sz w:val="17"/>
                <w:szCs w:val="17"/>
                <w:color w:val="auto"/>
              </w:rPr>
              <w:t>providing the knowledge</w:t>
            </w:r>
          </w:p>
        </w:tc>
        <w:tc>
          <w:tcPr>
            <w:tcW w:w="1960" w:type="dxa"/>
            <w:vAlign w:val="bottom"/>
            <w:shd w:val="clear" w:color="auto" w:fill="D9EDFA"/>
          </w:tcPr>
          <w:p>
            <w:pPr>
              <w:spacing w:after="0"/>
              <w:rPr>
                <w:sz w:val="20"/>
                <w:szCs w:val="20"/>
                <w:color w:val="auto"/>
              </w:rPr>
            </w:pPr>
            <w:r>
              <w:rPr>
                <w:rFonts w:ascii="Times New Roman" w:cs="Times New Roman" w:eastAsia="Times New Roman" w:hAnsi="Times New Roman"/>
                <w:sz w:val="17"/>
                <w:szCs w:val="17"/>
                <w:color w:val="auto"/>
              </w:rPr>
              <w:t>policies. To protect our</w:t>
            </w:r>
          </w:p>
        </w:tc>
        <w:tc>
          <w:tcPr>
            <w:tcW w:w="80" w:type="dxa"/>
            <w:vAlign w:val="bottom"/>
            <w:shd w:val="clear" w:color="auto" w:fill="D9EDFA"/>
          </w:tcPr>
          <w:p>
            <w:pPr>
              <w:spacing w:after="0"/>
              <w:rPr>
                <w:sz w:val="18"/>
                <w:szCs w:val="18"/>
                <w:color w:val="auto"/>
              </w:rPr>
            </w:pPr>
          </w:p>
        </w:tc>
        <w:tc>
          <w:tcPr>
            <w:tcW w:w="1960" w:type="dxa"/>
            <w:vAlign w:val="bottom"/>
            <w:shd w:val="clear" w:color="auto" w:fill="D9EDFA"/>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800" w:type="dxa"/>
            <w:vAlign w:val="bottom"/>
            <w:shd w:val="clear" w:color="auto" w:fill="D9EDFA"/>
          </w:tcPr>
          <w:p>
            <w:pPr>
              <w:spacing w:after="0"/>
              <w:rPr>
                <w:sz w:val="20"/>
                <w:szCs w:val="20"/>
                <w:color w:val="auto"/>
              </w:rPr>
            </w:pPr>
            <w:r>
              <w:rPr>
                <w:rFonts w:ascii="Times New Roman" w:cs="Times New Roman" w:eastAsia="Times New Roman" w:hAnsi="Times New Roman"/>
                <w:sz w:val="17"/>
                <w:szCs w:val="17"/>
                <w:color w:val="auto"/>
              </w:rPr>
              <w:t>engaging customers to</w:t>
            </w:r>
          </w:p>
        </w:tc>
        <w:tc>
          <w:tcPr>
            <w:tcW w:w="2040" w:type="dxa"/>
            <w:vAlign w:val="bottom"/>
            <w:gridSpan w:val="3"/>
            <w:shd w:val="clear" w:color="auto" w:fill="D9EDFA"/>
          </w:tcPr>
          <w:p>
            <w:pPr>
              <w:ind w:left="80"/>
              <w:spacing w:after="0"/>
              <w:rPr>
                <w:sz w:val="20"/>
                <w:szCs w:val="20"/>
                <w:color w:val="auto"/>
              </w:rPr>
            </w:pPr>
            <w:r>
              <w:rPr>
                <w:rFonts w:ascii="Times New Roman" w:cs="Times New Roman" w:eastAsia="Times New Roman" w:hAnsi="Times New Roman"/>
                <w:sz w:val="17"/>
                <w:szCs w:val="17"/>
                <w:color w:val="auto"/>
              </w:rPr>
              <w:t>needed to navigate the</w:t>
            </w:r>
          </w:p>
        </w:tc>
        <w:tc>
          <w:tcPr>
            <w:tcW w:w="1960" w:type="dxa"/>
            <w:vAlign w:val="bottom"/>
            <w:shd w:val="clear" w:color="auto" w:fill="D9EDFA"/>
          </w:tcPr>
          <w:p>
            <w:pPr>
              <w:spacing w:after="0"/>
              <w:rPr>
                <w:sz w:val="20"/>
                <w:szCs w:val="20"/>
                <w:color w:val="auto"/>
              </w:rPr>
            </w:pPr>
            <w:r>
              <w:rPr>
                <w:rFonts w:ascii="Times New Roman" w:cs="Times New Roman" w:eastAsia="Times New Roman" w:hAnsi="Times New Roman"/>
                <w:sz w:val="17"/>
                <w:szCs w:val="17"/>
                <w:color w:val="auto"/>
              </w:rPr>
              <w:t>information systems and</w:t>
            </w:r>
          </w:p>
        </w:tc>
        <w:tc>
          <w:tcPr>
            <w:tcW w:w="80" w:type="dxa"/>
            <w:vAlign w:val="bottom"/>
            <w:shd w:val="clear" w:color="auto" w:fill="D9EDFA"/>
          </w:tcPr>
          <w:p>
            <w:pPr>
              <w:spacing w:after="0"/>
              <w:rPr>
                <w:sz w:val="18"/>
                <w:szCs w:val="18"/>
                <w:color w:val="auto"/>
              </w:rPr>
            </w:pPr>
          </w:p>
        </w:tc>
        <w:tc>
          <w:tcPr>
            <w:tcW w:w="1960" w:type="dxa"/>
            <w:vAlign w:val="bottom"/>
            <w:shd w:val="clear" w:color="auto" w:fill="D9EDFA"/>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800" w:type="dxa"/>
            <w:vAlign w:val="bottom"/>
            <w:shd w:val="clear" w:color="auto" w:fill="D9EDFA"/>
          </w:tcPr>
          <w:p>
            <w:pPr>
              <w:spacing w:after="0"/>
              <w:rPr>
                <w:sz w:val="20"/>
                <w:szCs w:val="20"/>
                <w:color w:val="auto"/>
              </w:rPr>
            </w:pPr>
            <w:r>
              <w:rPr>
                <w:rFonts w:ascii="Times New Roman" w:cs="Times New Roman" w:eastAsia="Times New Roman" w:hAnsi="Times New Roman"/>
                <w:sz w:val="17"/>
                <w:szCs w:val="17"/>
                <w:color w:val="auto"/>
              </w:rPr>
              <w:t>support their continued</w:t>
            </w:r>
          </w:p>
        </w:tc>
        <w:tc>
          <w:tcPr>
            <w:tcW w:w="2040" w:type="dxa"/>
            <w:vAlign w:val="bottom"/>
            <w:gridSpan w:val="3"/>
            <w:shd w:val="clear" w:color="auto" w:fill="D9EDFA"/>
          </w:tcPr>
          <w:p>
            <w:pPr>
              <w:ind w:left="80"/>
              <w:spacing w:after="0"/>
              <w:rPr>
                <w:sz w:val="20"/>
                <w:szCs w:val="20"/>
                <w:color w:val="auto"/>
              </w:rPr>
            </w:pPr>
            <w:r>
              <w:rPr>
                <w:rFonts w:ascii="Times New Roman" w:cs="Times New Roman" w:eastAsia="Times New Roman" w:hAnsi="Times New Roman"/>
                <w:sz w:val="17"/>
                <w:szCs w:val="17"/>
                <w:color w:val="auto"/>
              </w:rPr>
              <w:t>digital world securely, we</w:t>
            </w:r>
          </w:p>
        </w:tc>
        <w:tc>
          <w:tcPr>
            <w:tcW w:w="1960" w:type="dxa"/>
            <w:vAlign w:val="bottom"/>
            <w:shd w:val="clear" w:color="auto" w:fill="D9EDFA"/>
          </w:tcPr>
          <w:p>
            <w:pPr>
              <w:spacing w:after="0"/>
              <w:rPr>
                <w:sz w:val="20"/>
                <w:szCs w:val="20"/>
                <w:color w:val="auto"/>
              </w:rPr>
            </w:pPr>
            <w:r>
              <w:rPr>
                <w:rFonts w:ascii="Times New Roman" w:cs="Times New Roman" w:eastAsia="Times New Roman" w:hAnsi="Times New Roman"/>
                <w:sz w:val="17"/>
                <w:szCs w:val="17"/>
                <w:color w:val="auto"/>
              </w:rPr>
              <w:t>our employees’ and</w:t>
            </w:r>
          </w:p>
        </w:tc>
        <w:tc>
          <w:tcPr>
            <w:tcW w:w="80" w:type="dxa"/>
            <w:vAlign w:val="bottom"/>
            <w:shd w:val="clear" w:color="auto" w:fill="D9EDFA"/>
          </w:tcPr>
          <w:p>
            <w:pPr>
              <w:spacing w:after="0"/>
              <w:rPr>
                <w:sz w:val="18"/>
                <w:szCs w:val="18"/>
                <w:color w:val="auto"/>
              </w:rPr>
            </w:pPr>
          </w:p>
        </w:tc>
        <w:tc>
          <w:tcPr>
            <w:tcW w:w="1960" w:type="dxa"/>
            <w:vAlign w:val="bottom"/>
            <w:shd w:val="clear" w:color="auto" w:fill="D9EDFA"/>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800" w:type="dxa"/>
            <w:vAlign w:val="bottom"/>
            <w:shd w:val="clear" w:color="auto" w:fill="D9EDFA"/>
          </w:tcPr>
          <w:p>
            <w:pPr>
              <w:spacing w:after="0"/>
              <w:rPr>
                <w:sz w:val="20"/>
                <w:szCs w:val="20"/>
                <w:color w:val="auto"/>
              </w:rPr>
            </w:pPr>
            <w:r>
              <w:rPr>
                <w:rFonts w:ascii="Times New Roman" w:cs="Times New Roman" w:eastAsia="Times New Roman" w:hAnsi="Times New Roman"/>
                <w:sz w:val="17"/>
                <w:szCs w:val="17"/>
                <w:color w:val="auto"/>
              </w:rPr>
              <w:t>success.</w:t>
            </w:r>
          </w:p>
        </w:tc>
        <w:tc>
          <w:tcPr>
            <w:tcW w:w="2040" w:type="dxa"/>
            <w:vAlign w:val="bottom"/>
            <w:gridSpan w:val="3"/>
            <w:shd w:val="clear" w:color="auto" w:fill="D9EDFA"/>
          </w:tcPr>
          <w:p>
            <w:pPr>
              <w:ind w:left="80"/>
              <w:spacing w:after="0"/>
              <w:rPr>
                <w:sz w:val="20"/>
                <w:szCs w:val="20"/>
                <w:color w:val="auto"/>
              </w:rPr>
            </w:pPr>
            <w:r>
              <w:rPr>
                <w:rFonts w:ascii="Times New Roman" w:cs="Times New Roman" w:eastAsia="Times New Roman" w:hAnsi="Times New Roman"/>
                <w:sz w:val="17"/>
                <w:szCs w:val="17"/>
                <w:color w:val="auto"/>
              </w:rPr>
              <w:t>help bridge the</w:t>
            </w:r>
          </w:p>
        </w:tc>
        <w:tc>
          <w:tcPr>
            <w:tcW w:w="1960" w:type="dxa"/>
            <w:vAlign w:val="bottom"/>
            <w:shd w:val="clear" w:color="auto" w:fill="D9EDFA"/>
          </w:tcPr>
          <w:p>
            <w:pPr>
              <w:spacing w:after="0"/>
              <w:rPr>
                <w:sz w:val="20"/>
                <w:szCs w:val="20"/>
                <w:color w:val="auto"/>
              </w:rPr>
            </w:pPr>
            <w:r>
              <w:rPr>
                <w:rFonts w:ascii="Times New Roman" w:cs="Times New Roman" w:eastAsia="Times New Roman" w:hAnsi="Times New Roman"/>
                <w:sz w:val="17"/>
                <w:szCs w:val="17"/>
                <w:color w:val="auto"/>
              </w:rPr>
              <w:t>customers’ data, we</w:t>
            </w:r>
          </w:p>
        </w:tc>
        <w:tc>
          <w:tcPr>
            <w:tcW w:w="80" w:type="dxa"/>
            <w:vAlign w:val="bottom"/>
            <w:shd w:val="clear" w:color="auto" w:fill="D9EDFA"/>
          </w:tcPr>
          <w:p>
            <w:pPr>
              <w:spacing w:after="0"/>
              <w:rPr>
                <w:sz w:val="18"/>
                <w:szCs w:val="18"/>
                <w:color w:val="auto"/>
              </w:rPr>
            </w:pPr>
          </w:p>
        </w:tc>
        <w:tc>
          <w:tcPr>
            <w:tcW w:w="1960" w:type="dxa"/>
            <w:vAlign w:val="bottom"/>
            <w:shd w:val="clear" w:color="auto" w:fill="D9EDFA"/>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800" w:type="dxa"/>
            <w:vAlign w:val="bottom"/>
            <w:shd w:val="clear" w:color="auto" w:fill="D9EDFA"/>
          </w:tcPr>
          <w:p>
            <w:pPr>
              <w:spacing w:after="0"/>
              <w:rPr>
                <w:sz w:val="18"/>
                <w:szCs w:val="18"/>
                <w:color w:val="auto"/>
              </w:rPr>
            </w:pPr>
          </w:p>
        </w:tc>
        <w:tc>
          <w:tcPr>
            <w:tcW w:w="2040" w:type="dxa"/>
            <w:vAlign w:val="bottom"/>
            <w:gridSpan w:val="3"/>
            <w:shd w:val="clear" w:color="auto" w:fill="D9EDFA"/>
          </w:tcPr>
          <w:p>
            <w:pPr>
              <w:ind w:left="80"/>
              <w:spacing w:after="0"/>
              <w:rPr>
                <w:sz w:val="20"/>
                <w:szCs w:val="20"/>
                <w:color w:val="auto"/>
              </w:rPr>
            </w:pPr>
            <w:r>
              <w:rPr>
                <w:rFonts w:ascii="Times New Roman" w:cs="Times New Roman" w:eastAsia="Times New Roman" w:hAnsi="Times New Roman"/>
                <w:sz w:val="17"/>
                <w:szCs w:val="17"/>
                <w:color w:val="auto"/>
              </w:rPr>
              <w:t>cybersecurity skills gap</w:t>
            </w:r>
          </w:p>
        </w:tc>
        <w:tc>
          <w:tcPr>
            <w:tcW w:w="1960" w:type="dxa"/>
            <w:vAlign w:val="bottom"/>
            <w:shd w:val="clear" w:color="auto" w:fill="D9EDFA"/>
          </w:tcPr>
          <w:p>
            <w:pPr>
              <w:spacing w:after="0"/>
              <w:rPr>
                <w:sz w:val="20"/>
                <w:szCs w:val="20"/>
                <w:color w:val="auto"/>
              </w:rPr>
            </w:pPr>
            <w:r>
              <w:rPr>
                <w:rFonts w:ascii="Times New Roman" w:cs="Times New Roman" w:eastAsia="Times New Roman" w:hAnsi="Times New Roman"/>
                <w:sz w:val="17"/>
                <w:szCs w:val="17"/>
                <w:color w:val="auto"/>
              </w:rPr>
              <w:t>implement best practices in</w:t>
            </w:r>
          </w:p>
        </w:tc>
        <w:tc>
          <w:tcPr>
            <w:tcW w:w="80" w:type="dxa"/>
            <w:vAlign w:val="bottom"/>
            <w:shd w:val="clear" w:color="auto" w:fill="D9EDFA"/>
          </w:tcPr>
          <w:p>
            <w:pPr>
              <w:spacing w:after="0"/>
              <w:rPr>
                <w:sz w:val="18"/>
                <w:szCs w:val="18"/>
                <w:color w:val="auto"/>
              </w:rPr>
            </w:pPr>
          </w:p>
        </w:tc>
        <w:tc>
          <w:tcPr>
            <w:tcW w:w="1960" w:type="dxa"/>
            <w:vAlign w:val="bottom"/>
            <w:shd w:val="clear" w:color="auto" w:fill="D9EDFA"/>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800" w:type="dxa"/>
            <w:vAlign w:val="bottom"/>
            <w:shd w:val="clear" w:color="auto" w:fill="D9EDFA"/>
          </w:tcPr>
          <w:p>
            <w:pPr>
              <w:spacing w:after="0"/>
              <w:rPr>
                <w:sz w:val="18"/>
                <w:szCs w:val="18"/>
                <w:color w:val="auto"/>
              </w:rPr>
            </w:pPr>
          </w:p>
        </w:tc>
        <w:tc>
          <w:tcPr>
            <w:tcW w:w="2040" w:type="dxa"/>
            <w:vAlign w:val="bottom"/>
            <w:gridSpan w:val="3"/>
            <w:shd w:val="clear" w:color="auto" w:fill="D9EDFA"/>
          </w:tcPr>
          <w:p>
            <w:pPr>
              <w:ind w:left="80"/>
              <w:spacing w:after="0"/>
              <w:rPr>
                <w:sz w:val="20"/>
                <w:szCs w:val="20"/>
                <w:color w:val="auto"/>
              </w:rPr>
            </w:pPr>
            <w:r>
              <w:rPr>
                <w:rFonts w:ascii="Times New Roman" w:cs="Times New Roman" w:eastAsia="Times New Roman" w:hAnsi="Times New Roman"/>
                <w:sz w:val="17"/>
                <w:szCs w:val="17"/>
                <w:color w:val="auto"/>
              </w:rPr>
              <w:t>and build a safer, more</w:t>
            </w:r>
          </w:p>
        </w:tc>
        <w:tc>
          <w:tcPr>
            <w:tcW w:w="1960" w:type="dxa"/>
            <w:vAlign w:val="bottom"/>
            <w:shd w:val="clear" w:color="auto" w:fill="D9EDFA"/>
          </w:tcPr>
          <w:p>
            <w:pPr>
              <w:spacing w:after="0"/>
              <w:rPr>
                <w:sz w:val="20"/>
                <w:szCs w:val="20"/>
                <w:color w:val="auto"/>
              </w:rPr>
            </w:pPr>
            <w:r>
              <w:rPr>
                <w:rFonts w:ascii="Times New Roman" w:cs="Times New Roman" w:eastAsia="Times New Roman" w:hAnsi="Times New Roman"/>
                <w:sz w:val="17"/>
                <w:szCs w:val="17"/>
                <w:color w:val="auto"/>
              </w:rPr>
              <w:t>the industry and uphold the</w:t>
            </w:r>
          </w:p>
        </w:tc>
        <w:tc>
          <w:tcPr>
            <w:tcW w:w="80" w:type="dxa"/>
            <w:vAlign w:val="bottom"/>
            <w:shd w:val="clear" w:color="auto" w:fill="D9EDFA"/>
          </w:tcPr>
          <w:p>
            <w:pPr>
              <w:spacing w:after="0"/>
              <w:rPr>
                <w:sz w:val="18"/>
                <w:szCs w:val="18"/>
                <w:color w:val="auto"/>
              </w:rPr>
            </w:pPr>
          </w:p>
        </w:tc>
        <w:tc>
          <w:tcPr>
            <w:tcW w:w="1960" w:type="dxa"/>
            <w:vAlign w:val="bottom"/>
            <w:shd w:val="clear" w:color="auto" w:fill="D9EDFA"/>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800" w:type="dxa"/>
            <w:vAlign w:val="bottom"/>
            <w:shd w:val="clear" w:color="auto" w:fill="D9EDFA"/>
          </w:tcPr>
          <w:p>
            <w:pPr>
              <w:spacing w:after="0"/>
              <w:rPr>
                <w:sz w:val="18"/>
                <w:szCs w:val="18"/>
                <w:color w:val="auto"/>
              </w:rPr>
            </w:pPr>
          </w:p>
        </w:tc>
        <w:tc>
          <w:tcPr>
            <w:tcW w:w="2040" w:type="dxa"/>
            <w:vAlign w:val="bottom"/>
            <w:gridSpan w:val="3"/>
            <w:shd w:val="clear" w:color="auto" w:fill="D9EDFA"/>
          </w:tcPr>
          <w:p>
            <w:pPr>
              <w:ind w:left="80"/>
              <w:spacing w:after="0"/>
              <w:rPr>
                <w:sz w:val="20"/>
                <w:szCs w:val="20"/>
                <w:color w:val="auto"/>
              </w:rPr>
            </w:pPr>
            <w:r>
              <w:rPr>
                <w:rFonts w:ascii="Times New Roman" w:cs="Times New Roman" w:eastAsia="Times New Roman" w:hAnsi="Times New Roman"/>
                <w:sz w:val="17"/>
                <w:szCs w:val="17"/>
                <w:color w:val="auto"/>
              </w:rPr>
              <w:t>resilient digital future for</w:t>
            </w:r>
          </w:p>
        </w:tc>
        <w:tc>
          <w:tcPr>
            <w:tcW w:w="1960" w:type="dxa"/>
            <w:vAlign w:val="bottom"/>
            <w:shd w:val="clear" w:color="auto" w:fill="D9EDFA"/>
          </w:tcPr>
          <w:p>
            <w:pPr>
              <w:spacing w:after="0"/>
              <w:rPr>
                <w:sz w:val="20"/>
                <w:szCs w:val="20"/>
                <w:color w:val="auto"/>
              </w:rPr>
            </w:pPr>
            <w:r>
              <w:rPr>
                <w:rFonts w:ascii="Times New Roman" w:cs="Times New Roman" w:eastAsia="Times New Roman" w:hAnsi="Times New Roman"/>
                <w:sz w:val="17"/>
                <w:szCs w:val="17"/>
                <w:color w:val="auto"/>
              </w:rPr>
              <w:t>highest standards internally</w:t>
            </w:r>
          </w:p>
        </w:tc>
        <w:tc>
          <w:tcPr>
            <w:tcW w:w="80" w:type="dxa"/>
            <w:vAlign w:val="bottom"/>
            <w:shd w:val="clear" w:color="auto" w:fill="D9EDFA"/>
          </w:tcPr>
          <w:p>
            <w:pPr>
              <w:spacing w:after="0"/>
              <w:rPr>
                <w:sz w:val="18"/>
                <w:szCs w:val="18"/>
                <w:color w:val="auto"/>
              </w:rPr>
            </w:pPr>
          </w:p>
        </w:tc>
        <w:tc>
          <w:tcPr>
            <w:tcW w:w="1960" w:type="dxa"/>
            <w:vAlign w:val="bottom"/>
            <w:shd w:val="clear" w:color="auto" w:fill="D9EDFA"/>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800" w:type="dxa"/>
            <w:vAlign w:val="bottom"/>
            <w:shd w:val="clear" w:color="auto" w:fill="D9EDFA"/>
          </w:tcPr>
          <w:p>
            <w:pPr>
              <w:spacing w:after="0"/>
              <w:rPr>
                <w:sz w:val="18"/>
                <w:szCs w:val="18"/>
                <w:color w:val="auto"/>
              </w:rPr>
            </w:pPr>
          </w:p>
        </w:tc>
        <w:tc>
          <w:tcPr>
            <w:tcW w:w="2040" w:type="dxa"/>
            <w:vAlign w:val="bottom"/>
            <w:gridSpan w:val="3"/>
            <w:shd w:val="clear" w:color="auto" w:fill="D9EDFA"/>
          </w:tcPr>
          <w:p>
            <w:pPr>
              <w:ind w:left="80"/>
              <w:spacing w:after="0"/>
              <w:rPr>
                <w:sz w:val="20"/>
                <w:szCs w:val="20"/>
                <w:color w:val="auto"/>
              </w:rPr>
            </w:pPr>
            <w:r>
              <w:rPr>
                <w:rFonts w:ascii="Times New Roman" w:cs="Times New Roman" w:eastAsia="Times New Roman" w:hAnsi="Times New Roman"/>
                <w:sz w:val="17"/>
                <w:szCs w:val="17"/>
                <w:color w:val="auto"/>
              </w:rPr>
              <w:t>all.</w:t>
            </w:r>
          </w:p>
        </w:tc>
        <w:tc>
          <w:tcPr>
            <w:tcW w:w="1960" w:type="dxa"/>
            <w:vAlign w:val="bottom"/>
            <w:shd w:val="clear" w:color="auto" w:fill="D9EDFA"/>
          </w:tcPr>
          <w:p>
            <w:pPr>
              <w:spacing w:after="0"/>
              <w:rPr>
                <w:sz w:val="20"/>
                <w:szCs w:val="20"/>
                <w:color w:val="auto"/>
              </w:rPr>
            </w:pPr>
            <w:r>
              <w:rPr>
                <w:rFonts w:ascii="Times New Roman" w:cs="Times New Roman" w:eastAsia="Times New Roman" w:hAnsi="Times New Roman"/>
                <w:sz w:val="17"/>
                <w:szCs w:val="17"/>
                <w:color w:val="auto"/>
              </w:rPr>
              <w:t>for information security,</w:t>
            </w:r>
          </w:p>
        </w:tc>
        <w:tc>
          <w:tcPr>
            <w:tcW w:w="80" w:type="dxa"/>
            <w:vAlign w:val="bottom"/>
            <w:shd w:val="clear" w:color="auto" w:fill="D9EDFA"/>
          </w:tcPr>
          <w:p>
            <w:pPr>
              <w:spacing w:after="0"/>
              <w:rPr>
                <w:sz w:val="18"/>
                <w:szCs w:val="18"/>
                <w:color w:val="auto"/>
              </w:rPr>
            </w:pPr>
          </w:p>
        </w:tc>
        <w:tc>
          <w:tcPr>
            <w:tcW w:w="1960" w:type="dxa"/>
            <w:vAlign w:val="bottom"/>
            <w:shd w:val="clear" w:color="auto" w:fill="D9EDFA"/>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800" w:type="dxa"/>
            <w:vAlign w:val="bottom"/>
            <w:shd w:val="clear" w:color="auto" w:fill="D9EDFA"/>
          </w:tcPr>
          <w:p>
            <w:pPr>
              <w:spacing w:after="0"/>
              <w:rPr>
                <w:sz w:val="18"/>
                <w:szCs w:val="18"/>
                <w:color w:val="auto"/>
              </w:rPr>
            </w:pPr>
          </w:p>
        </w:tc>
        <w:tc>
          <w:tcPr>
            <w:tcW w:w="80" w:type="dxa"/>
            <w:vAlign w:val="bottom"/>
            <w:shd w:val="clear" w:color="auto" w:fill="D9EDFA"/>
          </w:tcPr>
          <w:p>
            <w:pPr>
              <w:spacing w:after="0"/>
              <w:rPr>
                <w:sz w:val="18"/>
                <w:szCs w:val="18"/>
                <w:color w:val="auto"/>
              </w:rPr>
            </w:pPr>
          </w:p>
        </w:tc>
        <w:tc>
          <w:tcPr>
            <w:tcW w:w="1860" w:type="dxa"/>
            <w:vAlign w:val="bottom"/>
            <w:shd w:val="clear" w:color="auto" w:fill="D9EDFA"/>
          </w:tcPr>
          <w:p>
            <w:pPr>
              <w:spacing w:after="0"/>
              <w:rPr>
                <w:sz w:val="18"/>
                <w:szCs w:val="18"/>
                <w:color w:val="auto"/>
              </w:rPr>
            </w:pPr>
          </w:p>
        </w:tc>
        <w:tc>
          <w:tcPr>
            <w:tcW w:w="100" w:type="dxa"/>
            <w:vAlign w:val="bottom"/>
            <w:shd w:val="clear" w:color="auto" w:fill="D9EDFA"/>
          </w:tcPr>
          <w:p>
            <w:pPr>
              <w:spacing w:after="0"/>
              <w:rPr>
                <w:sz w:val="18"/>
                <w:szCs w:val="18"/>
                <w:color w:val="auto"/>
              </w:rPr>
            </w:pPr>
          </w:p>
        </w:tc>
        <w:tc>
          <w:tcPr>
            <w:tcW w:w="1960" w:type="dxa"/>
            <w:vAlign w:val="bottom"/>
            <w:shd w:val="clear" w:color="auto" w:fill="D9EDFA"/>
          </w:tcPr>
          <w:p>
            <w:pPr>
              <w:spacing w:after="0"/>
              <w:rPr>
                <w:sz w:val="20"/>
                <w:szCs w:val="20"/>
                <w:color w:val="auto"/>
              </w:rPr>
            </w:pPr>
            <w:r>
              <w:rPr>
                <w:rFonts w:ascii="Times New Roman" w:cs="Times New Roman" w:eastAsia="Times New Roman" w:hAnsi="Times New Roman"/>
                <w:sz w:val="17"/>
                <w:szCs w:val="17"/>
                <w:color w:val="auto"/>
              </w:rPr>
              <w:t>data protection, and</w:t>
            </w:r>
          </w:p>
        </w:tc>
        <w:tc>
          <w:tcPr>
            <w:tcW w:w="80" w:type="dxa"/>
            <w:vAlign w:val="bottom"/>
            <w:shd w:val="clear" w:color="auto" w:fill="D9EDFA"/>
          </w:tcPr>
          <w:p>
            <w:pPr>
              <w:spacing w:after="0"/>
              <w:rPr>
                <w:sz w:val="18"/>
                <w:szCs w:val="18"/>
                <w:color w:val="auto"/>
              </w:rPr>
            </w:pPr>
          </w:p>
        </w:tc>
        <w:tc>
          <w:tcPr>
            <w:tcW w:w="1960" w:type="dxa"/>
            <w:vAlign w:val="bottom"/>
            <w:shd w:val="clear" w:color="auto" w:fill="D9EDFA"/>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800" w:type="dxa"/>
            <w:vAlign w:val="bottom"/>
            <w:tcBorders>
              <w:bottom w:val="single" w:sz="8" w:color="D9EDFA"/>
            </w:tcBorders>
            <w:shd w:val="clear" w:color="auto" w:fill="D9EDFA"/>
          </w:tcPr>
          <w:p>
            <w:pPr>
              <w:spacing w:after="0"/>
              <w:rPr>
                <w:sz w:val="21"/>
                <w:szCs w:val="21"/>
                <w:color w:val="auto"/>
              </w:rPr>
            </w:pPr>
          </w:p>
        </w:tc>
        <w:tc>
          <w:tcPr>
            <w:tcW w:w="80" w:type="dxa"/>
            <w:vAlign w:val="bottom"/>
            <w:tcBorders>
              <w:bottom w:val="single" w:sz="8" w:color="D9EDFA"/>
            </w:tcBorders>
            <w:shd w:val="clear" w:color="auto" w:fill="D9EDFA"/>
          </w:tcPr>
          <w:p>
            <w:pPr>
              <w:spacing w:after="0"/>
              <w:rPr>
                <w:sz w:val="21"/>
                <w:szCs w:val="21"/>
                <w:color w:val="auto"/>
              </w:rPr>
            </w:pPr>
          </w:p>
        </w:tc>
        <w:tc>
          <w:tcPr>
            <w:tcW w:w="1860" w:type="dxa"/>
            <w:vAlign w:val="bottom"/>
            <w:tcBorders>
              <w:bottom w:val="single" w:sz="8" w:color="D9EDFA"/>
            </w:tcBorders>
            <w:shd w:val="clear" w:color="auto" w:fill="D9EDFA"/>
          </w:tcPr>
          <w:p>
            <w:pPr>
              <w:spacing w:after="0"/>
              <w:rPr>
                <w:sz w:val="21"/>
                <w:szCs w:val="21"/>
                <w:color w:val="auto"/>
              </w:rPr>
            </w:pPr>
          </w:p>
        </w:tc>
        <w:tc>
          <w:tcPr>
            <w:tcW w:w="100" w:type="dxa"/>
            <w:vAlign w:val="bottom"/>
            <w:tcBorders>
              <w:bottom w:val="single" w:sz="8" w:color="D9EDFA"/>
            </w:tcBorders>
            <w:shd w:val="clear" w:color="auto" w:fill="D9EDFA"/>
          </w:tcPr>
          <w:p>
            <w:pPr>
              <w:spacing w:after="0"/>
              <w:rPr>
                <w:sz w:val="21"/>
                <w:szCs w:val="21"/>
                <w:color w:val="auto"/>
              </w:rPr>
            </w:pPr>
          </w:p>
        </w:tc>
        <w:tc>
          <w:tcPr>
            <w:tcW w:w="1960" w:type="dxa"/>
            <w:vAlign w:val="bottom"/>
            <w:tcBorders>
              <w:bottom w:val="single" w:sz="8" w:color="D9EDFA"/>
            </w:tcBorders>
            <w:shd w:val="clear" w:color="auto" w:fill="D9EDFA"/>
          </w:tcPr>
          <w:p>
            <w:pPr>
              <w:spacing w:after="0"/>
              <w:rPr>
                <w:sz w:val="20"/>
                <w:szCs w:val="20"/>
                <w:color w:val="auto"/>
              </w:rPr>
            </w:pPr>
            <w:r>
              <w:rPr>
                <w:rFonts w:ascii="Times New Roman" w:cs="Times New Roman" w:eastAsia="Times New Roman" w:hAnsi="Times New Roman"/>
                <w:sz w:val="17"/>
                <w:szCs w:val="17"/>
                <w:color w:val="auto"/>
              </w:rPr>
              <w:t>privacy.</w:t>
            </w:r>
          </w:p>
        </w:tc>
        <w:tc>
          <w:tcPr>
            <w:tcW w:w="80" w:type="dxa"/>
            <w:vAlign w:val="bottom"/>
            <w:tcBorders>
              <w:bottom w:val="single" w:sz="8" w:color="D9EDFA"/>
            </w:tcBorders>
            <w:shd w:val="clear" w:color="auto" w:fill="D9EDFA"/>
          </w:tcPr>
          <w:p>
            <w:pPr>
              <w:spacing w:after="0"/>
              <w:rPr>
                <w:sz w:val="21"/>
                <w:szCs w:val="21"/>
                <w:color w:val="auto"/>
              </w:rPr>
            </w:pPr>
          </w:p>
        </w:tc>
        <w:tc>
          <w:tcPr>
            <w:tcW w:w="1960" w:type="dxa"/>
            <w:vAlign w:val="bottom"/>
            <w:tcBorders>
              <w:bottom w:val="single" w:sz="8" w:color="D9EDFA"/>
            </w:tcBorders>
            <w:shd w:val="clear" w:color="auto" w:fill="D9EDFA"/>
          </w:tcPr>
          <w:p>
            <w:pPr>
              <w:spacing w:after="0"/>
              <w:rPr>
                <w:sz w:val="21"/>
                <w:szCs w:val="21"/>
                <w:color w:val="auto"/>
              </w:rPr>
            </w:pPr>
          </w:p>
        </w:tc>
        <w:tc>
          <w:tcPr>
            <w:tcW w:w="0" w:type="dxa"/>
            <w:vAlign w:val="bottom"/>
          </w:tcPr>
          <w:p>
            <w:pPr>
              <w:spacing w:after="0"/>
              <w:rPr>
                <w:sz w:val="1"/>
                <w:szCs w:val="1"/>
                <w:color w:val="auto"/>
              </w:rPr>
            </w:pPr>
          </w:p>
        </w:tc>
      </w:tr>
      <w:tr>
        <w:trPr>
          <w:trHeight w:val="333"/>
        </w:trPr>
        <w:tc>
          <w:tcPr>
            <w:tcW w:w="18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Priority issues:</w:t>
            </w:r>
          </w:p>
        </w:tc>
        <w:tc>
          <w:tcPr>
            <w:tcW w:w="20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auto"/>
              </w:rPr>
              <w:t xml:space="preserve">Priority issues: </w:t>
            </w:r>
            <w:r>
              <w:rPr>
                <w:rFonts w:ascii="Times New Roman" w:cs="Times New Roman" w:eastAsia="Times New Roman" w:hAnsi="Times New Roman"/>
                <w:sz w:val="17"/>
                <w:szCs w:val="17"/>
                <w:b w:val="1"/>
                <w:bCs w:val="1"/>
                <w:color w:val="auto"/>
              </w:rPr>
              <w:t>Inclusion</w:t>
            </w:r>
          </w:p>
        </w:tc>
        <w:tc>
          <w:tcPr>
            <w:tcW w:w="1960" w:type="dxa"/>
            <w:vAlign w:val="bottom"/>
          </w:tcPr>
          <w:p>
            <w:pPr>
              <w:spacing w:after="0"/>
              <w:rPr>
                <w:sz w:val="20"/>
                <w:szCs w:val="20"/>
                <w:color w:val="auto"/>
              </w:rPr>
            </w:pPr>
            <w:r>
              <w:rPr>
                <w:rFonts w:ascii="Times New Roman" w:cs="Times New Roman" w:eastAsia="Times New Roman" w:hAnsi="Times New Roman"/>
                <w:sz w:val="17"/>
                <w:szCs w:val="17"/>
                <w:color w:val="auto"/>
              </w:rPr>
              <w:t xml:space="preserve">Priority issues: </w:t>
            </w:r>
            <w:r>
              <w:rPr>
                <w:rFonts w:ascii="Times New Roman" w:cs="Times New Roman" w:eastAsia="Times New Roman" w:hAnsi="Times New Roman"/>
                <w:sz w:val="17"/>
                <w:szCs w:val="17"/>
                <w:b w:val="1"/>
                <w:bCs w:val="1"/>
                <w:color w:val="auto"/>
              </w:rPr>
              <w:t>Business</w:t>
            </w:r>
          </w:p>
        </w:tc>
        <w:tc>
          <w:tcPr>
            <w:tcW w:w="20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 xml:space="preserve">Priority issues: </w:t>
            </w:r>
            <w:r>
              <w:rPr>
                <w:rFonts w:ascii="Times New Roman" w:cs="Times New Roman" w:eastAsia="Times New Roman" w:hAnsi="Times New Roman"/>
                <w:sz w:val="17"/>
                <w:szCs w:val="17"/>
                <w:b w:val="1"/>
                <w:bCs w:val="1"/>
                <w:color w:val="auto"/>
              </w:rPr>
              <w:t>Product</w:t>
            </w:r>
          </w:p>
        </w:tc>
        <w:tc>
          <w:tcPr>
            <w:tcW w:w="0" w:type="dxa"/>
            <w:vAlign w:val="bottom"/>
          </w:tcPr>
          <w:p>
            <w:pPr>
              <w:spacing w:after="0"/>
              <w:rPr>
                <w:sz w:val="1"/>
                <w:szCs w:val="1"/>
                <w:color w:val="auto"/>
              </w:rPr>
            </w:pPr>
          </w:p>
        </w:tc>
      </w:tr>
      <w:tr>
        <w:trPr>
          <w:trHeight w:val="210"/>
        </w:trPr>
        <w:tc>
          <w:tcPr>
            <w:tcW w:w="18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Innovation and</w:t>
            </w:r>
          </w:p>
        </w:tc>
        <w:tc>
          <w:tcPr>
            <w:tcW w:w="2040" w:type="dxa"/>
            <w:vAlign w:val="bottom"/>
            <w:gridSpan w:val="3"/>
          </w:tcPr>
          <w:p>
            <w:pPr>
              <w:ind w:left="80"/>
              <w:spacing w:after="0"/>
              <w:rPr>
                <w:sz w:val="20"/>
                <w:szCs w:val="20"/>
                <w:color w:val="auto"/>
              </w:rPr>
            </w:pPr>
            <w:r>
              <w:rPr>
                <w:rFonts w:ascii="Times New Roman" w:cs="Times New Roman" w:eastAsia="Times New Roman" w:hAnsi="Times New Roman"/>
                <w:sz w:val="17"/>
                <w:szCs w:val="17"/>
                <w:b w:val="1"/>
                <w:bCs w:val="1"/>
                <w:color w:val="auto"/>
              </w:rPr>
              <w:t>and belonging;</w:t>
            </w:r>
          </w:p>
        </w:tc>
        <w:tc>
          <w:tcPr>
            <w:tcW w:w="19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Ethics; Information</w:t>
            </w:r>
          </w:p>
        </w:tc>
        <w:tc>
          <w:tcPr>
            <w:tcW w:w="2040" w:type="dxa"/>
            <w:vAlign w:val="bottom"/>
            <w:gridSpan w:val="2"/>
          </w:tcPr>
          <w:p>
            <w:pPr>
              <w:ind w:left="80"/>
              <w:spacing w:after="0"/>
              <w:rPr>
                <w:sz w:val="20"/>
                <w:szCs w:val="20"/>
                <w:color w:val="auto"/>
              </w:rPr>
            </w:pPr>
            <w:r>
              <w:rPr>
                <w:rFonts w:ascii="Times New Roman" w:cs="Times New Roman" w:eastAsia="Times New Roman" w:hAnsi="Times New Roman"/>
                <w:sz w:val="17"/>
                <w:szCs w:val="17"/>
                <w:b w:val="1"/>
                <w:bCs w:val="1"/>
                <w:color w:val="auto"/>
              </w:rPr>
              <w:t>Environmental Impacts;</w:t>
            </w:r>
          </w:p>
        </w:tc>
        <w:tc>
          <w:tcPr>
            <w:tcW w:w="0" w:type="dxa"/>
            <w:vAlign w:val="bottom"/>
          </w:tcPr>
          <w:p>
            <w:pPr>
              <w:spacing w:after="0"/>
              <w:rPr>
                <w:sz w:val="1"/>
                <w:szCs w:val="1"/>
                <w:color w:val="auto"/>
              </w:rPr>
            </w:pPr>
          </w:p>
        </w:tc>
      </w:tr>
      <w:tr>
        <w:trPr>
          <w:trHeight w:val="210"/>
        </w:trPr>
        <w:tc>
          <w:tcPr>
            <w:tcW w:w="18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responsible technology;</w:t>
            </w:r>
          </w:p>
        </w:tc>
        <w:tc>
          <w:tcPr>
            <w:tcW w:w="2040" w:type="dxa"/>
            <w:vAlign w:val="bottom"/>
            <w:gridSpan w:val="3"/>
          </w:tcPr>
          <w:p>
            <w:pPr>
              <w:ind w:left="80"/>
              <w:spacing w:after="0"/>
              <w:rPr>
                <w:sz w:val="20"/>
                <w:szCs w:val="20"/>
                <w:color w:val="auto"/>
              </w:rPr>
            </w:pPr>
            <w:r>
              <w:rPr>
                <w:rFonts w:ascii="Times New Roman" w:cs="Times New Roman" w:eastAsia="Times New Roman" w:hAnsi="Times New Roman"/>
                <w:sz w:val="17"/>
                <w:szCs w:val="17"/>
                <w:b w:val="1"/>
                <w:bCs w:val="1"/>
                <w:color w:val="auto"/>
              </w:rPr>
              <w:t>Cybersecurity skills gap</w:t>
            </w:r>
          </w:p>
        </w:tc>
        <w:tc>
          <w:tcPr>
            <w:tcW w:w="19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Security &amp; Data Privacy</w:t>
            </w:r>
          </w:p>
        </w:tc>
        <w:tc>
          <w:tcPr>
            <w:tcW w:w="2040" w:type="dxa"/>
            <w:vAlign w:val="bottom"/>
            <w:gridSpan w:val="2"/>
          </w:tcPr>
          <w:p>
            <w:pPr>
              <w:ind w:left="80"/>
              <w:spacing w:after="0"/>
              <w:rPr>
                <w:sz w:val="20"/>
                <w:szCs w:val="20"/>
                <w:color w:val="auto"/>
              </w:rPr>
            </w:pPr>
            <w:r>
              <w:rPr>
                <w:rFonts w:ascii="Times New Roman" w:cs="Times New Roman" w:eastAsia="Times New Roman" w:hAnsi="Times New Roman"/>
                <w:sz w:val="17"/>
                <w:szCs w:val="17"/>
                <w:b w:val="1"/>
                <w:bCs w:val="1"/>
                <w:color w:val="auto"/>
              </w:rPr>
              <w:t>Climate Change</w:t>
            </w:r>
          </w:p>
        </w:tc>
        <w:tc>
          <w:tcPr>
            <w:tcW w:w="0" w:type="dxa"/>
            <w:vAlign w:val="bottom"/>
          </w:tcPr>
          <w:p>
            <w:pPr>
              <w:spacing w:after="0"/>
              <w:rPr>
                <w:sz w:val="1"/>
                <w:szCs w:val="1"/>
                <w:color w:val="auto"/>
              </w:rPr>
            </w:pPr>
          </w:p>
        </w:tc>
      </w:tr>
      <w:tr>
        <w:trPr>
          <w:trHeight w:val="230"/>
        </w:trPr>
        <w:tc>
          <w:tcPr>
            <w:tcW w:w="18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Cybercrime disruption</w:t>
            </w:r>
          </w:p>
        </w:tc>
        <w:tc>
          <w:tcPr>
            <w:tcW w:w="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jc w:val="both"/>
        <w:ind w:left="580" w:right="679" w:firstLine="349"/>
        <w:spacing w:after="0" w:line="270" w:lineRule="auto"/>
        <w:rPr>
          <w:sz w:val="20"/>
          <w:szCs w:val="20"/>
          <w:color w:val="auto"/>
        </w:rPr>
      </w:pPr>
      <w:r>
        <w:rPr>
          <w:rFonts w:ascii="Times New Roman" w:cs="Times New Roman" w:eastAsia="Times New Roman" w:hAnsi="Times New Roman"/>
          <w:sz w:val="17"/>
          <w:szCs w:val="17"/>
          <w:color w:val="auto"/>
        </w:rPr>
        <w:t>For each of our defined CSR priorities, we have developed roadmaps and engaged relevant business units in the implementation process. We are focused on continuously improving our sustainability efforts and further aligning with global reporting frameworks. We publish our sustainability report on an annual basis and actively participate in sustainability assessments from rating agencies.</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3" w:name="page24"/>
    <w:bookmarkEnd w:id="23"/>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580" w:right="699" w:firstLine="349"/>
        <w:spacing w:after="0" w:line="270" w:lineRule="auto"/>
        <w:rPr>
          <w:sz w:val="20"/>
          <w:szCs w:val="20"/>
          <w:color w:val="auto"/>
        </w:rPr>
      </w:pPr>
      <w:r>
        <w:rPr>
          <w:rFonts w:ascii="Times New Roman" w:cs="Times New Roman" w:eastAsia="Times New Roman" w:hAnsi="Times New Roman"/>
          <w:sz w:val="17"/>
          <w:szCs w:val="17"/>
          <w:color w:val="auto"/>
        </w:rPr>
        <w:t>In April, we publish our annual sustainability report, which presents a balanced account of the previous year’s sustainability performance and progress across our most material priority areas. The report references Global Reporting Initiative standards, Sustainability Accounting Standards Board standards, the Task Force on Climate-Related Financial Disclosures framework and United Nations Sustainable Development Goals.</w:t>
      </w:r>
    </w:p>
    <w:p>
      <w:pPr>
        <w:spacing w:after="0" w:line="103" w:lineRule="exact"/>
        <w:rPr>
          <w:sz w:val="20"/>
          <w:szCs w:val="20"/>
          <w:color w:val="auto"/>
        </w:rPr>
      </w:pPr>
    </w:p>
    <w:p>
      <w:pPr>
        <w:ind w:left="580" w:right="619" w:firstLine="349"/>
        <w:spacing w:after="0" w:line="296" w:lineRule="auto"/>
        <w:rPr>
          <w:sz w:val="20"/>
          <w:szCs w:val="20"/>
          <w:color w:val="auto"/>
        </w:rPr>
      </w:pPr>
      <w:r>
        <w:rPr>
          <w:rFonts w:ascii="Times New Roman" w:cs="Times New Roman" w:eastAsia="Times New Roman" w:hAnsi="Times New Roman"/>
          <w:sz w:val="17"/>
          <w:szCs w:val="17"/>
          <w:color w:val="auto"/>
        </w:rPr>
        <w:t>We engage with key internal and external stakeholders to help refine our CSR practices. Below are specific areas that we know are of particular importance to many of our stockholders based on the feedback received.</w:t>
      </w:r>
    </w:p>
    <w:p>
      <w:pPr>
        <w:spacing w:after="0" w:line="14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Corporate Sustainability</w:t>
      </w:r>
    </w:p>
    <w:p>
      <w:pPr>
        <w:spacing w:after="0" w:line="160" w:lineRule="exact"/>
        <w:rPr>
          <w:sz w:val="20"/>
          <w:szCs w:val="20"/>
          <w:color w:val="auto"/>
        </w:rPr>
      </w:pPr>
    </w:p>
    <w:p>
      <w:pPr>
        <w:ind w:left="580" w:right="739" w:firstLine="349"/>
        <w:spacing w:after="0" w:line="265" w:lineRule="auto"/>
        <w:rPr>
          <w:sz w:val="20"/>
          <w:szCs w:val="20"/>
          <w:color w:val="auto"/>
        </w:rPr>
      </w:pPr>
      <w:r>
        <w:rPr>
          <w:rFonts w:ascii="Times New Roman" w:cs="Times New Roman" w:eastAsia="Times New Roman" w:hAnsi="Times New Roman"/>
          <w:sz w:val="17"/>
          <w:szCs w:val="17"/>
          <w:color w:val="auto"/>
        </w:rPr>
        <w:t>We are committed to responsible corporate sustainability practices and having a positive impact on the sustainability of our society and planet. We have completed our validation process and have been approved by the Science Based Targets Initiatives for a near-term target. We continue to combine innovation with environmental sustainability to reduce the use of energy, cooling and space required for our solutions, thereby helping our customers minimize power consumption and greenhouse gas emissions. We also ensure that our products comply with global product environmental compliance directives and regulations.</w:t>
      </w:r>
    </w:p>
    <w:p>
      <w:pPr>
        <w:spacing w:after="0" w:line="93" w:lineRule="exact"/>
        <w:rPr>
          <w:sz w:val="20"/>
          <w:szCs w:val="20"/>
          <w:color w:val="auto"/>
        </w:rPr>
      </w:pPr>
    </w:p>
    <w:p>
      <w:pPr>
        <w:ind w:left="580" w:right="599" w:firstLine="349"/>
        <w:spacing w:after="0" w:line="263" w:lineRule="auto"/>
        <w:rPr>
          <w:sz w:val="20"/>
          <w:szCs w:val="20"/>
          <w:color w:val="auto"/>
        </w:rPr>
      </w:pPr>
      <w:r>
        <w:rPr>
          <w:rFonts w:ascii="Times New Roman" w:cs="Times New Roman" w:eastAsia="Times New Roman" w:hAnsi="Times New Roman"/>
          <w:sz w:val="17"/>
          <w:szCs w:val="17"/>
          <w:color w:val="auto"/>
        </w:rPr>
        <w:t>We are engaged on a decarbonization path to meet our near-term SBTi target by 2030. In 2023, we obtained the ISO14001 certification for our largest company-owned warehouse in Union City, California, and have continued to be a leader on energy efficiency with the launch of our SP5 ASIC and our FortiGate-90G model. We submitted our survey on the environment to CDP, which is a non-profit charity organization that runs the global disclosure system for companies to manage their environmental impacts, and improved our score to a B. We also disclosed our Scope 1 and 2 emissions and additionally, our Scope 3 emissions, across all twelve relevant categories, as part of our annual reporting on sustainability.</w:t>
      </w:r>
    </w:p>
    <w:p>
      <w:pPr>
        <w:spacing w:after="0" w:line="11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7"/>
          <w:szCs w:val="17"/>
          <w:color w:val="auto"/>
        </w:rPr>
        <w:t>We conducted our first comprehensive Climate Risk Analysis in 2025 in part to meet California State Bill</w:t>
      </w:r>
    </w:p>
    <w:p>
      <w:pPr>
        <w:spacing w:after="0" w:line="32" w:lineRule="exact"/>
        <w:rPr>
          <w:sz w:val="20"/>
          <w:szCs w:val="20"/>
          <w:color w:val="auto"/>
        </w:rPr>
      </w:pPr>
    </w:p>
    <w:p>
      <w:pPr>
        <w:ind w:left="580" w:right="639" w:hanging="6"/>
        <w:spacing w:after="0" w:line="261" w:lineRule="auto"/>
        <w:tabs>
          <w:tab w:leader="none" w:pos="929"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assessment follows the Task Force on Climate-related Financial Disclosures framework and utilizes specific physical and transitional climate analyses using the Intergovernmental Panel on Climate Change SSP5-8.5 and Network for Greening the Financial System Below 2 Celsius scenarios, respectively. Additionally, we conducted our Double Materiality Analysis as a first step to Corporate Sustainability Reporting Directive compliance reporting in 2029 with the current Omnibus regulations.</w:t>
      </w:r>
    </w:p>
    <w:p>
      <w:pPr>
        <w:spacing w:after="0" w:line="111" w:lineRule="exact"/>
        <w:rPr>
          <w:sz w:val="20"/>
          <w:szCs w:val="20"/>
          <w:color w:val="auto"/>
        </w:rPr>
      </w:pPr>
    </w:p>
    <w:p>
      <w:pPr>
        <w:ind w:left="580" w:right="599" w:firstLine="349"/>
        <w:spacing w:after="0" w:line="261" w:lineRule="auto"/>
        <w:rPr>
          <w:sz w:val="20"/>
          <w:szCs w:val="20"/>
          <w:color w:val="auto"/>
        </w:rPr>
      </w:pPr>
      <w:r>
        <w:rPr>
          <w:rFonts w:ascii="Times New Roman" w:cs="Times New Roman" w:eastAsia="Times New Roman" w:hAnsi="Times New Roman"/>
          <w:sz w:val="17"/>
          <w:szCs w:val="17"/>
          <w:color w:val="auto"/>
        </w:rPr>
        <w:t>We are committed to empowering individuals within our organization and across the security industry to reach their full potential. We continue to focus on skilling, upskilling and reskilling individuals and have trained more than 914,800 individuals in cybersecurity, reaching 91% of our five-year goal. We are on track to achieve our goal of training one million individuals in cybersecurity by the end of 2026. As part of our Education Outreach Program, which focuses on creating a more diverse cybersecurity talent pool, we launched the Veterans Program Advisory Council to help build on the Veterans Program’s success in providing more cybersecurity training pathways for military veterans across the United States, the United Kingdom, Canada, Australia and New Zealand. We offered our Security Awareness Curriculum at no cost to primary and secondary schools across the same countries. We are involved in over 890 education partnerships across more than 100 countries and participate in public-private partnerships, including the White House’s National Cyber Workforce and Education Strategy and World Economic Forum.</w:t>
      </w:r>
    </w:p>
    <w:p>
      <w:pPr>
        <w:spacing w:after="0" w:line="17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Governance</w:t>
      </w:r>
    </w:p>
    <w:p>
      <w:pPr>
        <w:spacing w:after="0" w:line="147" w:lineRule="exact"/>
        <w:rPr>
          <w:sz w:val="20"/>
          <w:szCs w:val="20"/>
          <w:color w:val="auto"/>
        </w:rPr>
      </w:pPr>
    </w:p>
    <w:p>
      <w:pPr>
        <w:ind w:left="580" w:right="659" w:firstLine="349"/>
        <w:spacing w:after="0" w:line="276" w:lineRule="auto"/>
        <w:rPr>
          <w:sz w:val="20"/>
          <w:szCs w:val="20"/>
          <w:color w:val="auto"/>
        </w:rPr>
      </w:pPr>
      <w:r>
        <w:rPr>
          <w:rFonts w:ascii="Times New Roman" w:cs="Times New Roman" w:eastAsia="Times New Roman" w:hAnsi="Times New Roman"/>
          <w:sz w:val="17"/>
          <w:szCs w:val="17"/>
          <w:color w:val="auto"/>
        </w:rPr>
        <w:t>We are focused on good governance and ethical practices throughout our business. The Board of Directors frequently reviews our governance practices to ensure that they are appropriate and reflect the maturity of our company.</w:t>
      </w:r>
    </w:p>
    <w:p>
      <w:pPr>
        <w:spacing w:after="0" w:line="98" w:lineRule="exact"/>
        <w:rPr>
          <w:sz w:val="20"/>
          <w:szCs w:val="20"/>
          <w:color w:val="auto"/>
        </w:rPr>
      </w:pPr>
    </w:p>
    <w:p>
      <w:pPr>
        <w:ind w:left="580" w:right="619" w:firstLine="349"/>
        <w:spacing w:after="0" w:line="267" w:lineRule="auto"/>
        <w:rPr>
          <w:sz w:val="20"/>
          <w:szCs w:val="20"/>
          <w:color w:val="auto"/>
        </w:rPr>
      </w:pPr>
      <w:r>
        <w:rPr>
          <w:rFonts w:ascii="Times New Roman" w:cs="Times New Roman" w:eastAsia="Times New Roman" w:hAnsi="Times New Roman"/>
          <w:sz w:val="17"/>
          <w:szCs w:val="17"/>
          <w:color w:val="auto"/>
        </w:rPr>
        <w:t>To promote ethical business practices across our value chain, we have adopted and regularly reviewed policies that set out a Business Code of Conduct for all employees, partners, suppliers and vendors, and have trainings and controls in place. In 2023, we established a risk management committee and steering committee to further enhance our anti-corruption program, and we employ a thorough screening process for partners and suppliers, including continuous monitoring in high-risk zones, and resolution process for risk mitigation.</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4" w:name="page25"/>
    <w:bookmarkEnd w:id="24"/>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580" w:right="579" w:firstLine="349"/>
        <w:spacing w:after="0" w:line="265" w:lineRule="auto"/>
        <w:rPr>
          <w:sz w:val="20"/>
          <w:szCs w:val="20"/>
          <w:color w:val="auto"/>
        </w:rPr>
      </w:pPr>
      <w:r>
        <w:rPr>
          <w:rFonts w:ascii="Times New Roman" w:cs="Times New Roman" w:eastAsia="Times New Roman" w:hAnsi="Times New Roman"/>
          <w:sz w:val="17"/>
          <w:szCs w:val="17"/>
          <w:color w:val="auto"/>
        </w:rPr>
        <w:t>As part of our engagement with stockholders, we regularly evaluate our corporate governance structure and practices, and have implemented the following measures, among others: adopted a majority voting standard for uncontested elections of directors; removed supermajority voting requirements in our certificate of incorporation and bylaws; allowed stockholders to call special meetings of our stockholders; declassified our Board of Directors; implemented proxy access; and implemented stock ownership guidelines with respect to our non-employee directors.</w:t>
      </w:r>
    </w:p>
    <w:p>
      <w:pPr>
        <w:spacing w:after="0" w:line="106" w:lineRule="exact"/>
        <w:rPr>
          <w:sz w:val="20"/>
          <w:szCs w:val="20"/>
          <w:color w:val="auto"/>
        </w:rPr>
      </w:pPr>
    </w:p>
    <w:p>
      <w:pPr>
        <w:ind w:left="580" w:right="739" w:firstLine="349"/>
        <w:spacing w:after="0" w:line="270" w:lineRule="auto"/>
        <w:rPr>
          <w:sz w:val="20"/>
          <w:szCs w:val="20"/>
          <w:color w:val="auto"/>
        </w:rPr>
      </w:pPr>
      <w:r>
        <w:rPr>
          <w:rFonts w:ascii="Times New Roman" w:cs="Times New Roman" w:eastAsia="Times New Roman" w:hAnsi="Times New Roman"/>
          <w:sz w:val="17"/>
          <w:szCs w:val="17"/>
          <w:color w:val="auto"/>
        </w:rPr>
        <w:t xml:space="preserve">For more information regarding Fortinet’s CSR approach and initiatives, please visit our website at </w:t>
      </w:r>
      <w:r>
        <w:rPr>
          <w:rFonts w:ascii="Times New Roman" w:cs="Times New Roman" w:eastAsia="Times New Roman" w:hAnsi="Times New Roman"/>
          <w:sz w:val="17"/>
          <w:szCs w:val="17"/>
          <w:i w:val="1"/>
          <w:iCs w:val="1"/>
          <w:color w:val="auto"/>
        </w:rPr>
        <w:t xml:space="preserve">https://www.fortinet.com/csr </w:t>
      </w:r>
      <w:r>
        <w:rPr>
          <w:rFonts w:ascii="Times New Roman" w:cs="Times New Roman" w:eastAsia="Times New Roman" w:hAnsi="Times New Roman"/>
          <w:sz w:val="17"/>
          <w:szCs w:val="17"/>
          <w:color w:val="auto"/>
        </w:rPr>
        <w:t>or read our 2025 Sustainability report:</w:t>
      </w:r>
      <w:r>
        <w:rPr>
          <w:rFonts w:ascii="Times New Roman" w:cs="Times New Roman" w:eastAsia="Times New Roman" w:hAnsi="Times New Roman"/>
          <w:sz w:val="17"/>
          <w:szCs w:val="17"/>
          <w:i w:val="1"/>
          <w:iCs w:val="1"/>
          <w:color w:val="auto"/>
        </w:rPr>
        <w:t xml:space="preserve"> https://www.fortinet.com/corporate/about-us/corporate-social-responsibility/sustainability-report. </w:t>
      </w:r>
      <w:r>
        <w:rPr>
          <w:rFonts w:ascii="Times New Roman" w:cs="Times New Roman" w:eastAsia="Times New Roman" w:hAnsi="Times New Roman"/>
          <w:sz w:val="17"/>
          <w:szCs w:val="17"/>
          <w:color w:val="auto"/>
        </w:rPr>
        <w:t>The information contained in our 2025 Sustainability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Report is not intended to be incorporated into this Proxy Statement.</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5" w:name="page26"/>
    <w:bookmarkEnd w:id="25"/>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CORPORATE GOVERNANCE</w:t>
      </w:r>
    </w:p>
    <w:p>
      <w:pPr>
        <w:spacing w:after="0" w:line="22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Corporate Governance Guidelines</w:t>
      </w:r>
    </w:p>
    <w:p>
      <w:pPr>
        <w:spacing w:after="0" w:line="147" w:lineRule="exact"/>
        <w:rPr>
          <w:sz w:val="20"/>
          <w:szCs w:val="20"/>
          <w:color w:val="auto"/>
        </w:rPr>
      </w:pPr>
    </w:p>
    <w:p>
      <w:pPr>
        <w:ind w:left="580" w:right="659" w:firstLine="349"/>
        <w:spacing w:after="0" w:line="270" w:lineRule="auto"/>
        <w:rPr>
          <w:sz w:val="20"/>
          <w:szCs w:val="20"/>
          <w:color w:val="auto"/>
        </w:rPr>
      </w:pPr>
      <w:r>
        <w:rPr>
          <w:rFonts w:ascii="Times New Roman" w:cs="Times New Roman" w:eastAsia="Times New Roman" w:hAnsi="Times New Roman"/>
          <w:sz w:val="17"/>
          <w:szCs w:val="17"/>
          <w:color w:val="auto"/>
        </w:rPr>
        <w:t xml:space="preserve">We have adopted Corporate Governance Guidelines to establish the corporate governance policies which provide a structure within which the Board of Directors and management can effectively pursue Fortinet’s objectives for the benefit of our stockholders. The Corporate Governance Guidelines are available on Fortinet’s website at </w:t>
      </w:r>
      <w:r>
        <w:rPr>
          <w:rFonts w:ascii="Times New Roman" w:cs="Times New Roman" w:eastAsia="Times New Roman" w:hAnsi="Times New Roman"/>
          <w:sz w:val="17"/>
          <w:szCs w:val="17"/>
          <w:i w:val="1"/>
          <w:iCs w:val="1"/>
          <w:color w:val="auto"/>
        </w:rPr>
        <w:t>investor.fortinet.com/corporate-governance-0</w:t>
      </w:r>
      <w:r>
        <w:rPr>
          <w:rFonts w:ascii="Times New Roman" w:cs="Times New Roman" w:eastAsia="Times New Roman" w:hAnsi="Times New Roman"/>
          <w:sz w:val="17"/>
          <w:szCs w:val="17"/>
          <w:color w:val="auto"/>
        </w:rPr>
        <w:t>.</w:t>
      </w:r>
    </w:p>
    <w:p>
      <w:pPr>
        <w:spacing w:after="0" w:line="16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Code of Business Conduct and Ethics</w:t>
      </w:r>
    </w:p>
    <w:p>
      <w:pPr>
        <w:spacing w:after="0" w:line="160" w:lineRule="exact"/>
        <w:rPr>
          <w:sz w:val="20"/>
          <w:szCs w:val="20"/>
          <w:color w:val="auto"/>
        </w:rPr>
      </w:pPr>
    </w:p>
    <w:p>
      <w:pPr>
        <w:ind w:left="580" w:right="719" w:firstLine="349"/>
        <w:spacing w:after="0" w:line="267" w:lineRule="auto"/>
        <w:rPr>
          <w:sz w:val="20"/>
          <w:szCs w:val="20"/>
          <w:color w:val="auto"/>
        </w:rPr>
      </w:pPr>
      <w:r>
        <w:rPr>
          <w:rFonts w:ascii="Times New Roman" w:cs="Times New Roman" w:eastAsia="Times New Roman" w:hAnsi="Times New Roman"/>
          <w:sz w:val="17"/>
          <w:szCs w:val="17"/>
          <w:color w:val="auto"/>
        </w:rPr>
        <w:t>The Board of Directors sets high standards for Fortinet’s employees, officers and directors. Fortinet is committed to establishing an operating framework that exercises appropriate oversight of responsibilities at all levels throughout Fortinet and managing its affairs consistently with high principles of business ethics. Accordingly, Fortinet has adopted a Code of Business Conduct and Ethics, which is applicable to our and our subsidiaries’ directors, officers and employees.</w:t>
      </w:r>
    </w:p>
    <w:p>
      <w:pPr>
        <w:spacing w:after="0" w:line="105" w:lineRule="exact"/>
        <w:rPr>
          <w:sz w:val="20"/>
          <w:szCs w:val="20"/>
          <w:color w:val="auto"/>
        </w:rPr>
      </w:pPr>
    </w:p>
    <w:p>
      <w:pPr>
        <w:ind w:left="580" w:right="619" w:firstLine="349"/>
        <w:spacing w:after="0" w:line="274" w:lineRule="auto"/>
        <w:rPr>
          <w:sz w:val="20"/>
          <w:szCs w:val="20"/>
          <w:color w:val="auto"/>
        </w:rPr>
      </w:pPr>
      <w:r>
        <w:rPr>
          <w:rFonts w:ascii="Times New Roman" w:cs="Times New Roman" w:eastAsia="Times New Roman" w:hAnsi="Times New Roman"/>
          <w:sz w:val="17"/>
          <w:szCs w:val="17"/>
          <w:color w:val="auto"/>
        </w:rPr>
        <w:t xml:space="preserve">The Code of Business Conduct and Ethics is available on Fortinet’s website at </w:t>
      </w:r>
      <w:r>
        <w:rPr>
          <w:rFonts w:ascii="Times New Roman" w:cs="Times New Roman" w:eastAsia="Times New Roman" w:hAnsi="Times New Roman"/>
          <w:sz w:val="17"/>
          <w:szCs w:val="17"/>
          <w:i w:val="1"/>
          <w:iCs w:val="1"/>
          <w:color w:val="auto"/>
        </w:rPr>
        <w:t>investor.fortinet.com/corporate-governance-0</w:t>
      </w:r>
      <w:r>
        <w:rPr>
          <w:rFonts w:ascii="Times New Roman" w:cs="Times New Roman" w:eastAsia="Times New Roman" w:hAnsi="Times New Roman"/>
          <w:sz w:val="17"/>
          <w:szCs w:val="17"/>
          <w:color w:val="auto"/>
        </w:rPr>
        <w:t>. Fortinet will disclose on its website any amendments to, 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waivers of, the Code of Business Conduct and Ethics that are required to be disclosed by the rules of the SEC or Nasdaq.</w:t>
      </w:r>
    </w:p>
    <w:p>
      <w:pPr>
        <w:spacing w:after="0" w:line="37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Human Capital Management</w:t>
      </w:r>
    </w:p>
    <w:p>
      <w:pPr>
        <w:spacing w:after="0" w:line="147" w:lineRule="exact"/>
        <w:rPr>
          <w:sz w:val="20"/>
          <w:szCs w:val="20"/>
          <w:color w:val="auto"/>
        </w:rPr>
      </w:pPr>
    </w:p>
    <w:p>
      <w:pPr>
        <w:ind w:left="580" w:right="679" w:firstLine="349"/>
        <w:spacing w:after="0" w:line="262" w:lineRule="auto"/>
        <w:rPr>
          <w:sz w:val="20"/>
          <w:szCs w:val="20"/>
          <w:color w:val="auto"/>
        </w:rPr>
      </w:pPr>
      <w:r>
        <w:rPr>
          <w:rFonts w:ascii="Times New Roman" w:cs="Times New Roman" w:eastAsia="Times New Roman" w:hAnsi="Times New Roman"/>
          <w:sz w:val="17"/>
          <w:szCs w:val="17"/>
          <w:color w:val="auto"/>
        </w:rPr>
        <w:t>Our employees are the foundation of our innovation and cybersecurity leadership for the benefit of our customers. We understand there is a shortage of highly skilled employees for security companies like ours, and we believe that our success and competitive advantage depend largely on our ability to continue to attract and retain highly skilled employees with diverse backgrounds and experiences. We believe we offer fair, competitive compensation and benefits, and we encourage a culture of fairness and meritocracy. Our compensation programs for our employees include base pay, incentive compensation, opportunities for equity ownership where local statutes allow and employee benefits that promote well-being across different aspects of our employees’ lives, which may include health and welfare insurance, retirement benefits and paid time off.</w:t>
      </w:r>
    </w:p>
    <w:p>
      <w:pPr>
        <w:spacing w:after="0" w:line="113" w:lineRule="exact"/>
        <w:rPr>
          <w:sz w:val="20"/>
          <w:szCs w:val="20"/>
          <w:color w:val="auto"/>
        </w:rPr>
      </w:pPr>
    </w:p>
    <w:p>
      <w:pPr>
        <w:ind w:left="580" w:right="699" w:firstLine="349"/>
        <w:spacing w:after="0" w:line="267" w:lineRule="auto"/>
        <w:rPr>
          <w:sz w:val="20"/>
          <w:szCs w:val="20"/>
          <w:color w:val="auto"/>
        </w:rPr>
      </w:pPr>
      <w:r>
        <w:rPr>
          <w:rFonts w:ascii="Times New Roman" w:cs="Times New Roman" w:eastAsia="Times New Roman" w:hAnsi="Times New Roman"/>
          <w:sz w:val="17"/>
          <w:szCs w:val="17"/>
          <w:color w:val="auto"/>
        </w:rPr>
        <w:t>We are also committed to community engagement and social responsibility with regards to our employees and beyond, and the Board of Directors has active oversight of such initiatives. Examples of our initiatives focused on our employees include our company matching program for employee charitable contributions and the free security training programs we offer to help with career development for our employees, in addition to the general public.</w:t>
      </w:r>
    </w:p>
    <w:p>
      <w:pPr>
        <w:spacing w:after="0" w:line="105" w:lineRule="exact"/>
        <w:rPr>
          <w:sz w:val="20"/>
          <w:szCs w:val="20"/>
          <w:color w:val="auto"/>
        </w:rPr>
      </w:pPr>
    </w:p>
    <w:p>
      <w:pPr>
        <w:ind w:left="580" w:right="639" w:firstLine="349"/>
        <w:spacing w:after="0" w:line="265" w:lineRule="auto"/>
        <w:rPr>
          <w:sz w:val="20"/>
          <w:szCs w:val="20"/>
          <w:color w:val="auto"/>
        </w:rPr>
      </w:pPr>
      <w:r>
        <w:rPr>
          <w:rFonts w:ascii="Times New Roman" w:cs="Times New Roman" w:eastAsia="Times New Roman" w:hAnsi="Times New Roman"/>
          <w:sz w:val="17"/>
          <w:szCs w:val="17"/>
          <w:color w:val="auto"/>
        </w:rPr>
        <w:t>Our culture is defined by our commitment to ethics and integrity. We reinforce our ethical “tone at the top” through clear policies including our Code of Business Conduct and Ethics, regular compliance training for our employees, quarterly meetings of our cross-functional Ethics Committee, clear messaging from our executives, enforcement of company policies and oversight by the Board of Directors. In addition, our Chief Executive Officer, Chief Operating Officer, and other executives regularly communicate the importance of Fortinet’s core values of openness, teamwork and innovation.</w:t>
      </w:r>
    </w:p>
    <w:p>
      <w:pPr>
        <w:spacing w:after="0" w:line="93" w:lineRule="exact"/>
        <w:rPr>
          <w:sz w:val="20"/>
          <w:szCs w:val="20"/>
          <w:color w:val="auto"/>
        </w:rPr>
      </w:pPr>
    </w:p>
    <w:p>
      <w:pPr>
        <w:ind w:left="580" w:right="739" w:firstLine="349"/>
        <w:spacing w:after="0" w:line="270" w:lineRule="auto"/>
        <w:rPr>
          <w:sz w:val="20"/>
          <w:szCs w:val="20"/>
          <w:color w:val="auto"/>
        </w:rPr>
      </w:pPr>
      <w:r>
        <w:rPr>
          <w:rFonts w:ascii="Times New Roman" w:cs="Times New Roman" w:eastAsia="Times New Roman" w:hAnsi="Times New Roman"/>
          <w:sz w:val="17"/>
          <w:szCs w:val="17"/>
          <w:color w:val="auto"/>
        </w:rPr>
        <w:t>We are committed to providing our employees with a safe and healthy work environment. We sponsor a global wellness program designed to enhance physical, financial and mental wellbeing for all our employees around the world. Throughout the year, we encourage healthy behaviors through communications, educational sessions, wellness challenges and other incentives.</w:t>
      </w:r>
    </w:p>
    <w:p>
      <w:pPr>
        <w:spacing w:after="0" w:line="16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Majority Voting Standard for Director Elections and Director Resignation Policy</w:t>
      </w:r>
    </w:p>
    <w:p>
      <w:pPr>
        <w:spacing w:after="0" w:line="160" w:lineRule="exact"/>
        <w:rPr>
          <w:sz w:val="20"/>
          <w:szCs w:val="20"/>
          <w:color w:val="auto"/>
        </w:rPr>
      </w:pPr>
    </w:p>
    <w:p>
      <w:pPr>
        <w:ind w:left="580" w:right="639" w:firstLine="349"/>
        <w:spacing w:after="0" w:line="265" w:lineRule="auto"/>
        <w:rPr>
          <w:sz w:val="20"/>
          <w:szCs w:val="20"/>
          <w:color w:val="auto"/>
        </w:rPr>
      </w:pPr>
      <w:r>
        <w:rPr>
          <w:rFonts w:ascii="Times New Roman" w:cs="Times New Roman" w:eastAsia="Times New Roman" w:hAnsi="Times New Roman"/>
          <w:sz w:val="17"/>
          <w:szCs w:val="17"/>
          <w:color w:val="auto"/>
        </w:rPr>
        <w:t>Our Bylaws provide for a majority voting standard for uncontested elections of directors and require that stockholder director nominations include a written statement as to whether the nominee intends to tender an irrevocable resignation upon such nominee’s election or re-election. The majority voting standard provides that, in uncontested director elections, a director nominee will be elected only if the number of votes cast FOR the nominee exceeds the number of votes cast AGAINST the nominee. In addition, our Corporate Governance Guidelines address, among other provisions, the “holdover” director situation under the Delaware General</w:t>
      </w:r>
    </w:p>
    <w:p>
      <w:pPr>
        <w:spacing w:after="0" w:line="1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6" w:name="page27"/>
    <w:bookmarkEnd w:id="26"/>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580" w:right="599"/>
        <w:spacing w:after="0" w:line="261" w:lineRule="auto"/>
        <w:rPr>
          <w:sz w:val="20"/>
          <w:szCs w:val="20"/>
          <w:color w:val="auto"/>
        </w:rPr>
      </w:pPr>
      <w:r>
        <w:rPr>
          <w:rFonts w:ascii="Times New Roman" w:cs="Times New Roman" w:eastAsia="Times New Roman" w:hAnsi="Times New Roman"/>
          <w:sz w:val="17"/>
          <w:szCs w:val="17"/>
          <w:color w:val="auto"/>
        </w:rPr>
        <w:t>Corporation Law (pursuant to which a director remains on the board of directors until such director’s successor is elected and qualified), by requiring each incumbent nominee to submit an irrevocable contingent resignation letter prior to the annual meeting of stockholders in which such election is to take place. Such resignation becomes effective only upon (i) such nominee’s failure to receive the requisite number of votes for re-election at any future meeting at which such person would face re-election and (ii) the Board of Directors’ acceptance of such resignation. If the nominee does not receive the requisite number of votes for re-election, the Governance and Social Responsibility Committee will make a recommendation to the Board of Directors as to whether to accept or reject such resignation, or whether other action should be taken. The Board of Directors will act on the Governance and Social Responsibility Committee’s recommendation and publicly disclose its decision and the rationale behind it within 90 days from the date of the certification of the election results.</w:t>
      </w:r>
    </w:p>
    <w:p>
      <w:pPr>
        <w:spacing w:after="0" w:line="17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Director Independence</w:t>
      </w:r>
    </w:p>
    <w:p>
      <w:pPr>
        <w:spacing w:after="0" w:line="160" w:lineRule="exact"/>
        <w:rPr>
          <w:sz w:val="20"/>
          <w:szCs w:val="20"/>
          <w:color w:val="auto"/>
        </w:rPr>
      </w:pPr>
    </w:p>
    <w:p>
      <w:pPr>
        <w:ind w:left="580" w:right="679" w:firstLine="349"/>
        <w:spacing w:after="0" w:line="274" w:lineRule="auto"/>
        <w:rPr>
          <w:sz w:val="20"/>
          <w:szCs w:val="20"/>
          <w:color w:val="auto"/>
        </w:rPr>
      </w:pPr>
      <w:r>
        <w:rPr>
          <w:rFonts w:ascii="Times New Roman" w:cs="Times New Roman" w:eastAsia="Times New Roman" w:hAnsi="Times New Roman"/>
          <w:sz w:val="17"/>
          <w:szCs w:val="17"/>
          <w:color w:val="auto"/>
        </w:rPr>
        <w:t>The Board of Directors has determined that, with the exception of Messrs. Ken Xie and Michael Xie, who are employees of Fortinet, all of the current members of the Board of Directors are “independent directors” as that term is defined in Nasdaq’s listing standards. Mr. Kan, if elected, will be considered an independent director.</w:t>
      </w:r>
    </w:p>
    <w:p>
      <w:pPr>
        <w:spacing w:after="0" w:line="37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Board Meetings and Committees</w:t>
      </w:r>
    </w:p>
    <w:p>
      <w:pPr>
        <w:spacing w:after="0" w:line="16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7"/>
          <w:szCs w:val="17"/>
          <w:color w:val="auto"/>
        </w:rPr>
        <w:t>During 2025, the Board of Directors held four meetings and acted by unanimous written consent</w:t>
      </w:r>
    </w:p>
    <w:p>
      <w:pPr>
        <w:spacing w:after="0" w:line="32" w:lineRule="exact"/>
        <w:rPr>
          <w:sz w:val="20"/>
          <w:szCs w:val="20"/>
          <w:color w:val="auto"/>
        </w:rPr>
      </w:pPr>
    </w:p>
    <w:p>
      <w:pPr>
        <w:ind w:left="580" w:right="739"/>
        <w:spacing w:after="0" w:line="263" w:lineRule="auto"/>
        <w:rPr>
          <w:sz w:val="20"/>
          <w:szCs w:val="20"/>
          <w:color w:val="auto"/>
        </w:rPr>
      </w:pPr>
      <w:r>
        <w:rPr>
          <w:rFonts w:ascii="Times New Roman" w:cs="Times New Roman" w:eastAsia="Times New Roman" w:hAnsi="Times New Roman"/>
          <w:sz w:val="17"/>
          <w:szCs w:val="17"/>
          <w:color w:val="auto"/>
        </w:rPr>
        <w:t>three times. Each director attended at least 75% of the aggregate of all meetings of the Board of Directors and all meetings held by all committees of the Board of Directors on which such director served during the past fiscal year. The Board of Directors has four standing committees: the Audit Committee, the Human Resources Committee, the Governance and Social Responsibility Committee, and the Cybersecurity Committee.</w:t>
      </w:r>
    </w:p>
    <w:p>
      <w:pPr>
        <w:spacing w:after="0" w:line="17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7"/>
          <w:szCs w:val="17"/>
          <w:i w:val="1"/>
          <w:iCs w:val="1"/>
          <w:color w:val="auto"/>
        </w:rPr>
        <w:t>Audit Committee</w:t>
      </w:r>
    </w:p>
    <w:p>
      <w:pPr>
        <w:spacing w:after="0" w:line="147" w:lineRule="exact"/>
        <w:rPr>
          <w:sz w:val="20"/>
          <w:szCs w:val="20"/>
          <w:color w:val="auto"/>
        </w:rPr>
      </w:pPr>
    </w:p>
    <w:p>
      <w:pPr>
        <w:ind w:left="580" w:right="639" w:firstLine="349"/>
        <w:spacing w:after="0" w:line="267" w:lineRule="auto"/>
        <w:rPr>
          <w:sz w:val="20"/>
          <w:szCs w:val="20"/>
          <w:color w:val="auto"/>
        </w:rPr>
      </w:pPr>
      <w:r>
        <w:rPr>
          <w:rFonts w:ascii="Times New Roman" w:cs="Times New Roman" w:eastAsia="Times New Roman" w:hAnsi="Times New Roman"/>
          <w:sz w:val="17"/>
          <w:szCs w:val="17"/>
          <w:color w:val="auto"/>
        </w:rPr>
        <w:t>The Audit Committee is currently comprised of Messrs. Goldman and Hsieh and Ms. Hu, each of whom is “independent” as such term is defined for audit committee members by the listing standards of Nasdaq and the rules of the SEC. Mr. Goldman is the Chairperson of the Audit Committee. The Board of Directors has determined that each of Ms. Hu and Mr. Goldman is an “audit committee financial expert,” as defined in the rules of the SEC.</w:t>
      </w:r>
    </w:p>
    <w:p>
      <w:pPr>
        <w:spacing w:after="0" w:line="10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7"/>
          <w:szCs w:val="17"/>
          <w:color w:val="auto"/>
        </w:rPr>
        <w:t>The Audit Committee is responsible for, among other things:</w:t>
      </w:r>
    </w:p>
    <w:p>
      <w:pPr>
        <w:spacing w:after="0" w:line="158" w:lineRule="exact"/>
        <w:rPr>
          <w:sz w:val="20"/>
          <w:szCs w:val="20"/>
          <w:color w:val="auto"/>
        </w:rPr>
      </w:pPr>
    </w:p>
    <w:p>
      <w:pPr>
        <w:ind w:left="1100" w:right="999" w:hanging="176"/>
        <w:spacing w:after="0" w:line="296" w:lineRule="auto"/>
        <w:tabs>
          <w:tab w:leader="none" w:pos="1117"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selecting and hiring our independent auditors, and approving the audit and non-audit services to be performed by our independent auditors;</w:t>
      </w:r>
    </w:p>
    <w:p>
      <w:pPr>
        <w:spacing w:after="0" w:line="67" w:lineRule="exact"/>
        <w:rPr>
          <w:rFonts w:ascii="Times New Roman" w:cs="Times New Roman" w:eastAsia="Times New Roman" w:hAnsi="Times New Roman"/>
          <w:sz w:val="17"/>
          <w:szCs w:val="17"/>
          <w:color w:val="auto"/>
        </w:rPr>
      </w:pPr>
    </w:p>
    <w:p>
      <w:pPr>
        <w:ind w:left="1120" w:hanging="196"/>
        <w:spacing w:after="0"/>
        <w:tabs>
          <w:tab w:leader="none" w:pos="112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evaluating the qualifications, performance and independence of our independent auditors;</w:t>
      </w:r>
    </w:p>
    <w:p>
      <w:pPr>
        <w:spacing w:after="0" w:line="158" w:lineRule="exact"/>
        <w:rPr>
          <w:rFonts w:ascii="Times New Roman" w:cs="Times New Roman" w:eastAsia="Times New Roman" w:hAnsi="Times New Roman"/>
          <w:sz w:val="17"/>
          <w:szCs w:val="17"/>
          <w:color w:val="auto"/>
        </w:rPr>
      </w:pPr>
    </w:p>
    <w:p>
      <w:pPr>
        <w:ind w:left="1100" w:right="1119" w:hanging="176"/>
        <w:spacing w:after="0" w:line="296" w:lineRule="auto"/>
        <w:tabs>
          <w:tab w:leader="none" w:pos="1117"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monitoring the integrity of our financial statements and our compliance with legal and regulatory requirements;</w:t>
      </w:r>
    </w:p>
    <w:p>
      <w:pPr>
        <w:spacing w:after="0" w:line="81" w:lineRule="exact"/>
        <w:rPr>
          <w:rFonts w:ascii="Times New Roman" w:cs="Times New Roman" w:eastAsia="Times New Roman" w:hAnsi="Times New Roman"/>
          <w:sz w:val="17"/>
          <w:szCs w:val="17"/>
          <w:color w:val="auto"/>
        </w:rPr>
      </w:pPr>
    </w:p>
    <w:p>
      <w:pPr>
        <w:ind w:left="1120" w:hanging="196"/>
        <w:spacing w:after="0"/>
        <w:tabs>
          <w:tab w:leader="none" w:pos="112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the adequacy and effectiveness of our internal control policies and procedures;</w:t>
      </w:r>
    </w:p>
    <w:p>
      <w:pPr>
        <w:spacing w:after="0" w:line="145" w:lineRule="exact"/>
        <w:rPr>
          <w:rFonts w:ascii="Times New Roman" w:cs="Times New Roman" w:eastAsia="Times New Roman" w:hAnsi="Times New Roman"/>
          <w:sz w:val="17"/>
          <w:szCs w:val="17"/>
          <w:color w:val="auto"/>
        </w:rPr>
      </w:pPr>
    </w:p>
    <w:p>
      <w:pPr>
        <w:ind w:left="1100" w:right="1339" w:hanging="176"/>
        <w:spacing w:after="0" w:line="296" w:lineRule="auto"/>
        <w:tabs>
          <w:tab w:leader="none" w:pos="1117"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discussing the scope and results of the audit with the independent auditors and reviewing with management and the independent auditors our interim and year-end operating results;</w:t>
      </w:r>
    </w:p>
    <w:p>
      <w:pPr>
        <w:spacing w:after="0" w:line="81" w:lineRule="exact"/>
        <w:rPr>
          <w:rFonts w:ascii="Times New Roman" w:cs="Times New Roman" w:eastAsia="Times New Roman" w:hAnsi="Times New Roman"/>
          <w:sz w:val="17"/>
          <w:szCs w:val="17"/>
          <w:color w:val="auto"/>
        </w:rPr>
      </w:pPr>
    </w:p>
    <w:p>
      <w:pPr>
        <w:ind w:left="1120" w:hanging="196"/>
        <w:spacing w:after="0"/>
        <w:tabs>
          <w:tab w:leader="none" w:pos="112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preparing the Audit Committee Report that the SEC requires in our annual proxy statement; and</w:t>
      </w:r>
    </w:p>
    <w:p>
      <w:pPr>
        <w:spacing w:after="0" w:line="158" w:lineRule="exact"/>
        <w:rPr>
          <w:rFonts w:ascii="Times New Roman" w:cs="Times New Roman" w:eastAsia="Times New Roman" w:hAnsi="Times New Roman"/>
          <w:sz w:val="17"/>
          <w:szCs w:val="17"/>
          <w:color w:val="auto"/>
        </w:rPr>
      </w:pPr>
    </w:p>
    <w:p>
      <w:pPr>
        <w:ind w:left="1120" w:hanging="196"/>
        <w:spacing w:after="0"/>
        <w:tabs>
          <w:tab w:leader="none" w:pos="112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and overseeing related-person transactions.</w:t>
      </w:r>
    </w:p>
    <w:p>
      <w:pPr>
        <w:spacing w:after="0" w:line="145" w:lineRule="exact"/>
        <w:rPr>
          <w:sz w:val="20"/>
          <w:szCs w:val="20"/>
          <w:color w:val="auto"/>
        </w:rPr>
      </w:pPr>
    </w:p>
    <w:p>
      <w:pPr>
        <w:ind w:left="580" w:right="1099" w:firstLine="349"/>
        <w:spacing w:after="0" w:line="276" w:lineRule="auto"/>
        <w:rPr>
          <w:sz w:val="20"/>
          <w:szCs w:val="20"/>
          <w:color w:val="auto"/>
        </w:rPr>
      </w:pPr>
      <w:r>
        <w:rPr>
          <w:rFonts w:ascii="Times New Roman" w:cs="Times New Roman" w:eastAsia="Times New Roman" w:hAnsi="Times New Roman"/>
          <w:sz w:val="17"/>
          <w:szCs w:val="17"/>
          <w:color w:val="auto"/>
        </w:rPr>
        <w:t xml:space="preserve">The Audit Committee held eight meetings during 2025. The Audit Committee has adopted a written charter approved by the Board of Directors, which is available on Fortinet’s website at </w:t>
      </w:r>
      <w:r>
        <w:rPr>
          <w:rFonts w:ascii="Times New Roman" w:cs="Times New Roman" w:eastAsia="Times New Roman" w:hAnsi="Times New Roman"/>
          <w:sz w:val="17"/>
          <w:szCs w:val="17"/>
          <w:i w:val="1"/>
          <w:iCs w:val="1"/>
          <w:color w:val="auto"/>
        </w:rPr>
        <w:t>investor.fortinet.com/corporate-governance-0</w:t>
      </w:r>
      <w:r>
        <w:rPr>
          <w:rFonts w:ascii="Times New Roman" w:cs="Times New Roman" w:eastAsia="Times New Roman" w:hAnsi="Times New Roman"/>
          <w:sz w:val="17"/>
          <w:szCs w:val="17"/>
          <w:color w:val="auto"/>
        </w:rPr>
        <w:t>.</w:t>
      </w:r>
    </w:p>
    <w:p>
      <w:pPr>
        <w:spacing w:after="0" w:line="9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7"/>
          <w:szCs w:val="17"/>
          <w:color w:val="auto"/>
        </w:rPr>
        <w:t>The Audit Committee Report is included in this Proxy Statement on page 66.</w:t>
      </w:r>
    </w:p>
    <w:p>
      <w:pPr>
        <w:spacing w:after="0" w:line="184"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7" w:name="page28"/>
    <w:bookmarkEnd w:id="27"/>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7"/>
          <w:szCs w:val="17"/>
          <w:i w:val="1"/>
          <w:iCs w:val="1"/>
          <w:color w:val="auto"/>
        </w:rPr>
        <w:t>Human Resources Committee</w:t>
      </w:r>
    </w:p>
    <w:p>
      <w:pPr>
        <w:spacing w:after="0" w:line="147" w:lineRule="exact"/>
        <w:rPr>
          <w:sz w:val="20"/>
          <w:szCs w:val="20"/>
          <w:color w:val="auto"/>
        </w:rPr>
      </w:pPr>
    </w:p>
    <w:p>
      <w:pPr>
        <w:ind w:left="580" w:right="679" w:firstLine="349"/>
        <w:spacing w:after="0" w:line="276" w:lineRule="auto"/>
        <w:rPr>
          <w:sz w:val="20"/>
          <w:szCs w:val="20"/>
          <w:color w:val="auto"/>
        </w:rPr>
      </w:pPr>
      <w:r>
        <w:rPr>
          <w:rFonts w:ascii="Times New Roman" w:cs="Times New Roman" w:eastAsia="Times New Roman" w:hAnsi="Times New Roman"/>
          <w:sz w:val="17"/>
          <w:szCs w:val="17"/>
          <w:color w:val="auto"/>
        </w:rPr>
        <w:t>The Human Resources Committee is currently comprised of Mses. Sim and Napolitano and Mr. Goldman, each of whom qualifies as an independent director under the listing standards of Nasdaq. Ms. Sim is the Chairperson of the Human Resources Committee.</w:t>
      </w:r>
    </w:p>
    <w:p>
      <w:pPr>
        <w:spacing w:after="0" w:line="9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7"/>
          <w:szCs w:val="17"/>
          <w:color w:val="auto"/>
        </w:rPr>
        <w:t>The Human Resources Committee is responsible for, among other things:</w:t>
      </w:r>
    </w:p>
    <w:p>
      <w:pPr>
        <w:spacing w:after="0" w:line="158" w:lineRule="exact"/>
        <w:rPr>
          <w:sz w:val="20"/>
          <w:szCs w:val="20"/>
          <w:color w:val="auto"/>
        </w:rPr>
      </w:pPr>
    </w:p>
    <w:p>
      <w:pPr>
        <w:ind w:left="1100" w:right="939" w:hanging="176"/>
        <w:spacing w:after="0" w:line="296" w:lineRule="auto"/>
        <w:tabs>
          <w:tab w:leader="none" w:pos="1117"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providing oversight of our organization and human resources activities, including culture and ethics matters and diversity, equity and inclusion initiatives;</w:t>
      </w:r>
    </w:p>
    <w:p>
      <w:pPr>
        <w:spacing w:after="0" w:line="67" w:lineRule="exact"/>
        <w:rPr>
          <w:rFonts w:ascii="Times New Roman" w:cs="Times New Roman" w:eastAsia="Times New Roman" w:hAnsi="Times New Roman"/>
          <w:sz w:val="17"/>
          <w:szCs w:val="17"/>
          <w:color w:val="auto"/>
        </w:rPr>
      </w:pPr>
    </w:p>
    <w:p>
      <w:pPr>
        <w:ind w:left="1100" w:right="639" w:hanging="176"/>
        <w:spacing w:after="0" w:line="296" w:lineRule="auto"/>
        <w:tabs>
          <w:tab w:leader="none" w:pos="1117"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providing oversight of our employee and executive compensation policies, plans and benefits programs, and overall compensation philosophy;</w:t>
      </w:r>
    </w:p>
    <w:p>
      <w:pPr>
        <w:spacing w:after="0" w:line="81" w:lineRule="exact"/>
        <w:rPr>
          <w:rFonts w:ascii="Times New Roman" w:cs="Times New Roman" w:eastAsia="Times New Roman" w:hAnsi="Times New Roman"/>
          <w:sz w:val="17"/>
          <w:szCs w:val="17"/>
          <w:color w:val="auto"/>
        </w:rPr>
      </w:pPr>
    </w:p>
    <w:p>
      <w:pPr>
        <w:ind w:left="1100" w:right="879" w:hanging="176"/>
        <w:spacing w:after="0" w:line="296" w:lineRule="auto"/>
        <w:tabs>
          <w:tab w:leader="none" w:pos="1117"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and approving for our executive officers: their annual base salary, annual incentive bonus, equity compensation and other benefits, compensation or arrangements;</w:t>
      </w:r>
    </w:p>
    <w:p>
      <w:pPr>
        <w:spacing w:after="0" w:line="81" w:lineRule="exact"/>
        <w:rPr>
          <w:rFonts w:ascii="Times New Roman" w:cs="Times New Roman" w:eastAsia="Times New Roman" w:hAnsi="Times New Roman"/>
          <w:sz w:val="17"/>
          <w:szCs w:val="17"/>
          <w:color w:val="auto"/>
        </w:rPr>
      </w:pPr>
    </w:p>
    <w:p>
      <w:pPr>
        <w:ind w:left="1100" w:right="819" w:hanging="176"/>
        <w:spacing w:after="0" w:line="296" w:lineRule="auto"/>
        <w:tabs>
          <w:tab w:leader="none" w:pos="1117"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and recommending compensation goals and objectives, and bonus and stock compensation criteria for our executive officers;</w:t>
      </w:r>
    </w:p>
    <w:p>
      <w:pPr>
        <w:spacing w:after="0" w:line="67" w:lineRule="exact"/>
        <w:rPr>
          <w:rFonts w:ascii="Times New Roman" w:cs="Times New Roman" w:eastAsia="Times New Roman" w:hAnsi="Times New Roman"/>
          <w:sz w:val="17"/>
          <w:szCs w:val="17"/>
          <w:color w:val="auto"/>
        </w:rPr>
      </w:pPr>
    </w:p>
    <w:p>
      <w:pPr>
        <w:ind w:left="1100" w:right="799" w:hanging="176"/>
        <w:spacing w:after="0" w:line="296" w:lineRule="auto"/>
        <w:tabs>
          <w:tab w:leader="none" w:pos="1117"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preparing the Human Resources Committee Report that the SEC requires to be included in our annual proxy statement; and</w:t>
      </w:r>
    </w:p>
    <w:p>
      <w:pPr>
        <w:spacing w:after="0" w:line="81" w:lineRule="exact"/>
        <w:rPr>
          <w:rFonts w:ascii="Times New Roman" w:cs="Times New Roman" w:eastAsia="Times New Roman" w:hAnsi="Times New Roman"/>
          <w:sz w:val="17"/>
          <w:szCs w:val="17"/>
          <w:color w:val="auto"/>
        </w:rPr>
      </w:pPr>
    </w:p>
    <w:p>
      <w:pPr>
        <w:ind w:left="1120" w:hanging="196"/>
        <w:spacing w:after="0"/>
        <w:tabs>
          <w:tab w:leader="none" w:pos="112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administering our equity compensation plans.</w:t>
      </w:r>
    </w:p>
    <w:p>
      <w:pPr>
        <w:spacing w:after="0" w:line="156" w:lineRule="exact"/>
        <w:rPr>
          <w:sz w:val="20"/>
          <w:szCs w:val="20"/>
          <w:color w:val="auto"/>
        </w:rPr>
      </w:pPr>
    </w:p>
    <w:p>
      <w:pPr>
        <w:ind w:left="580" w:right="819" w:firstLine="349"/>
        <w:spacing w:after="0" w:line="278" w:lineRule="auto"/>
        <w:rPr>
          <w:sz w:val="20"/>
          <w:szCs w:val="20"/>
          <w:color w:val="auto"/>
        </w:rPr>
      </w:pPr>
      <w:r>
        <w:rPr>
          <w:rFonts w:ascii="Times New Roman" w:cs="Times New Roman" w:eastAsia="Times New Roman" w:hAnsi="Times New Roman"/>
          <w:sz w:val="17"/>
          <w:szCs w:val="17"/>
          <w:color w:val="auto"/>
        </w:rPr>
        <w:t>See “</w:t>
      </w:r>
      <w:r>
        <w:rPr>
          <w:rFonts w:ascii="Times New Roman" w:cs="Times New Roman" w:eastAsia="Times New Roman" w:hAnsi="Times New Roman"/>
          <w:sz w:val="17"/>
          <w:szCs w:val="17"/>
          <w:i w:val="1"/>
          <w:iCs w:val="1"/>
          <w:color w:val="auto"/>
        </w:rPr>
        <w:t>Executive Compensation — Compensation Discussion and Analysis</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i w:val="1"/>
          <w:iCs w:val="1"/>
          <w:color w:val="auto"/>
        </w:rPr>
        <w:t>Executive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Compensation — Compensation of Directors</w:t>
      </w:r>
      <w:r>
        <w:rPr>
          <w:rFonts w:ascii="Times New Roman" w:cs="Times New Roman" w:eastAsia="Times New Roman" w:hAnsi="Times New Roman"/>
          <w:sz w:val="17"/>
          <w:szCs w:val="17"/>
          <w:color w:val="auto"/>
        </w:rPr>
        <w:t>” for a description of Fortinet’s processes and procedures for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consideration and determination of executive officer and director compensation.</w:t>
      </w:r>
    </w:p>
    <w:p>
      <w:pPr>
        <w:spacing w:after="0" w:line="82" w:lineRule="exact"/>
        <w:rPr>
          <w:sz w:val="20"/>
          <w:szCs w:val="20"/>
          <w:color w:val="auto"/>
        </w:rPr>
      </w:pPr>
    </w:p>
    <w:p>
      <w:pPr>
        <w:ind w:left="580" w:right="659" w:firstLine="349"/>
        <w:spacing w:after="0" w:line="276" w:lineRule="auto"/>
        <w:rPr>
          <w:sz w:val="20"/>
          <w:szCs w:val="20"/>
          <w:color w:val="auto"/>
        </w:rPr>
      </w:pPr>
      <w:r>
        <w:rPr>
          <w:rFonts w:ascii="Times New Roman" w:cs="Times New Roman" w:eastAsia="Times New Roman" w:hAnsi="Times New Roman"/>
          <w:sz w:val="17"/>
          <w:szCs w:val="17"/>
          <w:color w:val="auto"/>
        </w:rPr>
        <w:t xml:space="preserve">The Human Resources Committee held four meetings during 2025. The Human Resources Committee has adopted a written charter approved by the Board of Directors, which is available on Fortinet’s website at </w:t>
      </w:r>
      <w:r>
        <w:rPr>
          <w:rFonts w:ascii="Times New Roman" w:cs="Times New Roman" w:eastAsia="Times New Roman" w:hAnsi="Times New Roman"/>
          <w:sz w:val="17"/>
          <w:szCs w:val="17"/>
          <w:i w:val="1"/>
          <w:iCs w:val="1"/>
          <w:color w:val="auto"/>
        </w:rPr>
        <w:t>investor.fortinet.com/corporate-governance-0</w:t>
      </w:r>
      <w:r>
        <w:rPr>
          <w:rFonts w:ascii="Times New Roman" w:cs="Times New Roman" w:eastAsia="Times New Roman" w:hAnsi="Times New Roman"/>
          <w:sz w:val="17"/>
          <w:szCs w:val="17"/>
          <w:color w:val="auto"/>
        </w:rPr>
        <w:t>.</w:t>
      </w:r>
    </w:p>
    <w:p>
      <w:pPr>
        <w:spacing w:after="0" w:line="9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7"/>
          <w:szCs w:val="17"/>
          <w:color w:val="auto"/>
        </w:rPr>
        <w:t>The Human Resources Committee Report is included in this Proxy Statement on page 45.</w:t>
      </w:r>
    </w:p>
    <w:p>
      <w:pPr>
        <w:spacing w:after="0" w:line="22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7"/>
          <w:szCs w:val="17"/>
          <w:i w:val="1"/>
          <w:iCs w:val="1"/>
          <w:color w:val="auto"/>
        </w:rPr>
        <w:t>Governance and Social Responsibility Committee</w:t>
      </w:r>
    </w:p>
    <w:p>
      <w:pPr>
        <w:spacing w:after="0" w:line="134" w:lineRule="exact"/>
        <w:rPr>
          <w:sz w:val="20"/>
          <w:szCs w:val="20"/>
          <w:color w:val="auto"/>
        </w:rPr>
      </w:pPr>
    </w:p>
    <w:p>
      <w:pPr>
        <w:ind w:left="580" w:right="819" w:firstLine="349"/>
        <w:spacing w:after="0" w:line="276" w:lineRule="auto"/>
        <w:rPr>
          <w:sz w:val="20"/>
          <w:szCs w:val="20"/>
          <w:color w:val="auto"/>
        </w:rPr>
      </w:pPr>
      <w:r>
        <w:rPr>
          <w:rFonts w:ascii="Times New Roman" w:cs="Times New Roman" w:eastAsia="Times New Roman" w:hAnsi="Times New Roman"/>
          <w:sz w:val="17"/>
          <w:szCs w:val="17"/>
          <w:color w:val="auto"/>
        </w:rPr>
        <w:t>The Governance and Social Responsibility Committee is currently comprised of Mr. Hsieh, Admiral Stavridis (Ret) and Ms. Sim, each of whom qualifies as an independent director under the listing standards of Nasdaq. Mr. Hsieh is the Chairperson of the Governance and Social Responsibility Committee.</w:t>
      </w:r>
    </w:p>
    <w:p>
      <w:pPr>
        <w:spacing w:after="0" w:line="8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7"/>
          <w:szCs w:val="17"/>
          <w:color w:val="auto"/>
        </w:rPr>
        <w:t>The Governance and Social Responsibility Committee is responsible for, among other things:</w:t>
      </w:r>
    </w:p>
    <w:p>
      <w:pPr>
        <w:spacing w:after="0" w:line="132" w:lineRule="exact"/>
        <w:rPr>
          <w:sz w:val="20"/>
          <w:szCs w:val="20"/>
          <w:color w:val="auto"/>
        </w:rPr>
      </w:pPr>
    </w:p>
    <w:p>
      <w:pPr>
        <w:ind w:left="1120" w:hanging="196"/>
        <w:spacing w:after="0"/>
        <w:tabs>
          <w:tab w:leader="none" w:pos="112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advising the Board of Directors and our officers on corporate governance matters;</w:t>
      </w:r>
    </w:p>
    <w:p>
      <w:pPr>
        <w:spacing w:after="0" w:line="131" w:lineRule="exact"/>
        <w:rPr>
          <w:rFonts w:ascii="Times New Roman" w:cs="Times New Roman" w:eastAsia="Times New Roman" w:hAnsi="Times New Roman"/>
          <w:sz w:val="17"/>
          <w:szCs w:val="17"/>
          <w:color w:val="auto"/>
        </w:rPr>
      </w:pPr>
    </w:p>
    <w:p>
      <w:pPr>
        <w:ind w:left="1120" w:hanging="196"/>
        <w:spacing w:after="0"/>
        <w:tabs>
          <w:tab w:leader="none" w:pos="112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overseeing the evaluation of the Board of Directors;</w:t>
      </w:r>
    </w:p>
    <w:p>
      <w:pPr>
        <w:spacing w:after="0" w:line="145" w:lineRule="exact"/>
        <w:rPr>
          <w:rFonts w:ascii="Times New Roman" w:cs="Times New Roman" w:eastAsia="Times New Roman" w:hAnsi="Times New Roman"/>
          <w:sz w:val="17"/>
          <w:szCs w:val="17"/>
          <w:color w:val="auto"/>
        </w:rPr>
      </w:pPr>
    </w:p>
    <w:p>
      <w:pPr>
        <w:ind w:left="1100" w:right="599" w:hanging="176"/>
        <w:spacing w:after="0" w:line="296" w:lineRule="auto"/>
        <w:tabs>
          <w:tab w:leader="none" w:pos="1117"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developments in corporate governance practices and developing and recommending corporate governance guidelines and other policies;</w:t>
      </w:r>
    </w:p>
    <w:p>
      <w:pPr>
        <w:spacing w:after="0" w:line="54" w:lineRule="exact"/>
        <w:rPr>
          <w:rFonts w:ascii="Times New Roman" w:cs="Times New Roman" w:eastAsia="Times New Roman" w:hAnsi="Times New Roman"/>
          <w:sz w:val="17"/>
          <w:szCs w:val="17"/>
          <w:color w:val="auto"/>
        </w:rPr>
      </w:pPr>
    </w:p>
    <w:p>
      <w:pPr>
        <w:ind w:left="1100" w:right="1179" w:hanging="176"/>
        <w:spacing w:after="0" w:line="296" w:lineRule="auto"/>
        <w:tabs>
          <w:tab w:leader="none" w:pos="1117"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assisting the Board of Directors in identifying prospective director nominees and recommending nominees for each annual meeting of stockholders to the Board of Directors;</w:t>
      </w:r>
    </w:p>
    <w:p>
      <w:pPr>
        <w:spacing w:after="0" w:line="54" w:lineRule="exact"/>
        <w:rPr>
          <w:rFonts w:ascii="Times New Roman" w:cs="Times New Roman" w:eastAsia="Times New Roman" w:hAnsi="Times New Roman"/>
          <w:sz w:val="17"/>
          <w:szCs w:val="17"/>
          <w:color w:val="auto"/>
        </w:rPr>
      </w:pPr>
    </w:p>
    <w:p>
      <w:pPr>
        <w:ind w:left="1120" w:hanging="196"/>
        <w:spacing w:after="0"/>
        <w:tabs>
          <w:tab w:leader="none" w:pos="112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recommending members for each committee of the Board of Directors;</w:t>
      </w:r>
    </w:p>
    <w:p>
      <w:pPr>
        <w:spacing w:after="0" w:line="145" w:lineRule="exact"/>
        <w:rPr>
          <w:rFonts w:ascii="Times New Roman" w:cs="Times New Roman" w:eastAsia="Times New Roman" w:hAnsi="Times New Roman"/>
          <w:sz w:val="17"/>
          <w:szCs w:val="17"/>
          <w:color w:val="auto"/>
        </w:rPr>
      </w:pPr>
    </w:p>
    <w:p>
      <w:pPr>
        <w:ind w:left="1100" w:right="819" w:hanging="176"/>
        <w:spacing w:after="0" w:line="296" w:lineRule="auto"/>
        <w:tabs>
          <w:tab w:leader="none" w:pos="1074"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recommending to the Board of Directors and overseeing programs relating to social responsibility and sustainability;</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8" w:name="page29"/>
    <w:bookmarkEnd w:id="28"/>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32" w:lineRule="exact"/>
        <w:rPr>
          <w:sz w:val="20"/>
          <w:szCs w:val="20"/>
          <w:color w:val="auto"/>
        </w:rPr>
      </w:pPr>
    </w:p>
    <w:p>
      <w:pPr>
        <w:ind w:left="1100" w:right="659" w:hanging="176"/>
        <w:spacing w:after="0" w:line="296" w:lineRule="auto"/>
        <w:tabs>
          <w:tab w:leader="none" w:pos="1074"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and assessing with management performance, risks, controls and procedures relating to social responsibility and sustainability; and</w:t>
      </w:r>
    </w:p>
    <w:p>
      <w:pPr>
        <w:spacing w:after="0" w:line="54" w:lineRule="exact"/>
        <w:rPr>
          <w:rFonts w:ascii="Times New Roman" w:cs="Times New Roman" w:eastAsia="Times New Roman" w:hAnsi="Times New Roman"/>
          <w:sz w:val="17"/>
          <w:szCs w:val="17"/>
          <w:color w:val="auto"/>
        </w:rPr>
      </w:pPr>
    </w:p>
    <w:p>
      <w:pPr>
        <w:ind w:left="1120" w:hanging="196"/>
        <w:spacing w:after="0"/>
        <w:tabs>
          <w:tab w:leader="none" w:pos="112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overseeing our charitable giving policies.</w:t>
      </w:r>
    </w:p>
    <w:p>
      <w:pPr>
        <w:spacing w:after="0" w:line="158" w:lineRule="exact"/>
        <w:rPr>
          <w:sz w:val="20"/>
          <w:szCs w:val="20"/>
          <w:color w:val="auto"/>
        </w:rPr>
      </w:pPr>
    </w:p>
    <w:p>
      <w:pPr>
        <w:jc w:val="both"/>
        <w:ind w:left="580" w:right="779" w:firstLine="349"/>
        <w:spacing w:after="0" w:line="276" w:lineRule="auto"/>
        <w:rPr>
          <w:sz w:val="20"/>
          <w:szCs w:val="20"/>
          <w:color w:val="auto"/>
        </w:rPr>
      </w:pPr>
      <w:r>
        <w:rPr>
          <w:rFonts w:ascii="Times New Roman" w:cs="Times New Roman" w:eastAsia="Times New Roman" w:hAnsi="Times New Roman"/>
          <w:sz w:val="17"/>
          <w:szCs w:val="17"/>
          <w:color w:val="auto"/>
        </w:rPr>
        <w:t>The Governance and Social Responsibility Committee will consider recommendations of candidates for the Board of Directors submitted by stockholders of Fortinet; see “</w:t>
      </w:r>
      <w:r>
        <w:rPr>
          <w:rFonts w:ascii="Times New Roman" w:cs="Times New Roman" w:eastAsia="Times New Roman" w:hAnsi="Times New Roman"/>
          <w:sz w:val="17"/>
          <w:szCs w:val="17"/>
          <w:i w:val="1"/>
          <w:iCs w:val="1"/>
          <w:color w:val="auto"/>
        </w:rPr>
        <w:t>Process for Recommending Candidates for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Election to the Board of Directors</w:t>
      </w:r>
      <w:r>
        <w:rPr>
          <w:rFonts w:ascii="Times New Roman" w:cs="Times New Roman" w:eastAsia="Times New Roman" w:hAnsi="Times New Roman"/>
          <w:sz w:val="17"/>
          <w:szCs w:val="17"/>
          <w:color w:val="auto"/>
        </w:rPr>
        <w:t>” below.</w:t>
      </w:r>
    </w:p>
    <w:p>
      <w:pPr>
        <w:spacing w:after="0" w:line="98" w:lineRule="exact"/>
        <w:rPr>
          <w:sz w:val="20"/>
          <w:szCs w:val="20"/>
          <w:color w:val="auto"/>
        </w:rPr>
      </w:pPr>
    </w:p>
    <w:p>
      <w:pPr>
        <w:ind w:left="580" w:right="859" w:firstLine="349"/>
        <w:spacing w:after="0" w:line="270" w:lineRule="auto"/>
        <w:rPr>
          <w:sz w:val="20"/>
          <w:szCs w:val="20"/>
          <w:color w:val="auto"/>
        </w:rPr>
      </w:pPr>
      <w:r>
        <w:rPr>
          <w:rFonts w:ascii="Times New Roman" w:cs="Times New Roman" w:eastAsia="Times New Roman" w:hAnsi="Times New Roman"/>
          <w:sz w:val="17"/>
          <w:szCs w:val="17"/>
          <w:color w:val="auto"/>
        </w:rPr>
        <w:t xml:space="preserve">The Governance and Social Responsibility Committee held four meetings during 2025 and acted by unanimous written consent one time during 2025. The Governance and Social Responsibility Committee has adopted a written charter approved by the Board of Directors, which is available on Fortinet’s website at </w:t>
      </w:r>
      <w:r>
        <w:rPr>
          <w:rFonts w:ascii="Times New Roman" w:cs="Times New Roman" w:eastAsia="Times New Roman" w:hAnsi="Times New Roman"/>
          <w:sz w:val="17"/>
          <w:szCs w:val="17"/>
          <w:i w:val="1"/>
          <w:iCs w:val="1"/>
          <w:color w:val="auto"/>
        </w:rPr>
        <w:t>investor.fortinet.com/corporate-governance-0</w:t>
      </w:r>
      <w:r>
        <w:rPr>
          <w:rFonts w:ascii="Times New Roman" w:cs="Times New Roman" w:eastAsia="Times New Roman" w:hAnsi="Times New Roman"/>
          <w:sz w:val="17"/>
          <w:szCs w:val="17"/>
          <w:color w:val="auto"/>
        </w:rPr>
        <w:t>.</w:t>
      </w:r>
    </w:p>
    <w:p>
      <w:pPr>
        <w:spacing w:after="0" w:line="16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7"/>
          <w:szCs w:val="17"/>
          <w:i w:val="1"/>
          <w:iCs w:val="1"/>
          <w:color w:val="auto"/>
        </w:rPr>
        <w:t>Cybersecurity Committee</w:t>
      </w:r>
    </w:p>
    <w:p>
      <w:pPr>
        <w:spacing w:after="0" w:line="147" w:lineRule="exact"/>
        <w:rPr>
          <w:sz w:val="20"/>
          <w:szCs w:val="20"/>
          <w:color w:val="auto"/>
        </w:rPr>
      </w:pPr>
    </w:p>
    <w:p>
      <w:pPr>
        <w:ind w:left="580" w:right="659" w:firstLine="349"/>
        <w:spacing w:after="0" w:line="270" w:lineRule="auto"/>
        <w:rPr>
          <w:sz w:val="20"/>
          <w:szCs w:val="20"/>
          <w:color w:val="auto"/>
        </w:rPr>
      </w:pPr>
      <w:r>
        <w:rPr>
          <w:rFonts w:ascii="Times New Roman" w:cs="Times New Roman" w:eastAsia="Times New Roman" w:hAnsi="Times New Roman"/>
          <w:sz w:val="17"/>
          <w:szCs w:val="17"/>
          <w:color w:val="auto"/>
        </w:rPr>
        <w:t>The Board of Directors considers Fortinet’s cybersecurity responsibilities to be a high priority, and as such formed the Cybersecurity Committee in July 2024. The Cybersecurity Committee is currently comprised of Mr. Michael Xie, Admiral Stavridis (Ret) and Mses. Napolitano and Hu. Admiral Stavridis (Ret) is the Chairperson of the Cybersecurity Committee.</w:t>
      </w:r>
    </w:p>
    <w:p>
      <w:pPr>
        <w:spacing w:after="0" w:line="10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7"/>
          <w:szCs w:val="17"/>
          <w:color w:val="auto"/>
        </w:rPr>
        <w:t>The Cybersecurity Committee is responsible for, among other things:</w:t>
      </w:r>
    </w:p>
    <w:p>
      <w:pPr>
        <w:spacing w:after="0" w:line="158" w:lineRule="exact"/>
        <w:rPr>
          <w:sz w:val="20"/>
          <w:szCs w:val="20"/>
          <w:color w:val="auto"/>
        </w:rPr>
      </w:pPr>
    </w:p>
    <w:p>
      <w:pPr>
        <w:ind w:left="1120" w:hanging="196"/>
        <w:spacing w:after="0"/>
        <w:tabs>
          <w:tab w:leader="none" w:pos="112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providing oversight of our information security, product security and data privacy programs;</w:t>
      </w:r>
    </w:p>
    <w:p>
      <w:pPr>
        <w:spacing w:after="0" w:line="145" w:lineRule="exact"/>
        <w:rPr>
          <w:rFonts w:ascii="Times New Roman" w:cs="Times New Roman" w:eastAsia="Times New Roman" w:hAnsi="Times New Roman"/>
          <w:sz w:val="17"/>
          <w:szCs w:val="17"/>
          <w:color w:val="auto"/>
        </w:rPr>
      </w:pPr>
    </w:p>
    <w:p>
      <w:pPr>
        <w:ind w:left="1100" w:right="679" w:hanging="176"/>
        <w:spacing w:after="0" w:line="296" w:lineRule="auto"/>
        <w:tabs>
          <w:tab w:leader="none" w:pos="1117"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and providing oversight on our controls, policies and procedures put in place for monitoring, preventing and responding to cybersecurity, product cybersecurity and data privacy risks;</w:t>
      </w:r>
    </w:p>
    <w:p>
      <w:pPr>
        <w:spacing w:after="0" w:line="81" w:lineRule="exact"/>
        <w:rPr>
          <w:rFonts w:ascii="Times New Roman" w:cs="Times New Roman" w:eastAsia="Times New Roman" w:hAnsi="Times New Roman"/>
          <w:sz w:val="17"/>
          <w:szCs w:val="17"/>
          <w:color w:val="auto"/>
        </w:rPr>
      </w:pPr>
    </w:p>
    <w:p>
      <w:pPr>
        <w:ind w:left="1100" w:right="999" w:hanging="176"/>
        <w:spacing w:after="0" w:line="276" w:lineRule="auto"/>
        <w:tabs>
          <w:tab w:leader="none" w:pos="1117"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our cybersecurity, product security, data privacy and other information technology risks, controls and procedures, including our plans to mitigate cybersecurity risks and respond to data breaches;</w:t>
      </w:r>
    </w:p>
    <w:p>
      <w:pPr>
        <w:spacing w:after="0" w:line="98" w:lineRule="exact"/>
        <w:rPr>
          <w:rFonts w:ascii="Times New Roman" w:cs="Times New Roman" w:eastAsia="Times New Roman" w:hAnsi="Times New Roman"/>
          <w:sz w:val="17"/>
          <w:szCs w:val="17"/>
          <w:color w:val="auto"/>
        </w:rPr>
      </w:pPr>
    </w:p>
    <w:p>
      <w:pPr>
        <w:ind w:left="1100" w:right="979" w:hanging="176"/>
        <w:spacing w:after="0" w:line="296" w:lineRule="auto"/>
        <w:tabs>
          <w:tab w:leader="none" w:pos="1117"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and providing oversight over our compliance with laws and regulations applicable to the above-mentioned functions</w:t>
      </w:r>
    </w:p>
    <w:p>
      <w:pPr>
        <w:spacing w:after="0" w:line="67" w:lineRule="exact"/>
        <w:rPr>
          <w:rFonts w:ascii="Times New Roman" w:cs="Times New Roman" w:eastAsia="Times New Roman" w:hAnsi="Times New Roman"/>
          <w:sz w:val="17"/>
          <w:szCs w:val="17"/>
          <w:color w:val="auto"/>
        </w:rPr>
      </w:pPr>
    </w:p>
    <w:p>
      <w:pPr>
        <w:ind w:left="1100" w:right="999" w:hanging="176"/>
        <w:spacing w:after="0" w:line="296" w:lineRule="auto"/>
        <w:tabs>
          <w:tab w:leader="none" w:pos="1117"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and providing oversight over our information security, product security and data privacy compliance and standard and certifications programs to support growth across all sectors.</w:t>
      </w:r>
    </w:p>
    <w:p>
      <w:pPr>
        <w:spacing w:after="0" w:line="81" w:lineRule="exact"/>
        <w:rPr>
          <w:sz w:val="20"/>
          <w:szCs w:val="20"/>
          <w:color w:val="auto"/>
        </w:rPr>
      </w:pPr>
    </w:p>
    <w:p>
      <w:pPr>
        <w:ind w:left="580" w:right="659" w:firstLine="349"/>
        <w:spacing w:after="0" w:line="276" w:lineRule="auto"/>
        <w:rPr>
          <w:sz w:val="20"/>
          <w:szCs w:val="20"/>
          <w:color w:val="auto"/>
        </w:rPr>
      </w:pPr>
      <w:r>
        <w:rPr>
          <w:rFonts w:ascii="Times New Roman" w:cs="Times New Roman" w:eastAsia="Times New Roman" w:hAnsi="Times New Roman"/>
          <w:sz w:val="17"/>
          <w:szCs w:val="17"/>
          <w:color w:val="auto"/>
        </w:rPr>
        <w:t xml:space="preserve">The Cybersecurity Committee held four meetings during 2025. The Cybersecurity Committee has adopted a written charter approved by the Board of Directors, which is available on Fortinet’s website at </w:t>
      </w:r>
      <w:r>
        <w:rPr>
          <w:rFonts w:ascii="Times New Roman" w:cs="Times New Roman" w:eastAsia="Times New Roman" w:hAnsi="Times New Roman"/>
          <w:sz w:val="17"/>
          <w:szCs w:val="17"/>
          <w:i w:val="1"/>
          <w:iCs w:val="1"/>
          <w:color w:val="auto"/>
        </w:rPr>
        <w:t>investor.fortinet.com/corporate-governance-0</w:t>
      </w:r>
      <w:r>
        <w:rPr>
          <w:rFonts w:ascii="Times New Roman" w:cs="Times New Roman" w:eastAsia="Times New Roman" w:hAnsi="Times New Roman"/>
          <w:sz w:val="17"/>
          <w:szCs w:val="17"/>
          <w:color w:val="auto"/>
        </w:rPr>
        <w:t>.</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Human Resources Committee Interlocks and Insider Participation</w:t>
      </w:r>
    </w:p>
    <w:p>
      <w:pPr>
        <w:spacing w:after="0" w:line="160" w:lineRule="exact"/>
        <w:rPr>
          <w:sz w:val="20"/>
          <w:szCs w:val="20"/>
          <w:color w:val="auto"/>
        </w:rPr>
      </w:pPr>
    </w:p>
    <w:p>
      <w:pPr>
        <w:ind w:left="580" w:right="679" w:firstLine="349"/>
        <w:spacing w:after="0" w:line="265" w:lineRule="auto"/>
        <w:rPr>
          <w:sz w:val="20"/>
          <w:szCs w:val="20"/>
          <w:color w:val="auto"/>
        </w:rPr>
      </w:pPr>
      <w:r>
        <w:rPr>
          <w:rFonts w:ascii="Times New Roman" w:cs="Times New Roman" w:eastAsia="Times New Roman" w:hAnsi="Times New Roman"/>
          <w:sz w:val="17"/>
          <w:szCs w:val="17"/>
          <w:color w:val="auto"/>
        </w:rPr>
        <w:t>Mses. Sim and Napolitano, and Mr. Goldman served as members of the Human Resources Committee during fiscal 2025. None of the members of the Human Resources Committee during 2025 is or has in the past served as an officer or employee of our company. None of our executive officers currently serves, or in the past year has served, as a member of the board of directors or compensation committee of any entity that has one or more executive officers serving on the Board of Directors or the Human Resources Committee during fiscal 2025.</w:t>
      </w:r>
    </w:p>
    <w:p>
      <w:pPr>
        <w:spacing w:after="0" w:line="17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Insider Trading Policy</w:t>
      </w:r>
    </w:p>
    <w:p>
      <w:pPr>
        <w:spacing w:after="0" w:line="147" w:lineRule="exact"/>
        <w:rPr>
          <w:sz w:val="20"/>
          <w:szCs w:val="20"/>
          <w:color w:val="auto"/>
        </w:rPr>
      </w:pPr>
    </w:p>
    <w:p>
      <w:pPr>
        <w:ind w:left="580" w:right="599" w:firstLine="349"/>
        <w:spacing w:after="0" w:line="266" w:lineRule="auto"/>
        <w:rPr>
          <w:sz w:val="20"/>
          <w:szCs w:val="20"/>
          <w:color w:val="auto"/>
        </w:rPr>
      </w:pPr>
      <w:r>
        <w:rPr>
          <w:rFonts w:ascii="Times New Roman" w:cs="Times New Roman" w:eastAsia="Times New Roman" w:hAnsi="Times New Roman"/>
          <w:sz w:val="17"/>
          <w:szCs w:val="17"/>
          <w:color w:val="auto"/>
        </w:rPr>
        <w:t>Our Board of Directors has adopted an Insider Trading Policy that governs the purchase, sale and other disposition of our securities by our team members, including our officers, independent contractors and directors. We believe our Insider Trading Policy is reasonably designed to promote compliance with insider trading laws, rules and regulations as well as the exchange listing standards applicable to us. Our Insider Trading Policy prohibits our team members, directors, officers and consultants from trading in our securities while in possession</w:t>
      </w: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9" w:name="page30"/>
    <w:bookmarkEnd w:id="29"/>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580" w:right="739"/>
        <w:spacing w:after="0" w:line="265" w:lineRule="auto"/>
        <w:rPr>
          <w:sz w:val="20"/>
          <w:szCs w:val="20"/>
          <w:color w:val="auto"/>
        </w:rPr>
      </w:pPr>
      <w:r>
        <w:rPr>
          <w:rFonts w:ascii="Times New Roman" w:cs="Times New Roman" w:eastAsia="Times New Roman" w:hAnsi="Times New Roman"/>
          <w:sz w:val="17"/>
          <w:szCs w:val="17"/>
          <w:color w:val="auto"/>
        </w:rPr>
        <w:t>of material non-public information, among other things. Our Insider Trading Policy also provides that we will not transact in any of our securities unless in compliance with applicable U.S. securities laws, rules and regulations and the exchange listing standards applicable to us. The foregoing summary of our Insider Trading Policy does not purport to be complete and is qualified by reference to our Insider Trading Policy, a copy of which can be found as an exhibit to our Annual Report on Form 10-K for the year ended December 31, 2025, filed with the SEC on February 25, 2026.</w:t>
      </w:r>
    </w:p>
    <w:p>
      <w:pPr>
        <w:spacing w:after="0" w:line="17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Anti-Hedging and Anti-Pledging Policy</w:t>
      </w:r>
    </w:p>
    <w:p>
      <w:pPr>
        <w:spacing w:after="0" w:line="160" w:lineRule="exact"/>
        <w:rPr>
          <w:sz w:val="20"/>
          <w:szCs w:val="20"/>
          <w:color w:val="auto"/>
        </w:rPr>
      </w:pPr>
    </w:p>
    <w:p>
      <w:pPr>
        <w:ind w:left="580" w:right="719" w:firstLine="349"/>
        <w:spacing w:after="0" w:line="267" w:lineRule="auto"/>
        <w:rPr>
          <w:sz w:val="20"/>
          <w:szCs w:val="20"/>
          <w:color w:val="auto"/>
        </w:rPr>
      </w:pPr>
      <w:r>
        <w:rPr>
          <w:rFonts w:ascii="Times New Roman" w:cs="Times New Roman" w:eastAsia="Times New Roman" w:hAnsi="Times New Roman"/>
          <w:sz w:val="17"/>
          <w:szCs w:val="17"/>
          <w:color w:val="auto"/>
        </w:rPr>
        <w:t>Our insider trading policy prohibits our directors, officers, employees and agents (such as consultants and independent contractors) from engaging in any form of hedging or similar transactions with respect to our securities, including those involving options, puts, calls or other derivative securities. Our directors, officers, employees and agents are also prohibited from pledging our securities as collateral for loans and from holding our securities in margin accounts.</w:t>
      </w:r>
    </w:p>
    <w:p>
      <w:pPr>
        <w:spacing w:after="0" w:line="16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Clawback Policy</w:t>
      </w:r>
    </w:p>
    <w:p>
      <w:pPr>
        <w:spacing w:after="0" w:line="160" w:lineRule="exact"/>
        <w:rPr>
          <w:sz w:val="20"/>
          <w:szCs w:val="20"/>
          <w:color w:val="auto"/>
        </w:rPr>
      </w:pPr>
    </w:p>
    <w:p>
      <w:pPr>
        <w:ind w:left="580" w:right="599" w:firstLine="349"/>
        <w:spacing w:after="0" w:line="260" w:lineRule="auto"/>
        <w:rPr>
          <w:sz w:val="20"/>
          <w:szCs w:val="20"/>
          <w:color w:val="auto"/>
        </w:rPr>
      </w:pPr>
      <w:r>
        <w:rPr>
          <w:rFonts w:ascii="Times New Roman" w:cs="Times New Roman" w:eastAsia="Times New Roman" w:hAnsi="Times New Roman"/>
          <w:sz w:val="17"/>
          <w:szCs w:val="17"/>
          <w:color w:val="auto"/>
        </w:rPr>
        <w:t>In October 2023, the Board of Directors adopted a compensation recovery policy (the “Clawback Policy”) in order to comply with new rules and regulations promulgated by the SEC, including Rule 10D-1 of the Exchange Act. The Clawback Policy requires us to recover or “clawback” certain incentive-based compensation from covered executives in the event we are required to restate our financial statements due to material noncompliance with any financial reporting requirements under the federal securities laws. Specifically, under the Clawback Policy, if the restatement would result in any incentive-based compensation received (as defined in the applicable rules) to have been lower had it been calculated based on such restated results, we must recover the amounts in excess of what would have been paid under the restatement from any participant who received such incentive-based compensation. The recovery period extends up to three years prior to the date that it is, or reasonably should have been, concluded that we are required to prepare a restatement. The Human Resources Committee (or in the absence of a committee of independent directors responsible for executive compensation decisions, a majority of the independent directors serving on the Board of Directors) has the sole authority to enforce the Clawback Policy.</w:t>
      </w:r>
    </w:p>
    <w:p>
      <w:pPr>
        <w:spacing w:after="0" w:line="314" w:lineRule="exact"/>
        <w:rPr>
          <w:sz w:val="20"/>
          <w:szCs w:val="20"/>
          <w:color w:val="auto"/>
        </w:rPr>
      </w:pPr>
    </w:p>
    <w:p>
      <w:pPr>
        <w:ind w:left="580" w:right="599" w:firstLine="349"/>
        <w:spacing w:after="0" w:line="276" w:lineRule="auto"/>
        <w:rPr>
          <w:sz w:val="20"/>
          <w:szCs w:val="20"/>
          <w:color w:val="auto"/>
        </w:rPr>
      </w:pPr>
      <w:r>
        <w:rPr>
          <w:rFonts w:ascii="Times New Roman" w:cs="Times New Roman" w:eastAsia="Times New Roman" w:hAnsi="Times New Roman"/>
          <w:sz w:val="17"/>
          <w:szCs w:val="17"/>
          <w:color w:val="auto"/>
        </w:rPr>
        <w:t>Separately, the Human Resources Committee has extended the Clawback Policy to amounts received under Fortinet’s Senior Management Bonus Program (the “Bonus Program”) by participants who are not otherwise covered by the terms of the Clawback Policy described above.</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Board Leadership Structure</w:t>
      </w:r>
    </w:p>
    <w:p>
      <w:pPr>
        <w:spacing w:after="0" w:line="160" w:lineRule="exact"/>
        <w:rPr>
          <w:sz w:val="20"/>
          <w:szCs w:val="20"/>
          <w:color w:val="auto"/>
        </w:rPr>
      </w:pPr>
    </w:p>
    <w:p>
      <w:pPr>
        <w:ind w:left="580" w:right="579" w:firstLine="349"/>
        <w:spacing w:after="0" w:line="261" w:lineRule="auto"/>
        <w:rPr>
          <w:sz w:val="20"/>
          <w:szCs w:val="20"/>
          <w:color w:val="auto"/>
        </w:rPr>
      </w:pPr>
      <w:r>
        <w:rPr>
          <w:rFonts w:ascii="Times New Roman" w:cs="Times New Roman" w:eastAsia="Times New Roman" w:hAnsi="Times New Roman"/>
          <w:sz w:val="17"/>
          <w:szCs w:val="17"/>
          <w:color w:val="auto"/>
        </w:rPr>
        <w:t xml:space="preserve">Our Corporate Governance Guidelines provide the Board of Directors with flexibility to select the appropriate leadership structure depending on what the Board of Directors determines is in Fortinet’s best interests at a given time. As a result, the Board of Directors does not have a policy on whether or not the roles of the Chairman of the Board of Directors and Chief Executive Officer should be separate and, as described below, such roles are not currently separate. In making leadership structure determinations, the Board of Directors considers many factors, including the specific needs of the business and what is in the best interests of our stockholders. A copy of our Corporate Governance Guidelines is available on our website at </w:t>
      </w:r>
      <w:r>
        <w:rPr>
          <w:rFonts w:ascii="Times New Roman" w:cs="Times New Roman" w:eastAsia="Times New Roman" w:hAnsi="Times New Roman"/>
          <w:sz w:val="17"/>
          <w:szCs w:val="17"/>
          <w:i w:val="1"/>
          <w:iCs w:val="1"/>
          <w:color w:val="auto"/>
        </w:rPr>
        <w:t>investor.fortinet.com/corporate-governance-0</w:t>
      </w:r>
      <w:r>
        <w:rPr>
          <w:rFonts w:ascii="Times New Roman" w:cs="Times New Roman" w:eastAsia="Times New Roman" w:hAnsi="Times New Roman"/>
          <w:sz w:val="17"/>
          <w:szCs w:val="17"/>
          <w:color w:val="auto"/>
        </w:rPr>
        <w:t>. Any changes to the leadership structure of the Board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Directors, if made, will be promptly disclosed on the Investor Relations portion of our website and in our proxy materials. The Board of Directors, in its sole discretion, may seek input from our stockholders on the leadership structure of the Board of Directors.</w:t>
      </w:r>
    </w:p>
    <w:p>
      <w:pPr>
        <w:spacing w:after="0" w:line="324" w:lineRule="exact"/>
        <w:rPr>
          <w:sz w:val="20"/>
          <w:szCs w:val="20"/>
          <w:color w:val="auto"/>
        </w:rPr>
      </w:pPr>
    </w:p>
    <w:p>
      <w:pPr>
        <w:ind w:left="580" w:right="619" w:firstLine="349"/>
        <w:spacing w:after="0" w:line="266" w:lineRule="auto"/>
        <w:rPr>
          <w:sz w:val="20"/>
          <w:szCs w:val="20"/>
          <w:color w:val="auto"/>
        </w:rPr>
      </w:pPr>
      <w:r>
        <w:rPr>
          <w:rFonts w:ascii="Times New Roman" w:cs="Times New Roman" w:eastAsia="Times New Roman" w:hAnsi="Times New Roman"/>
          <w:sz w:val="17"/>
          <w:szCs w:val="17"/>
          <w:color w:val="auto"/>
        </w:rPr>
        <w:t>Mr. Ken Xie currently serves as our Chairman and Chief Executive Officer. Given that Mr. Ken Xie is our co-founder, the Board of Directors does not consider Mr. Ken Xie to be “independent” and, therefore, the Board of Directors, including the independent directors, believe it is in the best interest to designate a Lead Independent Director. The Board of Directors, including the independent directors, has designated Ms. Sim as our current Lead Independent Director. In addition to the duties of all members of the Board of Directors, Ms. Sim’s</w:t>
      </w: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0" w:name="page31"/>
    <w:bookmarkEnd w:id="30"/>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580" w:right="599"/>
        <w:spacing w:after="0" w:line="260" w:lineRule="auto"/>
        <w:rPr>
          <w:sz w:val="20"/>
          <w:szCs w:val="20"/>
          <w:color w:val="auto"/>
        </w:rPr>
      </w:pPr>
      <w:r>
        <w:rPr>
          <w:rFonts w:ascii="Times New Roman" w:cs="Times New Roman" w:eastAsia="Times New Roman" w:hAnsi="Times New Roman"/>
          <w:sz w:val="17"/>
          <w:szCs w:val="17"/>
          <w:color w:val="auto"/>
        </w:rPr>
        <w:t>principal responsibilities as our Lead Independent Director are to: preside over executive sessions of the Board of Directors; review and comment on the agenda for meetings of the Board of Directors in consultation with the Chairman and Chief Executive Officer and other members of the Board of Directors; act as principal liaison between the independent directors and the Chairman and Chief Executive Officer on sensitive issues; raise issues with management on behalf of the independent directors when appropriate; and assess the quality, quantity and timeliness of the flow of information from management that is necessary for the independent directors to effectively and responsibly perform their duties. Ms. Sim is, and other members of the Board of Directors are, also authorized to represent the Board of Directors in communications with stockholders and other stakeholders and members of the Board of Directors have periodically engaged in communications with stockholders and other stakeholders. Ms. Sim, along with other members of the Board of Directors, in discharging their risk oversight responsibility (as further described below) actively review and provide feedback on risk management to the management team and the design of the Board of Directors.</w:t>
      </w:r>
    </w:p>
    <w:p>
      <w:pPr>
        <w:spacing w:after="0" w:line="118" w:lineRule="exact"/>
        <w:rPr>
          <w:sz w:val="20"/>
          <w:szCs w:val="20"/>
          <w:color w:val="auto"/>
        </w:rPr>
      </w:pPr>
    </w:p>
    <w:p>
      <w:pPr>
        <w:ind w:left="580" w:right="599" w:firstLine="349"/>
        <w:spacing w:after="0" w:line="260" w:lineRule="auto"/>
        <w:rPr>
          <w:sz w:val="20"/>
          <w:szCs w:val="20"/>
          <w:color w:val="auto"/>
        </w:rPr>
      </w:pPr>
      <w:r>
        <w:rPr>
          <w:rFonts w:ascii="Times New Roman" w:cs="Times New Roman" w:eastAsia="Times New Roman" w:hAnsi="Times New Roman"/>
          <w:sz w:val="17"/>
          <w:szCs w:val="17"/>
          <w:color w:val="auto"/>
        </w:rPr>
        <w:t>The Board of Directors believes that the current leadership structure provides an appropriate balance between strong leadership from our Chairman and Chief Executive Officer and oversight by independent directors. In particular, this structure capitalizes on the expertise and experience of Mr. Ken Xie and Ms. Sim, as it permits Mr. Ken Xie to serve as a bridge between the Board of Directors and management, helping both to act with a common purpose and providing critical leadership for carrying out our strategy and confronting challenges, while Ms. Sim ensures independence of the Board of Directors from management and, as Lead Independent Director, can call and chair meetings of the independent directors separate and apart from the Chairman. The Board of Directors also believes that there may be other advantages to having a Lead Independent Director for matters such as communications and relations between the Board of Directors, the Chief Executive Officer and the other members of our senior management, and in assisting the Board of Directors in reaching consensus on particular strategies and policies. Messrs. Ken Xie and Michael Xie, as the only two management directors, do not participate in sessions of non-management directors, and non-management directors meet regularly in executive sessions without management.</w:t>
      </w:r>
    </w:p>
    <w:p>
      <w:pPr>
        <w:spacing w:after="0" w:line="17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Board of Directors’ Role in Risk Oversight</w:t>
      </w:r>
    </w:p>
    <w:p>
      <w:pPr>
        <w:spacing w:after="0" w:line="160" w:lineRule="exact"/>
        <w:rPr>
          <w:sz w:val="20"/>
          <w:szCs w:val="20"/>
          <w:color w:val="auto"/>
        </w:rPr>
      </w:pPr>
    </w:p>
    <w:p>
      <w:pPr>
        <w:ind w:left="580" w:right="599" w:firstLine="349"/>
        <w:spacing w:after="0" w:line="262" w:lineRule="auto"/>
        <w:rPr>
          <w:sz w:val="20"/>
          <w:szCs w:val="20"/>
          <w:color w:val="auto"/>
        </w:rPr>
      </w:pPr>
      <w:r>
        <w:rPr>
          <w:rFonts w:ascii="Times New Roman" w:cs="Times New Roman" w:eastAsia="Times New Roman" w:hAnsi="Times New Roman"/>
          <w:sz w:val="17"/>
          <w:szCs w:val="17"/>
          <w:color w:val="auto"/>
        </w:rPr>
        <w:t>The Board of Directors oversees an enterprise-wide approach to risk management, designed to support the achievement of organizational objectives, including strategic objectives, to improve long-term organizational performance and to enhance stockholder value. A fundamental part of risk management is not only understanding the most significant risks that Fortinet faces and what steps management is taking to manage and mitigate those risks but also understanding the appropriate risk tolerance level for Fortinet. The involvement of the full Board of Directors in reviewing Fortinet’s business is an integral aspect of its assessment of management’s tolerance for risk and also its determination acceptable risk parameters for Fortinet. The Board of Directors and its committees engage, as appropriate, external advisors and industry experts to assist in anticipating emerging threats, trends and assessing our risk environment.</w:t>
      </w:r>
    </w:p>
    <w:p>
      <w:pPr>
        <w:spacing w:after="0" w:line="97" w:lineRule="exact"/>
        <w:rPr>
          <w:sz w:val="20"/>
          <w:szCs w:val="20"/>
          <w:color w:val="auto"/>
        </w:rPr>
      </w:pPr>
    </w:p>
    <w:p>
      <w:pPr>
        <w:ind w:left="580" w:right="639" w:firstLine="349"/>
        <w:spacing w:after="0" w:line="261" w:lineRule="auto"/>
        <w:rPr>
          <w:sz w:val="20"/>
          <w:szCs w:val="20"/>
          <w:color w:val="auto"/>
        </w:rPr>
      </w:pPr>
      <w:r>
        <w:rPr>
          <w:rFonts w:ascii="Times New Roman" w:cs="Times New Roman" w:eastAsia="Times New Roman" w:hAnsi="Times New Roman"/>
          <w:sz w:val="17"/>
          <w:szCs w:val="17"/>
          <w:color w:val="auto"/>
        </w:rPr>
        <w:t>On an annual basis, under oversight of the Audit Committee, management, with the assistance of external advisors, conducts an enterprise risk assessment to assess key enterprise risks. Following such assessment, key risk areas are shared with the Audit Committee and management assigns ownership of each risk to be responsible for analyzing and monitoring the underlying contributing factors, evaluating management’s existing risk mitigation capabilities, identifying risk mitigation enhancement considerations and potential future state activities and assessing resource allocation needed to implement mitigation enhancements. Risk mitigation efforts are periodically monitored and reported by management to the Audit Committee or the Board of Directors throughout the year. Moreover, we conduct quarterly meetings of our cross-functional Ethics Committee and periodically update our Human Resources Committee regarding the activities of the Ethics Committee.</w:t>
      </w:r>
    </w:p>
    <w:p>
      <w:pPr>
        <w:spacing w:after="0" w:line="327" w:lineRule="exact"/>
        <w:rPr>
          <w:sz w:val="20"/>
          <w:szCs w:val="20"/>
          <w:color w:val="auto"/>
        </w:rPr>
      </w:pPr>
    </w:p>
    <w:p>
      <w:pPr>
        <w:ind w:left="580" w:right="679" w:firstLine="349"/>
        <w:spacing w:after="0" w:line="263" w:lineRule="auto"/>
        <w:rPr>
          <w:sz w:val="20"/>
          <w:szCs w:val="20"/>
          <w:color w:val="auto"/>
        </w:rPr>
      </w:pPr>
      <w:r>
        <w:rPr>
          <w:rFonts w:ascii="Times New Roman" w:cs="Times New Roman" w:eastAsia="Times New Roman" w:hAnsi="Times New Roman"/>
          <w:sz w:val="17"/>
          <w:szCs w:val="17"/>
          <w:color w:val="auto"/>
        </w:rPr>
        <w:t>Though the Board of Directors has the ultimate oversight responsibility for the risk management process, various committees of the Board of Directors are responsible for specific risk areas. Our Audit Committee reviews financial and other risk exposures, including internal controls over financial reporting, disclosure controls and procedures, and legal and regulatory compliance obligations. Our Human Resources Committee evaluates our major compensation-related risk exposures and the steps management has taken to monitor or mitigate such exposures. In setting compensation, the Human Resources Committee strives to create incentives that encourage a reasonable level of risk-taking consistent with Fortinet’s business strategy and to encourage a</w:t>
      </w:r>
    </w:p>
    <w:p>
      <w:pPr>
        <w:spacing w:after="0" w:line="1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1" w:name="page32"/>
    <w:bookmarkEnd w:id="31"/>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580" w:right="759"/>
        <w:spacing w:after="0" w:line="265" w:lineRule="auto"/>
        <w:rPr>
          <w:sz w:val="20"/>
          <w:szCs w:val="20"/>
          <w:color w:val="auto"/>
        </w:rPr>
      </w:pPr>
      <w:r>
        <w:rPr>
          <w:rFonts w:ascii="Times New Roman" w:cs="Times New Roman" w:eastAsia="Times New Roman" w:hAnsi="Times New Roman"/>
          <w:sz w:val="17"/>
          <w:szCs w:val="17"/>
          <w:color w:val="auto"/>
        </w:rPr>
        <w:t>focus on building long-term value at Fortinet. Our Human Resources Committee also oversees other areas of risk related to human resources, such as culture and ethics matters. Our Governance and Social Responsibility Committee has oversight on risks related to corporate governance and corporate social responsibility matters, and oversees the evaluation of the performance of the Board of Directors. Our Cybersecurity Committee oversees risks related to data privacy and cybersecurity. The Board of Directors also directly oversees certain strategic risks to Fortinet and other risk areas not delegated to one of its committees.</w:t>
      </w:r>
    </w:p>
    <w:p>
      <w:pPr>
        <w:spacing w:after="0" w:line="106" w:lineRule="exact"/>
        <w:rPr>
          <w:sz w:val="20"/>
          <w:szCs w:val="20"/>
          <w:color w:val="auto"/>
        </w:rPr>
      </w:pPr>
    </w:p>
    <w:p>
      <w:pPr>
        <w:ind w:left="580" w:right="639" w:firstLine="349"/>
        <w:spacing w:after="0" w:line="260" w:lineRule="auto"/>
        <w:rPr>
          <w:sz w:val="20"/>
          <w:szCs w:val="20"/>
          <w:color w:val="auto"/>
        </w:rPr>
      </w:pPr>
      <w:r>
        <w:rPr>
          <w:rFonts w:ascii="Times New Roman" w:cs="Times New Roman" w:eastAsia="Times New Roman" w:hAnsi="Times New Roman"/>
          <w:sz w:val="17"/>
          <w:szCs w:val="17"/>
          <w:color w:val="auto"/>
        </w:rPr>
        <w:t>The risk oversight responsibility of the Board of Directors and its committees is supported by our management reporting processes. At periodic meetings of the Board of Directors and its committees and in other meetings and discussions, management reports to and seeks guidance from the Board of Directors and its committees with respect to the most significant risks that could affect our business, such as cybersecurity risks, legal risks and financial, tax and audit-related risks. In addition, management provides the Audit Committee periodic reports on Fortinet’s compliance programs and efforts, investment policy and practices. Our management reporting processes, including the enterprise risk assessment, are designed to provide the Board of Directors with visibility into the risk identification, assessment, and management of critical risks and risk mitigation strategies. These areas of focus include competitive, economic, operational, financial (e.g., accounting, credit, investment, liquidity, compensation-related risk, and tax), human capital, legal, regulatory, cybersecurity and data privacy and reputational risks. The Board of Directors reviews strategic and operational risk in the context of discussions, question-and-answer sessions, and reports from the management team at each regular meeting of the Board of Directors, and evaluates the risks inherent in significant transactions. Each director is invited to attend committee meetings, and the committees periodically provide the full Board of Directors reports on significant committee activities.</w:t>
      </w:r>
    </w:p>
    <w:p>
      <w:pPr>
        <w:spacing w:after="0" w:line="17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Cybersecurity Risk Oversight</w:t>
      </w:r>
    </w:p>
    <w:p>
      <w:pPr>
        <w:spacing w:after="0" w:line="160" w:lineRule="exact"/>
        <w:rPr>
          <w:sz w:val="20"/>
          <w:szCs w:val="20"/>
          <w:color w:val="auto"/>
        </w:rPr>
      </w:pPr>
    </w:p>
    <w:p>
      <w:pPr>
        <w:ind w:left="580" w:right="899" w:firstLine="349"/>
        <w:spacing w:after="0" w:line="296" w:lineRule="auto"/>
        <w:rPr>
          <w:sz w:val="20"/>
          <w:szCs w:val="20"/>
          <w:color w:val="auto"/>
        </w:rPr>
      </w:pPr>
      <w:r>
        <w:rPr>
          <w:rFonts w:ascii="Times New Roman" w:cs="Times New Roman" w:eastAsia="Times New Roman" w:hAnsi="Times New Roman"/>
          <w:sz w:val="17"/>
          <w:szCs w:val="17"/>
          <w:color w:val="auto"/>
        </w:rPr>
        <w:t>As one of the critical elements of our overall Enterprise Risk Management approach, our cybersecurity program is focused on the following key areas:</w:t>
      </w:r>
    </w:p>
    <w:p>
      <w:pPr>
        <w:spacing w:after="0" w:line="66" w:lineRule="exact"/>
        <w:rPr>
          <w:sz w:val="20"/>
          <w:szCs w:val="20"/>
          <w:color w:val="auto"/>
        </w:rPr>
      </w:pPr>
    </w:p>
    <w:p>
      <w:pPr>
        <w:ind w:left="580" w:right="619" w:firstLine="349"/>
        <w:spacing w:after="0" w:line="259" w:lineRule="auto"/>
        <w:rPr>
          <w:sz w:val="20"/>
          <w:szCs w:val="20"/>
          <w:color w:val="auto"/>
        </w:rPr>
      </w:pPr>
      <w:r>
        <w:rPr>
          <w:rFonts w:ascii="Times New Roman" w:cs="Times New Roman" w:eastAsia="Times New Roman" w:hAnsi="Times New Roman"/>
          <w:sz w:val="17"/>
          <w:szCs w:val="17"/>
          <w:b w:val="1"/>
          <w:bCs w:val="1"/>
          <w:color w:val="auto"/>
        </w:rPr>
        <w:t xml:space="preserve">Governance: </w:t>
      </w:r>
      <w:r>
        <w:rPr>
          <w:rFonts w:ascii="Times New Roman" w:cs="Times New Roman" w:eastAsia="Times New Roman" w:hAnsi="Times New Roman"/>
          <w:sz w:val="17"/>
          <w:szCs w:val="17"/>
          <w:color w:val="auto"/>
        </w:rPr>
        <w:t>Historically, the Audit Committee was responsible for reviewing with management our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cybersecurity and other information technology risks, controls and processes, including the processes used to prevent or mitigate cybersecurity risks and respond to cybersecurity events. However, due to the importance of cybersecurity to our company, in July 2024, the Board of Directors formed the Cybersecurity Committee, which is solely dedicated to cybersecurity risk management. Our executives with responsibility over cybersecurity, including our Chief Information Security Officer (“CISO”) and our Deputy CISO, provide quarterly reports to the Cybersecurity Committee as well as to the Chief Executive Officer and other members of our senior management as appropriate. Each member of the Board of Directors is invited to attend all meetings of the committees of the Board of Directors, including the Cybersecurity Committee, and thus all of the members of the Board of Directors are apprised of cybersecurity developments. The quarterly reports to the Cybersecurity Committee include updates on cybersecurity risks and threats and on product security, the status of projects to strengthen our information security systems and the product development process, assessments of the information security program and the emerging threat landscape. Our cybersecurity program is regularly evaluated by internal and external experts with the results of those reviews reported to senior management and the Cybersecurity Committee. We also actively engage with key vendors and intelligence and law enforcement communities as part of our continuing efforts to evaluate and enhance the effectiveness of our information security policies and procedures, and of our product development process. The Cybersecurity Committee also receives prompt and timely information regarding any cybersecurity threat or incident that meets established reporting thresholds, as well as ongoing updates regarding any such threat or incident until it has been mitigated, resolved or otherwise addressed. In addition, the Cybersecurity Committee receives prompt and timely information about product vulnerabilities and their effect on Fortinet customers, and the efforts to remediate such vulnerabilities.</w:t>
      </w:r>
    </w:p>
    <w:p>
      <w:pPr>
        <w:spacing w:after="0" w:line="327" w:lineRule="exact"/>
        <w:rPr>
          <w:sz w:val="20"/>
          <w:szCs w:val="20"/>
          <w:color w:val="auto"/>
        </w:rPr>
      </w:pPr>
    </w:p>
    <w:p>
      <w:pPr>
        <w:ind w:left="580" w:right="579" w:firstLine="349"/>
        <w:spacing w:after="0" w:line="264" w:lineRule="auto"/>
        <w:rPr>
          <w:sz w:val="20"/>
          <w:szCs w:val="20"/>
          <w:color w:val="auto"/>
        </w:rPr>
      </w:pPr>
      <w:r>
        <w:rPr>
          <w:rFonts w:ascii="Times New Roman" w:cs="Times New Roman" w:eastAsia="Times New Roman" w:hAnsi="Times New Roman"/>
          <w:sz w:val="17"/>
          <w:szCs w:val="17"/>
          <w:color w:val="auto"/>
        </w:rPr>
        <w:t>The Cybersecurity Committee, which regularly interacts with executives with responsibility for cybersecurity, our Chief Executive Officer, Chief Technology Officer and President, Chief Financial Officer, Chief Operating Officer/General Counsel, our CISO and Deputy CISO, and other members of management. Our CISO is primarily responsible for our cybersecurity risk management program and partners with our legal team on data privacy matters at the management level. Our CISO has over 26 years of experience in various technology and cybersecurity leadership positions, including over 20 years at our company driving product security and</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2" w:name="page33"/>
    <w:bookmarkEnd w:id="32"/>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580" w:right="699"/>
        <w:spacing w:after="0" w:line="267" w:lineRule="auto"/>
        <w:rPr>
          <w:sz w:val="20"/>
          <w:szCs w:val="20"/>
          <w:color w:val="auto"/>
        </w:rPr>
      </w:pPr>
      <w:r>
        <w:rPr>
          <w:rFonts w:ascii="Times New Roman" w:cs="Times New Roman" w:eastAsia="Times New Roman" w:hAnsi="Times New Roman"/>
          <w:sz w:val="17"/>
          <w:szCs w:val="17"/>
          <w:color w:val="auto"/>
        </w:rPr>
        <w:t>strategy and reports to the Cybersecurity Committee. The CISO’s leadership team members are all seasoned information security professionals, covering a wide range of security disciplines, who have worked at some of the largest well-known brand names and are experts in their fields. Our CISO monitors, and participates in, our various cybersecurity policies and procedures, and our cybersecurity team regularly updates our CISO on the current status.</w:t>
      </w:r>
    </w:p>
    <w:p>
      <w:pPr>
        <w:spacing w:after="0" w:line="105" w:lineRule="exact"/>
        <w:rPr>
          <w:sz w:val="20"/>
          <w:szCs w:val="20"/>
          <w:color w:val="auto"/>
        </w:rPr>
      </w:pPr>
    </w:p>
    <w:p>
      <w:pPr>
        <w:ind w:left="580" w:right="599" w:firstLine="349"/>
        <w:spacing w:after="0" w:line="265" w:lineRule="auto"/>
        <w:rPr>
          <w:sz w:val="20"/>
          <w:szCs w:val="20"/>
          <w:color w:val="auto"/>
        </w:rPr>
      </w:pPr>
      <w:r>
        <w:rPr>
          <w:rFonts w:ascii="Times New Roman" w:cs="Times New Roman" w:eastAsia="Times New Roman" w:hAnsi="Times New Roman"/>
          <w:sz w:val="17"/>
          <w:szCs w:val="17"/>
          <w:color w:val="auto"/>
        </w:rPr>
        <w:t>Management is promptly updated regarding any significant security events and the Cybersecurity Committee regularly reviews updates from our CISO, information security and product security leaders about cyber threat response preparedness, security controls and procedures, security program maturity milestones, risk and approaches to risk mitigation and the current and emerging threat landscape. In addition, all members of the Board of Directors receive management’s cybersecurity updates to the Cybersecurity Committee as part of their regular attendance at meetings of the Board of Directors.</w:t>
      </w:r>
    </w:p>
    <w:p>
      <w:pPr>
        <w:spacing w:after="0" w:line="104" w:lineRule="exact"/>
        <w:rPr>
          <w:sz w:val="20"/>
          <w:szCs w:val="20"/>
          <w:color w:val="auto"/>
        </w:rPr>
      </w:pPr>
    </w:p>
    <w:p>
      <w:pPr>
        <w:ind w:left="580" w:right="659" w:firstLine="349"/>
        <w:spacing w:after="0" w:line="264" w:lineRule="auto"/>
        <w:rPr>
          <w:sz w:val="20"/>
          <w:szCs w:val="20"/>
          <w:color w:val="auto"/>
        </w:rPr>
      </w:pPr>
      <w:r>
        <w:rPr>
          <w:rFonts w:ascii="Times New Roman" w:cs="Times New Roman" w:eastAsia="Times New Roman" w:hAnsi="Times New Roman"/>
          <w:sz w:val="17"/>
          <w:szCs w:val="17"/>
          <w:b w:val="1"/>
          <w:bCs w:val="1"/>
          <w:color w:val="auto"/>
        </w:rPr>
        <w:t xml:space="preserve">Collaborative Approach: </w:t>
      </w:r>
      <w:r>
        <w:rPr>
          <w:rFonts w:ascii="Times New Roman" w:cs="Times New Roman" w:eastAsia="Times New Roman" w:hAnsi="Times New Roman"/>
          <w:sz w:val="17"/>
          <w:szCs w:val="17"/>
          <w:color w:val="auto"/>
        </w:rPr>
        <w:t>We have implemented a broad, cross-functional approach to identifying,</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preventing and mitigating cybersecurity threats and incidents, while also implementing controls and procedures that provide for the prompt escalation of certain cybersecurity incidents so that decisions regarding the public disclosure and reporting of such incidents can be made by management in a timely manner. In addition, we manage a cross-functional program across our engineering, manufacturing and technical services teams, together with our suppliers and channel partners, designed to ensure the proper security of our products from design through manufacture and shipment.</w:t>
      </w:r>
    </w:p>
    <w:p>
      <w:pPr>
        <w:spacing w:after="0" w:line="93" w:lineRule="exact"/>
        <w:rPr>
          <w:sz w:val="20"/>
          <w:szCs w:val="20"/>
          <w:color w:val="auto"/>
        </w:rPr>
      </w:pPr>
    </w:p>
    <w:p>
      <w:pPr>
        <w:ind w:left="580" w:right="659" w:firstLine="349"/>
        <w:spacing w:after="0" w:line="264" w:lineRule="auto"/>
        <w:rPr>
          <w:sz w:val="20"/>
          <w:szCs w:val="20"/>
          <w:color w:val="auto"/>
        </w:rPr>
      </w:pPr>
      <w:r>
        <w:rPr>
          <w:rFonts w:ascii="Times New Roman" w:cs="Times New Roman" w:eastAsia="Times New Roman" w:hAnsi="Times New Roman"/>
          <w:sz w:val="17"/>
          <w:szCs w:val="17"/>
          <w:b w:val="1"/>
          <w:bCs w:val="1"/>
          <w:color w:val="auto"/>
        </w:rPr>
        <w:t xml:space="preserve">Information Security: </w:t>
      </w:r>
      <w:r>
        <w:rPr>
          <w:rFonts w:ascii="Times New Roman" w:cs="Times New Roman" w:eastAsia="Times New Roman" w:hAnsi="Times New Roman"/>
          <w:sz w:val="17"/>
          <w:szCs w:val="17"/>
          <w:color w:val="auto"/>
        </w:rPr>
        <w:t>We implement organizational, administrative and technical measures based 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commercially reasonable procedures using: (i) industry standard information security measures prescribed for use by NIST; (ii) security measures aligned with the ISO/IEC 27000 series of standards; (iii) Sarbanes-Oxley and SSAE 18/ISAE 3402; (iv) privacy regulations such as the GDPR and the CCPA; (v) business continuity management measures aligned with the ISO/IEC 22301 standard; and (vi) other generally recognized industry standards, in each case, designed to safeguard the confidentiality, integrity, and availability of our infrastructure and data and the resiliency of our operations.</w:t>
      </w:r>
    </w:p>
    <w:p>
      <w:pPr>
        <w:spacing w:after="0" w:line="106" w:lineRule="exact"/>
        <w:rPr>
          <w:sz w:val="20"/>
          <w:szCs w:val="20"/>
          <w:color w:val="auto"/>
        </w:rPr>
      </w:pPr>
    </w:p>
    <w:p>
      <w:pPr>
        <w:ind w:left="580" w:right="619" w:firstLine="349"/>
        <w:spacing w:after="0" w:line="271" w:lineRule="auto"/>
        <w:rPr>
          <w:sz w:val="20"/>
          <w:szCs w:val="20"/>
          <w:color w:val="auto"/>
        </w:rPr>
      </w:pPr>
      <w:r>
        <w:rPr>
          <w:rFonts w:ascii="Times New Roman" w:cs="Times New Roman" w:eastAsia="Times New Roman" w:hAnsi="Times New Roman"/>
          <w:sz w:val="17"/>
          <w:szCs w:val="17"/>
          <w:b w:val="1"/>
          <w:bCs w:val="1"/>
          <w:color w:val="auto"/>
        </w:rPr>
        <w:t xml:space="preserve">Technical Safeguards: </w:t>
      </w:r>
      <w:r>
        <w:rPr>
          <w:rFonts w:ascii="Times New Roman" w:cs="Times New Roman" w:eastAsia="Times New Roman" w:hAnsi="Times New Roman"/>
          <w:sz w:val="17"/>
          <w:szCs w:val="17"/>
          <w:color w:val="auto"/>
        </w:rPr>
        <w:t>We deploy technical safeguards that are designed to protect our information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systems from cybersecurity threats, including firewalls, intrusion prevention and detection systems, anti-malware functionality and access controls, which are evaluated and improved through vulnerability assessments and cybersecurity threat intelligence.</w:t>
      </w:r>
    </w:p>
    <w:p>
      <w:pPr>
        <w:spacing w:after="0" w:line="99" w:lineRule="exact"/>
        <w:rPr>
          <w:sz w:val="20"/>
          <w:szCs w:val="20"/>
          <w:color w:val="auto"/>
        </w:rPr>
      </w:pPr>
    </w:p>
    <w:p>
      <w:pPr>
        <w:ind w:left="580" w:right="659" w:firstLine="349"/>
        <w:spacing w:after="0" w:line="263" w:lineRule="auto"/>
        <w:rPr>
          <w:sz w:val="20"/>
          <w:szCs w:val="20"/>
          <w:color w:val="auto"/>
        </w:rPr>
      </w:pPr>
      <w:r>
        <w:rPr>
          <w:rFonts w:ascii="Times New Roman" w:cs="Times New Roman" w:eastAsia="Times New Roman" w:hAnsi="Times New Roman"/>
          <w:sz w:val="17"/>
          <w:szCs w:val="17"/>
          <w:b w:val="1"/>
          <w:bCs w:val="1"/>
          <w:color w:val="auto"/>
        </w:rPr>
        <w:t xml:space="preserve">Incident Response and Recovery Planning: </w:t>
      </w:r>
      <w:r>
        <w:rPr>
          <w:rFonts w:ascii="Times New Roman" w:cs="Times New Roman" w:eastAsia="Times New Roman" w:hAnsi="Times New Roman"/>
          <w:sz w:val="17"/>
          <w:szCs w:val="17"/>
          <w:color w:val="auto"/>
        </w:rPr>
        <w:t>We have established and maintained broad incident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response and recovery plans that help enable its effective and orderly management of, and response to, any identified security incidents, including escalation and internal and external-notification steps, allowing the incident response team to respond in a timely manner and enlist appropriate personnel and third-party experts. We maintain a process to promptly assess and assign severity levels to any identified security incidents in order to prioritize their importance and promptly direct resources to those issues of potentially greater impact. The notification plan establishes steps to alert external stakeholders as appropriate, including law enforcement, regulatory bodies, investors, customers and other business partners.</w:t>
      </w:r>
    </w:p>
    <w:p>
      <w:pPr>
        <w:spacing w:after="0" w:line="94" w:lineRule="exact"/>
        <w:rPr>
          <w:sz w:val="20"/>
          <w:szCs w:val="20"/>
          <w:color w:val="auto"/>
        </w:rPr>
      </w:pPr>
    </w:p>
    <w:p>
      <w:pPr>
        <w:ind w:left="580" w:right="579" w:firstLine="349"/>
        <w:spacing w:after="0" w:line="262" w:lineRule="auto"/>
        <w:rPr>
          <w:sz w:val="20"/>
          <w:szCs w:val="20"/>
          <w:color w:val="auto"/>
        </w:rPr>
      </w:pPr>
      <w:r>
        <w:rPr>
          <w:rFonts w:ascii="Times New Roman" w:cs="Times New Roman" w:eastAsia="Times New Roman" w:hAnsi="Times New Roman"/>
          <w:sz w:val="17"/>
          <w:szCs w:val="17"/>
          <w:b w:val="1"/>
          <w:bCs w:val="1"/>
          <w:color w:val="auto"/>
        </w:rPr>
        <w:t xml:space="preserve">Third-Party Risk Management: </w:t>
      </w:r>
      <w:r>
        <w:rPr>
          <w:rFonts w:ascii="Times New Roman" w:cs="Times New Roman" w:eastAsia="Times New Roman" w:hAnsi="Times New Roman"/>
          <w:sz w:val="17"/>
          <w:szCs w:val="17"/>
          <w:color w:val="auto"/>
        </w:rPr>
        <w:t>We maintain a broad, risk-based approach to identifying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overseeing cybersecurity risks presented by third parties, including vendors, service providers and other external users of our systems, as well as the systems of third parties that could adversely impact our business in the event of a cybersecurity incident affecting those third-party systems. In addition, our Trusted Supplier Program is designed to ensure manufacturing partners undergo a selection and qualification process that adheres to</w:t>
      </w:r>
    </w:p>
    <w:p>
      <w:pPr>
        <w:spacing w:after="0" w:line="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NIST 800-161.</w:t>
      </w:r>
    </w:p>
    <w:p>
      <w:pPr>
        <w:spacing w:after="0" w:line="138" w:lineRule="exact"/>
        <w:rPr>
          <w:sz w:val="20"/>
          <w:szCs w:val="20"/>
          <w:color w:val="auto"/>
        </w:rPr>
      </w:pPr>
    </w:p>
    <w:p>
      <w:pPr>
        <w:ind w:left="580" w:right="759" w:firstLine="349"/>
        <w:spacing w:after="0" w:line="278" w:lineRule="auto"/>
        <w:rPr>
          <w:sz w:val="20"/>
          <w:szCs w:val="20"/>
          <w:color w:val="auto"/>
        </w:rPr>
      </w:pPr>
      <w:r>
        <w:rPr>
          <w:rFonts w:ascii="Times New Roman" w:cs="Times New Roman" w:eastAsia="Times New Roman" w:hAnsi="Times New Roman"/>
          <w:sz w:val="17"/>
          <w:szCs w:val="17"/>
          <w:b w:val="1"/>
          <w:bCs w:val="1"/>
          <w:color w:val="auto"/>
        </w:rPr>
        <w:t xml:space="preserve">Education and Awareness: </w:t>
      </w:r>
      <w:r>
        <w:rPr>
          <w:rFonts w:ascii="Times New Roman" w:cs="Times New Roman" w:eastAsia="Times New Roman" w:hAnsi="Times New Roman"/>
          <w:sz w:val="17"/>
          <w:szCs w:val="17"/>
          <w:color w:val="auto"/>
        </w:rPr>
        <w:t>We provide regular, mandatory training for personnel and contractors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regarding cybersecurity threats as a means to equip our personnel with effective tools to address cybersecurity threats and to communicate our evolving information security policies, standards, processes and practices.</w:t>
      </w:r>
    </w:p>
    <w:p>
      <w:pPr>
        <w:spacing w:after="0" w:line="94" w:lineRule="exact"/>
        <w:rPr>
          <w:sz w:val="20"/>
          <w:szCs w:val="20"/>
          <w:color w:val="auto"/>
        </w:rPr>
      </w:pPr>
    </w:p>
    <w:p>
      <w:pPr>
        <w:ind w:left="580" w:right="719" w:firstLine="349"/>
        <w:spacing w:after="0" w:line="271" w:lineRule="auto"/>
        <w:rPr>
          <w:sz w:val="20"/>
          <w:szCs w:val="20"/>
          <w:color w:val="auto"/>
        </w:rPr>
      </w:pPr>
      <w:r>
        <w:rPr>
          <w:rFonts w:ascii="Times New Roman" w:cs="Times New Roman" w:eastAsia="Times New Roman" w:hAnsi="Times New Roman"/>
          <w:sz w:val="17"/>
          <w:szCs w:val="17"/>
          <w:b w:val="1"/>
          <w:bCs w:val="1"/>
          <w:color w:val="auto"/>
        </w:rPr>
        <w:t xml:space="preserve">Risk and Readiness Assessments: </w:t>
      </w:r>
      <w:r>
        <w:rPr>
          <w:rFonts w:ascii="Times New Roman" w:cs="Times New Roman" w:eastAsia="Times New Roman" w:hAnsi="Times New Roman"/>
          <w:sz w:val="17"/>
          <w:szCs w:val="17"/>
          <w:color w:val="auto"/>
        </w:rPr>
        <w:t>We engage in the periodic assessment and testing of our policies,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standards, processes and practices that are designed to identify vulnerabilities and weaknesses, address cybersecurity threats and test our readiness to respond to cyber security incidents. These efforts include a wide range of activities, including threat modeling, a variety of vulnerability and configuration scans, penetration</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3" w:name="page34"/>
    <w:bookmarkEnd w:id="33"/>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580" w:right="599"/>
        <w:spacing w:after="0" w:line="263" w:lineRule="auto"/>
        <w:rPr>
          <w:sz w:val="20"/>
          <w:szCs w:val="20"/>
          <w:color w:val="auto"/>
        </w:rPr>
      </w:pPr>
      <w:r>
        <w:rPr>
          <w:rFonts w:ascii="Times New Roman" w:cs="Times New Roman" w:eastAsia="Times New Roman" w:hAnsi="Times New Roman"/>
          <w:sz w:val="17"/>
          <w:szCs w:val="17"/>
          <w:color w:val="auto"/>
        </w:rPr>
        <w:t>testing, audits, tabletop exercises and other exercises focused on evaluating the effectiveness of our cybersecurity measures and planning. We regularly engage third parties to perform assessments on our cybersecurity measures, including information security maturity assessments, audits and independent reviews of our information security control environment and operating effectiveness and penetration tests. The results of such assessments, audits and reviews are reported to the Cybersecurity Committee and the Board of Directors and to our management, and we adjust its cybersecurity policies, standards, processes and practices as necessary based on the information provided by these assessments, audits and reviews.</w:t>
      </w:r>
    </w:p>
    <w:p>
      <w:pPr>
        <w:spacing w:after="0" w:line="110" w:lineRule="exact"/>
        <w:rPr>
          <w:sz w:val="20"/>
          <w:szCs w:val="20"/>
          <w:color w:val="auto"/>
        </w:rPr>
      </w:pPr>
    </w:p>
    <w:p>
      <w:pPr>
        <w:ind w:left="920"/>
        <w:spacing w:after="0"/>
        <w:tabs>
          <w:tab w:leader="none" w:pos="1880" w:val="left"/>
        </w:tabs>
        <w:rPr>
          <w:sz w:val="20"/>
          <w:szCs w:val="20"/>
          <w:color w:val="auto"/>
        </w:rPr>
      </w:pPr>
      <w:r>
        <w:rPr>
          <w:rFonts w:ascii="Times New Roman" w:cs="Times New Roman" w:eastAsia="Times New Roman" w:hAnsi="Times New Roman"/>
          <w:sz w:val="17"/>
          <w:szCs w:val="17"/>
          <w:b w:val="1"/>
          <w:bCs w:val="1"/>
          <w:color w:val="auto"/>
        </w:rPr>
        <w:t>Insurance:</w:t>
      </w:r>
      <w:r>
        <w:rPr>
          <w:sz w:val="20"/>
          <w:szCs w:val="20"/>
          <w:color w:val="auto"/>
        </w:rPr>
        <w:tab/>
      </w:r>
      <w:r>
        <w:rPr>
          <w:rFonts w:ascii="Times New Roman" w:cs="Times New Roman" w:eastAsia="Times New Roman" w:hAnsi="Times New Roman"/>
          <w:sz w:val="17"/>
          <w:szCs w:val="17"/>
          <w:color w:val="auto"/>
        </w:rPr>
        <w:t>We maintain information security risk insurance coverage.</w:t>
      </w:r>
    </w:p>
    <w:p>
      <w:pPr>
        <w:spacing w:after="0" w:line="22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Management Succession Planning</w:t>
      </w:r>
    </w:p>
    <w:p>
      <w:pPr>
        <w:spacing w:after="0" w:line="160" w:lineRule="exact"/>
        <w:rPr>
          <w:sz w:val="20"/>
          <w:szCs w:val="20"/>
          <w:color w:val="auto"/>
        </w:rPr>
      </w:pPr>
    </w:p>
    <w:p>
      <w:pPr>
        <w:ind w:left="580" w:right="619" w:firstLine="349"/>
        <w:spacing w:after="0" w:line="263" w:lineRule="auto"/>
        <w:rPr>
          <w:sz w:val="20"/>
          <w:szCs w:val="20"/>
          <w:color w:val="auto"/>
        </w:rPr>
      </w:pPr>
      <w:r>
        <w:rPr>
          <w:rFonts w:ascii="Times New Roman" w:cs="Times New Roman" w:eastAsia="Times New Roman" w:hAnsi="Times New Roman"/>
          <w:sz w:val="17"/>
          <w:szCs w:val="17"/>
          <w:color w:val="auto"/>
        </w:rPr>
        <w:t>The Board of Directors recognizes that one of its most important duties is its oversight of succession planning for our Chief Executive Officer. The Board of Directors has delegated primary oversight responsibility for succession planning for our Chief Executive Officer to the Governance and Social Responsibility Committee, the Chairman of the Board of Directors and our Lead Independent Director. Our Chief Executive Officer is responsible for identifying, evaluating and selecting potential successors for our Chief Executive Officer’s direct reports. The Board of Directors regularly evaluates succession planning to ensure that we are well-positioned to continue to execute on our corporate strategy.</w:t>
      </w:r>
    </w:p>
    <w:p>
      <w:pPr>
        <w:spacing w:after="0" w:line="17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Oversight of Corporate Strategy</w:t>
      </w:r>
    </w:p>
    <w:p>
      <w:pPr>
        <w:spacing w:after="0" w:line="147" w:lineRule="exact"/>
        <w:rPr>
          <w:sz w:val="20"/>
          <w:szCs w:val="20"/>
          <w:color w:val="auto"/>
        </w:rPr>
      </w:pPr>
    </w:p>
    <w:p>
      <w:pPr>
        <w:ind w:left="580" w:right="639" w:firstLine="349"/>
        <w:spacing w:after="0" w:line="262" w:lineRule="auto"/>
        <w:rPr>
          <w:sz w:val="20"/>
          <w:szCs w:val="20"/>
          <w:color w:val="auto"/>
        </w:rPr>
      </w:pPr>
      <w:r>
        <w:rPr>
          <w:rFonts w:ascii="Times New Roman" w:cs="Times New Roman" w:eastAsia="Times New Roman" w:hAnsi="Times New Roman"/>
          <w:sz w:val="17"/>
          <w:szCs w:val="17"/>
          <w:color w:val="auto"/>
        </w:rPr>
        <w:t>The Board of Directors actively oversees management’s establishment and execution of corporate strategy, including major business and organizational initiatives, annual budget and long-term strategic plans, capital allocation priorities, potential corporate development opportunities and risk management. At its regularly scheduled meetings and throughout the year, the Board of Directors receives information and formal updates from our management and actively engages with the senior leadership team with respect to our corporate strategy. Our directors’ diverse skill set and experience enhances the Board of Directors’ ability to support management in the evaluation and execution of our corporate strategy. The independent members of the Board of Directors also hold regularly scheduled executive sessions, during which corporate strategy is discussed.</w:t>
      </w:r>
    </w:p>
    <w:p>
      <w:pPr>
        <w:spacing w:after="0" w:line="17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Candidates for Election to the Board of Directors</w:t>
      </w:r>
    </w:p>
    <w:p>
      <w:pPr>
        <w:spacing w:after="0" w:line="160" w:lineRule="exact"/>
        <w:rPr>
          <w:sz w:val="20"/>
          <w:szCs w:val="20"/>
          <w:color w:val="auto"/>
        </w:rPr>
      </w:pPr>
    </w:p>
    <w:p>
      <w:pPr>
        <w:ind w:left="580" w:right="619" w:firstLine="349"/>
        <w:spacing w:after="0" w:line="263" w:lineRule="auto"/>
        <w:rPr>
          <w:sz w:val="20"/>
          <w:szCs w:val="20"/>
          <w:color w:val="auto"/>
        </w:rPr>
      </w:pPr>
      <w:r>
        <w:rPr>
          <w:rFonts w:ascii="Times New Roman" w:cs="Times New Roman" w:eastAsia="Times New Roman" w:hAnsi="Times New Roman"/>
          <w:sz w:val="17"/>
          <w:szCs w:val="17"/>
          <w:color w:val="auto"/>
        </w:rPr>
        <w:t>The Governance and Social Responsibility Committee is responsible for, among other things, determining the criteria for membership to the Board of Directors and recommending candidates for election to the Board of Directors. It is the policy of the Governance and Social Responsibility Committee to consider recommendations for candidates to the Board of Directors from stockholders. Stockholder nominations for candidates for election to the Board of Directors must be made pursuant to the terms of our bylaws as in effect at the time of a nomination. There are no differences in the manner by which the Governance and Social Responsibility Committee evaluates nominees for director based on whether the nominee is recommended by a stockholder or the Board of Directors.</w:t>
      </w:r>
    </w:p>
    <w:p>
      <w:pPr>
        <w:spacing w:after="0" w:line="321" w:lineRule="exact"/>
        <w:rPr>
          <w:sz w:val="20"/>
          <w:szCs w:val="20"/>
          <w:color w:val="auto"/>
        </w:rPr>
      </w:pPr>
    </w:p>
    <w:p>
      <w:pPr>
        <w:ind w:left="580" w:right="639" w:firstLine="349"/>
        <w:spacing w:after="0" w:line="289" w:lineRule="auto"/>
        <w:rPr>
          <w:sz w:val="20"/>
          <w:szCs w:val="20"/>
          <w:color w:val="auto"/>
        </w:rPr>
      </w:pPr>
      <w:r>
        <w:rPr>
          <w:rFonts w:ascii="Times New Roman" w:cs="Times New Roman" w:eastAsia="Times New Roman" w:hAnsi="Times New Roman"/>
          <w:sz w:val="17"/>
          <w:szCs w:val="17"/>
          <w:color w:val="auto"/>
        </w:rPr>
        <w:t>The Governance and Social Responsibility Committee’s criteria and process for evaluating and identifying the candidates that it recommends to the full Board of Directors for selection as director nominees are as follows:</w:t>
      </w:r>
    </w:p>
    <w:p>
      <w:pPr>
        <w:spacing w:after="0" w:line="289" w:lineRule="exact"/>
        <w:rPr>
          <w:sz w:val="20"/>
          <w:szCs w:val="20"/>
          <w:color w:val="auto"/>
        </w:rPr>
      </w:pPr>
    </w:p>
    <w:p>
      <w:pPr>
        <w:ind w:left="1100" w:right="1399" w:hanging="176"/>
        <w:spacing w:after="0" w:line="296" w:lineRule="auto"/>
        <w:tabs>
          <w:tab w:leader="none" w:pos="1117"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Governance and Social Responsibility Committee evaluates the current composition and organization of the Board of Directors.</w:t>
      </w:r>
    </w:p>
    <w:p>
      <w:pPr>
        <w:spacing w:after="0" w:line="81" w:lineRule="exact"/>
        <w:rPr>
          <w:rFonts w:ascii="Times New Roman" w:cs="Times New Roman" w:eastAsia="Times New Roman" w:hAnsi="Times New Roman"/>
          <w:sz w:val="17"/>
          <w:szCs w:val="17"/>
          <w:color w:val="auto"/>
        </w:rPr>
      </w:pPr>
    </w:p>
    <w:p>
      <w:pPr>
        <w:ind w:left="1100" w:right="839" w:hanging="176"/>
        <w:spacing w:after="0" w:line="296" w:lineRule="auto"/>
        <w:tabs>
          <w:tab w:leader="none" w:pos="1117"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Governance and Social Responsibility Committee reviews on at least an annual basis the desired qualifications and characteristics for membership on the Board of Directors.</w:t>
      </w:r>
    </w:p>
    <w:p>
      <w:pPr>
        <w:spacing w:after="0" w:line="81" w:lineRule="exact"/>
        <w:rPr>
          <w:rFonts w:ascii="Times New Roman" w:cs="Times New Roman" w:eastAsia="Times New Roman" w:hAnsi="Times New Roman"/>
          <w:sz w:val="17"/>
          <w:szCs w:val="17"/>
          <w:color w:val="auto"/>
        </w:rPr>
      </w:pPr>
    </w:p>
    <w:p>
      <w:pPr>
        <w:ind w:left="1100" w:right="639" w:hanging="176"/>
        <w:spacing w:after="0" w:line="270" w:lineRule="auto"/>
        <w:tabs>
          <w:tab w:leader="none" w:pos="1074"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Governance and Social Responsibility Committee evaluates the performance of individual members of the Board of Directors eligible for re-election and selects, or recommends for the selection of the Board of Directors, the director nominees for election to the Board of Directors by our stockholders at the annual meeting of stockholders.</w:t>
      </w:r>
    </w:p>
    <w:p>
      <w:pPr>
        <w:spacing w:after="0" w:line="1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4" w:name="page35"/>
    <w:bookmarkEnd w:id="34"/>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1100" w:right="619" w:hanging="176"/>
        <w:spacing w:after="0" w:line="262" w:lineRule="auto"/>
        <w:tabs>
          <w:tab w:leader="none" w:pos="1074"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its evaluation of director candidates, including the members of the Board of Directors eligible for re-election, the Governance and Social Responsibility Committee seeks to achieve a balance of knowledge, experience and capability on the Board of Directors and considers: (i) the current composition and organization of the Board of Directors and the needs of the Board of Directors and its committees;</w:t>
      </w:r>
    </w:p>
    <w:p>
      <w:pPr>
        <w:spacing w:after="0" w:line="2" w:lineRule="exact"/>
        <w:rPr>
          <w:rFonts w:ascii="Times New Roman" w:cs="Times New Roman" w:eastAsia="Times New Roman" w:hAnsi="Times New Roman"/>
          <w:sz w:val="17"/>
          <w:szCs w:val="17"/>
          <w:color w:val="auto"/>
        </w:rPr>
      </w:pPr>
    </w:p>
    <w:p>
      <w:pPr>
        <w:ind w:left="1100" w:right="619"/>
        <w:spacing w:after="0" w:line="26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(ii) such factors as character, judgment, diversity, expertise, business experience, length of service, independence, other commitments and the like; and (iii) such other factors as the Governance and Social Responsibility Committee may consider appropriate. The Governance and Social Responsibility Committee considers diversity of skills, experience, gender and race, among other factors, in evaluating candidates for the Board of Directors.</w:t>
      </w:r>
    </w:p>
    <w:p>
      <w:pPr>
        <w:spacing w:after="0" w:line="111" w:lineRule="exact"/>
        <w:rPr>
          <w:rFonts w:ascii="Times New Roman" w:cs="Times New Roman" w:eastAsia="Times New Roman" w:hAnsi="Times New Roman"/>
          <w:sz w:val="17"/>
          <w:szCs w:val="17"/>
          <w:color w:val="auto"/>
        </w:rPr>
      </w:pPr>
    </w:p>
    <w:p>
      <w:pPr>
        <w:ind w:left="1100" w:right="599" w:hanging="176"/>
        <w:spacing w:after="0" w:line="262" w:lineRule="auto"/>
        <w:tabs>
          <w:tab w:leader="none" w:pos="1117"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While the Governance and Social Responsibility Committee has not established specific minimum qualifications for director candidates, the Governance and Social Responsibility Committee believes that candidates and nominees must reflect a Board of Directors that is comprised of directors who: (a) are predominantly independent; (b) are of high integrity; (c) have broad, business-related knowledge and experience at the policy-making level in business or technology, including their understanding of the networking security industry and Fortinet’s business in particular; (d) have qualifications that will increase overall effectiveness of the Board of Directors; and (e) meet other requirements as may be required by applicable rules, such as financial literacy or financial expertise with respect to Audit Committee members.</w:t>
      </w:r>
    </w:p>
    <w:p>
      <w:pPr>
        <w:spacing w:after="0" w:line="323" w:lineRule="exact"/>
        <w:rPr>
          <w:rFonts w:ascii="Times New Roman" w:cs="Times New Roman" w:eastAsia="Times New Roman" w:hAnsi="Times New Roman"/>
          <w:sz w:val="17"/>
          <w:szCs w:val="17"/>
          <w:color w:val="auto"/>
        </w:rPr>
      </w:pPr>
    </w:p>
    <w:p>
      <w:pPr>
        <w:ind w:left="1100" w:right="739" w:hanging="176"/>
        <w:spacing w:after="0" w:line="267" w:lineRule="auto"/>
        <w:tabs>
          <w:tab w:leader="none" w:pos="1117"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regard to candidates who are properly recommended by stockholders or by other means, the Governance and Social Responsibility Committee will review the qualifications of any such candidate, which review may, in the Governance and Social Responsibility Committee’s discretion, include interviewing references for the candidate, direct interviews with the candidate, or other actions that the Governance and Social Responsibility Committee deems necessary or proper.</w:t>
      </w:r>
    </w:p>
    <w:p>
      <w:pPr>
        <w:spacing w:after="0" w:line="91" w:lineRule="exact"/>
        <w:rPr>
          <w:rFonts w:ascii="Times New Roman" w:cs="Times New Roman" w:eastAsia="Times New Roman" w:hAnsi="Times New Roman"/>
          <w:sz w:val="17"/>
          <w:szCs w:val="17"/>
          <w:color w:val="auto"/>
        </w:rPr>
      </w:pPr>
    </w:p>
    <w:p>
      <w:pPr>
        <w:jc w:val="both"/>
        <w:ind w:left="1100" w:right="739" w:hanging="176"/>
        <w:spacing w:after="0" w:line="276" w:lineRule="auto"/>
        <w:tabs>
          <w:tab w:leader="none" w:pos="1117"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evaluating and identifying candidates, the Governance and Social Responsibility Committee has the authority to retain and terminate any third-party search firm that is used to identify director candidates and has the authority to approve the fees and retention terms of any search firm.</w:t>
      </w:r>
    </w:p>
    <w:p>
      <w:pPr>
        <w:spacing w:after="0" w:line="98" w:lineRule="exact"/>
        <w:rPr>
          <w:rFonts w:ascii="Times New Roman" w:cs="Times New Roman" w:eastAsia="Times New Roman" w:hAnsi="Times New Roman"/>
          <w:sz w:val="17"/>
          <w:szCs w:val="17"/>
          <w:color w:val="auto"/>
        </w:rPr>
      </w:pPr>
    </w:p>
    <w:p>
      <w:pPr>
        <w:ind w:left="1100" w:right="619" w:hanging="176"/>
        <w:spacing w:after="0" w:line="270" w:lineRule="auto"/>
        <w:tabs>
          <w:tab w:leader="none" w:pos="1117"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Governance and Social Responsibility Committee will apply these same principles when evaluating candidates for the Board of Directors who may be elected initially by the full Board of Directors to fill vacancies or add additional directors prior to the annual meeting of stockholders at which directors are elected.</w:t>
      </w:r>
    </w:p>
    <w:p>
      <w:pPr>
        <w:spacing w:after="0" w:line="102" w:lineRule="exact"/>
        <w:rPr>
          <w:rFonts w:ascii="Times New Roman" w:cs="Times New Roman" w:eastAsia="Times New Roman" w:hAnsi="Times New Roman"/>
          <w:sz w:val="17"/>
          <w:szCs w:val="17"/>
          <w:color w:val="auto"/>
        </w:rPr>
      </w:pPr>
    </w:p>
    <w:p>
      <w:pPr>
        <w:ind w:left="1100" w:right="1399" w:hanging="176"/>
        <w:spacing w:after="0" w:line="296" w:lineRule="auto"/>
        <w:tabs>
          <w:tab w:leader="none" w:pos="1117"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After completing its review and evaluation of director candidates, the Governance and Social Responsibility Committee recommends to the full Board of Directors the director nominees.</w:t>
      </w:r>
    </w:p>
    <w:p>
      <w:pPr>
        <w:spacing w:after="0" w:line="14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Proxy Access</w:t>
      </w:r>
    </w:p>
    <w:p>
      <w:pPr>
        <w:spacing w:after="0" w:line="147" w:lineRule="exact"/>
        <w:rPr>
          <w:sz w:val="20"/>
          <w:szCs w:val="20"/>
          <w:color w:val="auto"/>
        </w:rPr>
      </w:pPr>
    </w:p>
    <w:p>
      <w:pPr>
        <w:jc w:val="both"/>
        <w:ind w:left="580" w:right="839" w:firstLine="349"/>
        <w:spacing w:after="0" w:line="264" w:lineRule="auto"/>
        <w:rPr>
          <w:sz w:val="20"/>
          <w:szCs w:val="20"/>
          <w:color w:val="auto"/>
        </w:rPr>
      </w:pPr>
      <w:r>
        <w:rPr>
          <w:rFonts w:ascii="Times New Roman" w:cs="Times New Roman" w:eastAsia="Times New Roman" w:hAnsi="Times New Roman"/>
          <w:sz w:val="17"/>
          <w:szCs w:val="17"/>
          <w:color w:val="auto"/>
        </w:rPr>
        <w:t>Our Bylaws provide a method for stockholders to place their nominees for director on our proxy ballot. Under our Bylaws, a stockholder, or a group of up to 20 stockholders, owning at least 3% of our outstanding common stock continuously throughout the three-year period (i) through the date of the nomination notice or</w:t>
      </w:r>
    </w:p>
    <w:p>
      <w:pPr>
        <w:spacing w:after="0" w:line="2" w:lineRule="exact"/>
        <w:rPr>
          <w:sz w:val="20"/>
          <w:szCs w:val="20"/>
          <w:color w:val="auto"/>
        </w:rPr>
      </w:pPr>
    </w:p>
    <w:p>
      <w:pPr>
        <w:ind w:left="580" w:right="699" w:hanging="6"/>
        <w:spacing w:after="0" w:line="253" w:lineRule="auto"/>
        <w:tabs>
          <w:tab w:leader="none" w:pos="837"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following date we implemented proxy access in our Bylaws, whichever is later, is entitled to nominate and include in our proxy materials director nominees constituting up to the lesser of two individuals or 20% of the number of members of the Board of Directors, subject to reduction in certain circumstances, and subject to the stockholders and the nominees satisfying the requirements specified in our Bylaws. Our obligation to include director nominees in its annual meeting proxy materials is also subject to certain exceptions as set forth in our Bylaws. Written notice of the nomination(s) must be submitted to our Corporate Secretary at our principal executive office no earlier than the 120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7"/>
          <w:szCs w:val="17"/>
          <w:color w:val="auto"/>
        </w:rPr>
        <w:t xml:space="preserve"> day, and no later than the 90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7"/>
          <w:szCs w:val="17"/>
          <w:color w:val="auto"/>
        </w:rPr>
        <w:t xml:space="preserve"> day, prior to the one-year anniversary of the preceding year’s annual meeting, subject to certain exceptions as set forth in our Bylaws.</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5" w:name="page36"/>
    <w:bookmarkEnd w:id="35"/>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Attendance at Annual Meetings of Stockholders by the Board of Directors</w:t>
      </w:r>
    </w:p>
    <w:p>
      <w:pPr>
        <w:spacing w:after="0" w:line="147" w:lineRule="exact"/>
        <w:rPr>
          <w:sz w:val="20"/>
          <w:szCs w:val="20"/>
          <w:color w:val="auto"/>
        </w:rPr>
      </w:pPr>
    </w:p>
    <w:p>
      <w:pPr>
        <w:ind w:left="580" w:right="939" w:firstLine="349"/>
        <w:spacing w:after="0" w:line="276" w:lineRule="auto"/>
        <w:rPr>
          <w:sz w:val="20"/>
          <w:szCs w:val="20"/>
          <w:color w:val="auto"/>
        </w:rPr>
      </w:pPr>
      <w:r>
        <w:rPr>
          <w:rFonts w:ascii="Times New Roman" w:cs="Times New Roman" w:eastAsia="Times New Roman" w:hAnsi="Times New Roman"/>
          <w:sz w:val="17"/>
          <w:szCs w:val="17"/>
          <w:color w:val="auto"/>
        </w:rPr>
        <w:t>Although Fortinet does not have a formal policy regarding attendance by members of the Board of Directors at Fortinet’s annual meeting of stockholders, Fortinet welcomes, but does not require, directors to attend. Mr. Ken Xie was the only director who attended the 2025 Annual Meeting.</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Contacting the Board of Directors</w:t>
      </w:r>
    </w:p>
    <w:p>
      <w:pPr>
        <w:spacing w:after="0" w:line="160" w:lineRule="exact"/>
        <w:rPr>
          <w:sz w:val="20"/>
          <w:szCs w:val="20"/>
          <w:color w:val="auto"/>
        </w:rPr>
      </w:pPr>
    </w:p>
    <w:p>
      <w:pPr>
        <w:ind w:left="580" w:right="639" w:firstLine="349"/>
        <w:spacing w:after="0" w:line="265" w:lineRule="auto"/>
        <w:rPr>
          <w:sz w:val="20"/>
          <w:szCs w:val="20"/>
          <w:color w:val="auto"/>
        </w:rPr>
      </w:pPr>
      <w:r>
        <w:rPr>
          <w:rFonts w:ascii="Times New Roman" w:cs="Times New Roman" w:eastAsia="Times New Roman" w:hAnsi="Times New Roman"/>
          <w:sz w:val="17"/>
          <w:szCs w:val="17"/>
          <w:color w:val="auto"/>
        </w:rPr>
        <w:t>Stockholders who wish to communicate with the members of the Board of Directors may do so by sending a letter to Fortinet’s Corporate Secretary, c/o Fortinet, Inc., 909 Kifer Road, Sunnyvale, California 94086, or by fax to (408) 235-7737. The Corporate Secretary reviews all incoming stockholder communications (except for mass mailings, product complaints or inquiries, job inquiries, business solicitations and patently offensive or otherwise inappropriate material) and, if appropriate, routes such communications to the appropriate member(s) of the Board of Directors, or if none is specified, to the Lead Independent Director.</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6" w:name="page37"/>
    <w:bookmarkEnd w:id="36"/>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EXECUTIVE OFFICERS</w:t>
      </w:r>
    </w:p>
    <w:p>
      <w:pPr>
        <w:spacing w:after="0" w:line="147" w:lineRule="exact"/>
        <w:rPr>
          <w:sz w:val="20"/>
          <w:szCs w:val="20"/>
          <w:color w:val="auto"/>
        </w:rPr>
      </w:pPr>
    </w:p>
    <w:p>
      <w:pPr>
        <w:ind w:left="580" w:right="639" w:firstLine="349"/>
        <w:spacing w:after="0" w:line="276" w:lineRule="auto"/>
        <w:rPr>
          <w:sz w:val="20"/>
          <w:szCs w:val="20"/>
          <w:color w:val="auto"/>
        </w:rPr>
      </w:pPr>
      <w:r>
        <w:rPr>
          <w:rFonts w:ascii="Times New Roman" w:cs="Times New Roman" w:eastAsia="Times New Roman" w:hAnsi="Times New Roman"/>
          <w:sz w:val="17"/>
          <w:szCs w:val="17"/>
          <w:color w:val="auto"/>
        </w:rPr>
        <w:t>The names of our executive officers, their ages, their positions with Fortinet and other biographical information, as set forth below, are as of March 31, 2026. Messrs. Ken Xie and Michael Xie are brothers. There are no other family relationships among any of our directors or executive officers.</w:t>
      </w:r>
    </w:p>
    <w:p>
      <w:pPr>
        <w:spacing w:after="0" w:line="179" w:lineRule="exact"/>
        <w:rPr>
          <w:sz w:val="20"/>
          <w:szCs w:val="20"/>
          <w:color w:val="auto"/>
        </w:rPr>
      </w:pPr>
    </w:p>
    <w:tbl>
      <w:tblPr>
        <w:tblLayout w:type="fixed"/>
        <w:tblInd w:w="580" w:type="dxa"/>
        <w:tblCellMar>
          <w:top w:w="0" w:type="dxa"/>
          <w:left w:w="0" w:type="dxa"/>
          <w:bottom w:w="0" w:type="dxa"/>
          <w:right w:w="0" w:type="dxa"/>
        </w:tblCellMar>
      </w:tblPr>
      <w:tr>
        <w:trPr>
          <w:trHeight w:val="208"/>
        </w:trPr>
        <w:tc>
          <w:tcPr>
            <w:tcW w:w="26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5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Age</w:t>
            </w:r>
          </w:p>
        </w:tc>
        <w:tc>
          <w:tcPr>
            <w:tcW w:w="4680" w:type="dxa"/>
            <w:vAlign w:val="bottom"/>
          </w:tcPr>
          <w:p>
            <w:pPr>
              <w:ind w:left="2060"/>
              <w:spacing w:after="0"/>
              <w:rPr>
                <w:sz w:val="20"/>
                <w:szCs w:val="20"/>
                <w:color w:val="auto"/>
              </w:rPr>
            </w:pPr>
            <w:r>
              <w:rPr>
                <w:rFonts w:ascii="Times New Roman" w:cs="Times New Roman" w:eastAsia="Times New Roman" w:hAnsi="Times New Roman"/>
                <w:sz w:val="16"/>
                <w:szCs w:val="16"/>
                <w:b w:val="1"/>
                <w:bCs w:val="1"/>
                <w:color w:val="auto"/>
              </w:rPr>
              <w:t>Position</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500" w:type="dxa"/>
            <w:vAlign w:val="bottom"/>
            <w:tcBorders>
              <w:bottom w:val="single" w:sz="8" w:color="auto"/>
            </w:tcBorders>
          </w:tcPr>
          <w:p>
            <w:pPr>
              <w:spacing w:after="0"/>
              <w:rPr>
                <w:sz w:val="3"/>
                <w:szCs w:val="3"/>
                <w:color w:val="auto"/>
              </w:rPr>
            </w:pPr>
          </w:p>
        </w:tc>
        <w:tc>
          <w:tcPr>
            <w:tcW w:w="100" w:type="dxa"/>
            <w:vAlign w:val="bottom"/>
            <w:tcBorders>
              <w:bottom w:val="single" w:sz="8" w:color="CDE9F6"/>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0" w:type="dxa"/>
            <w:vAlign w:val="bottom"/>
            <w:tcBorders>
              <w:bottom w:val="single" w:sz="8" w:color="CDE9F6"/>
            </w:tcBorders>
          </w:tcPr>
          <w:p>
            <w:pPr>
              <w:spacing w:after="0"/>
              <w:rPr>
                <w:sz w:val="3"/>
                <w:szCs w:val="3"/>
                <w:color w:val="auto"/>
              </w:rPr>
            </w:pPr>
          </w:p>
        </w:tc>
        <w:tc>
          <w:tcPr>
            <w:tcW w:w="46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2500" w:type="dxa"/>
            <w:vAlign w:val="bottom"/>
            <w:tcBorders>
              <w:bottom w:val="single" w:sz="8" w:color="CDE9F6"/>
            </w:tcBorders>
            <w:shd w:val="clear" w:color="auto" w:fill="CDE9F6"/>
          </w:tcPr>
          <w:p>
            <w:pPr>
              <w:spacing w:after="0"/>
              <w:rPr>
                <w:sz w:val="20"/>
                <w:szCs w:val="20"/>
                <w:color w:val="auto"/>
              </w:rPr>
            </w:pPr>
            <w:r>
              <w:rPr>
                <w:rFonts w:ascii="Times New Roman" w:cs="Times New Roman" w:eastAsia="Times New Roman" w:hAnsi="Times New Roman"/>
                <w:sz w:val="17"/>
                <w:szCs w:val="17"/>
                <w:color w:val="auto"/>
              </w:rPr>
              <w:t>Ken Xie</w:t>
            </w:r>
          </w:p>
        </w:tc>
        <w:tc>
          <w:tcPr>
            <w:tcW w:w="100" w:type="dxa"/>
            <w:vAlign w:val="bottom"/>
            <w:tcBorders>
              <w:bottom w:val="single" w:sz="8" w:color="CDE9F6"/>
            </w:tcBorders>
            <w:shd w:val="clear" w:color="auto" w:fill="CDE9F6"/>
          </w:tcPr>
          <w:p>
            <w:pPr>
              <w:spacing w:after="0"/>
              <w:rPr>
                <w:sz w:val="20"/>
                <w:szCs w:val="20"/>
                <w:color w:val="auto"/>
              </w:rPr>
            </w:pPr>
          </w:p>
        </w:tc>
        <w:tc>
          <w:tcPr>
            <w:tcW w:w="460" w:type="dxa"/>
            <w:vAlign w:val="bottom"/>
            <w:tcBorders>
              <w:bottom w:val="single" w:sz="8" w:color="CDE9F6"/>
            </w:tcBorders>
            <w:shd w:val="clear" w:color="auto" w:fill="CDE9F6"/>
          </w:tcPr>
          <w:p>
            <w:pPr>
              <w:jc w:val="center"/>
              <w:spacing w:after="0"/>
              <w:rPr>
                <w:sz w:val="20"/>
                <w:szCs w:val="20"/>
                <w:color w:val="auto"/>
              </w:rPr>
            </w:pPr>
            <w:r>
              <w:rPr>
                <w:rFonts w:ascii="Times New Roman" w:cs="Times New Roman" w:eastAsia="Times New Roman" w:hAnsi="Times New Roman"/>
                <w:sz w:val="17"/>
                <w:szCs w:val="17"/>
                <w:color w:val="auto"/>
              </w:rPr>
              <w:t>63</w:t>
            </w:r>
          </w:p>
        </w:tc>
        <w:tc>
          <w:tcPr>
            <w:tcW w:w="100" w:type="dxa"/>
            <w:vAlign w:val="bottom"/>
            <w:tcBorders>
              <w:bottom w:val="single" w:sz="8" w:color="CDE9F6"/>
            </w:tcBorders>
            <w:shd w:val="clear" w:color="auto" w:fill="CDE9F6"/>
          </w:tcPr>
          <w:p>
            <w:pPr>
              <w:spacing w:after="0"/>
              <w:rPr>
                <w:sz w:val="20"/>
                <w:szCs w:val="20"/>
                <w:color w:val="auto"/>
              </w:rPr>
            </w:pPr>
          </w:p>
        </w:tc>
        <w:tc>
          <w:tcPr>
            <w:tcW w:w="4680" w:type="dxa"/>
            <w:vAlign w:val="bottom"/>
            <w:tcBorders>
              <w:bottom w:val="single" w:sz="8" w:color="CDE9F6"/>
            </w:tcBorders>
            <w:shd w:val="clear" w:color="auto" w:fill="CDE9F6"/>
          </w:tcPr>
          <w:p>
            <w:pPr>
              <w:spacing w:after="0"/>
              <w:rPr>
                <w:sz w:val="20"/>
                <w:szCs w:val="20"/>
                <w:color w:val="auto"/>
              </w:rPr>
            </w:pPr>
            <w:r>
              <w:rPr>
                <w:rFonts w:ascii="Times New Roman" w:cs="Times New Roman" w:eastAsia="Times New Roman" w:hAnsi="Times New Roman"/>
                <w:sz w:val="17"/>
                <w:szCs w:val="17"/>
                <w:color w:val="auto"/>
              </w:rPr>
              <w:t>Chief Executive Officer and Chairman of the Board of Directors</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6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Michael Xie</w:t>
            </w:r>
          </w:p>
        </w:tc>
        <w:tc>
          <w:tcPr>
            <w:tcW w:w="4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57</w:t>
            </w:r>
          </w:p>
        </w:tc>
        <w:tc>
          <w:tcPr>
            <w:tcW w:w="10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7"/>
                <w:szCs w:val="17"/>
                <w:color w:val="auto"/>
              </w:rPr>
              <w:t>President, Chief Technology Officer and Director</w:t>
            </w:r>
          </w:p>
        </w:tc>
        <w:tc>
          <w:tcPr>
            <w:tcW w:w="0" w:type="dxa"/>
            <w:vAlign w:val="bottom"/>
          </w:tcPr>
          <w:p>
            <w:pPr>
              <w:spacing w:after="0"/>
              <w:rPr>
                <w:sz w:val="1"/>
                <w:szCs w:val="1"/>
                <w:color w:val="auto"/>
              </w:rPr>
            </w:pPr>
          </w:p>
        </w:tc>
      </w:tr>
      <w:tr>
        <w:trPr>
          <w:trHeight w:val="47"/>
        </w:trPr>
        <w:tc>
          <w:tcPr>
            <w:tcW w:w="20" w:type="dxa"/>
            <w:vAlign w:val="bottom"/>
            <w:vMerge w:val="restart"/>
          </w:tcPr>
          <w:p>
            <w:pPr>
              <w:spacing w:after="0"/>
              <w:rPr>
                <w:sz w:val="4"/>
                <w:szCs w:val="4"/>
                <w:color w:val="auto"/>
              </w:rPr>
            </w:pPr>
          </w:p>
        </w:tc>
        <w:tc>
          <w:tcPr>
            <w:tcW w:w="2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20" w:type="dxa"/>
            <w:vAlign w:val="bottom"/>
            <w:vMerge w:val="continue"/>
          </w:tcPr>
          <w:p>
            <w:pPr>
              <w:spacing w:after="0"/>
              <w:rPr>
                <w:sz w:val="23"/>
                <w:szCs w:val="23"/>
                <w:color w:val="auto"/>
              </w:rPr>
            </w:pPr>
          </w:p>
        </w:tc>
        <w:tc>
          <w:tcPr>
            <w:tcW w:w="2600" w:type="dxa"/>
            <w:vAlign w:val="bottom"/>
            <w:gridSpan w:val="2"/>
            <w:shd w:val="clear" w:color="auto" w:fill="CDE9F6"/>
          </w:tcPr>
          <w:p>
            <w:pPr>
              <w:spacing w:after="0"/>
              <w:rPr>
                <w:sz w:val="20"/>
                <w:szCs w:val="20"/>
                <w:color w:val="auto"/>
              </w:rPr>
            </w:pPr>
            <w:r>
              <w:rPr>
                <w:rFonts w:ascii="Times New Roman" w:cs="Times New Roman" w:eastAsia="Times New Roman" w:hAnsi="Times New Roman"/>
                <w:sz w:val="17"/>
                <w:szCs w:val="17"/>
                <w:color w:val="auto"/>
              </w:rPr>
              <w:t>Christiane Ohlgart</w:t>
            </w:r>
            <w:r>
              <w:rPr>
                <w:rFonts w:ascii="Times New Roman" w:cs="Times New Roman" w:eastAsia="Times New Roman" w:hAnsi="Times New Roman"/>
                <w:sz w:val="20"/>
                <w:szCs w:val="20"/>
                <w:color w:val="auto"/>
                <w:vertAlign w:val="superscript"/>
              </w:rPr>
              <w:t>(1)</w:t>
            </w:r>
          </w:p>
        </w:tc>
        <w:tc>
          <w:tcPr>
            <w:tcW w:w="460" w:type="dxa"/>
            <w:vAlign w:val="bottom"/>
            <w:shd w:val="clear" w:color="auto" w:fill="CDE9F6"/>
          </w:tcPr>
          <w:p>
            <w:pPr>
              <w:jc w:val="center"/>
              <w:spacing w:after="0"/>
              <w:rPr>
                <w:sz w:val="20"/>
                <w:szCs w:val="20"/>
                <w:color w:val="auto"/>
              </w:rPr>
            </w:pPr>
            <w:r>
              <w:rPr>
                <w:rFonts w:ascii="Times New Roman" w:cs="Times New Roman" w:eastAsia="Times New Roman" w:hAnsi="Times New Roman"/>
                <w:sz w:val="17"/>
                <w:szCs w:val="17"/>
                <w:color w:val="auto"/>
              </w:rPr>
              <w:t>58</w:t>
            </w:r>
          </w:p>
        </w:tc>
        <w:tc>
          <w:tcPr>
            <w:tcW w:w="100" w:type="dxa"/>
            <w:vAlign w:val="bottom"/>
            <w:shd w:val="clear" w:color="auto" w:fill="CDE9F6"/>
          </w:tcPr>
          <w:p>
            <w:pPr>
              <w:spacing w:after="0"/>
              <w:rPr>
                <w:sz w:val="23"/>
                <w:szCs w:val="23"/>
                <w:color w:val="auto"/>
              </w:rPr>
            </w:pPr>
          </w:p>
        </w:tc>
        <w:tc>
          <w:tcPr>
            <w:tcW w:w="4680" w:type="dxa"/>
            <w:vAlign w:val="bottom"/>
            <w:shd w:val="clear" w:color="auto" w:fill="CDE9F6"/>
          </w:tcPr>
          <w:p>
            <w:pPr>
              <w:spacing w:after="0"/>
              <w:rPr>
                <w:sz w:val="20"/>
                <w:szCs w:val="20"/>
                <w:color w:val="auto"/>
              </w:rPr>
            </w:pPr>
            <w:r>
              <w:rPr>
                <w:rFonts w:ascii="Times New Roman" w:cs="Times New Roman" w:eastAsia="Times New Roman" w:hAnsi="Times New Roman"/>
                <w:sz w:val="17"/>
                <w:szCs w:val="17"/>
                <w:color w:val="auto"/>
              </w:rPr>
              <w:t>Chief Financial Officer</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6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John Whittle</w:t>
            </w:r>
          </w:p>
        </w:tc>
        <w:tc>
          <w:tcPr>
            <w:tcW w:w="4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57</w:t>
            </w:r>
          </w:p>
        </w:tc>
        <w:tc>
          <w:tcPr>
            <w:tcW w:w="10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7"/>
                <w:szCs w:val="17"/>
                <w:color w:val="auto"/>
              </w:rPr>
              <w:t>Chief Operating Officer</w:t>
            </w:r>
          </w:p>
        </w:tc>
        <w:tc>
          <w:tcPr>
            <w:tcW w:w="0" w:type="dxa"/>
            <w:vAlign w:val="bottom"/>
          </w:tcPr>
          <w:p>
            <w:pPr>
              <w:spacing w:after="0"/>
              <w:rPr>
                <w:sz w:val="1"/>
                <w:szCs w:val="1"/>
                <w:color w:val="auto"/>
              </w:rPr>
            </w:pPr>
          </w:p>
        </w:tc>
      </w:tr>
    </w:tbl>
    <w:p>
      <w:pPr>
        <w:spacing w:after="0" w:line="8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________________________</w:t>
      </w:r>
    </w:p>
    <w:p>
      <w:pPr>
        <w:spacing w:after="0" w:line="87" w:lineRule="exact"/>
        <w:rPr>
          <w:sz w:val="20"/>
          <w:szCs w:val="20"/>
          <w:color w:val="auto"/>
        </w:rPr>
      </w:pPr>
    </w:p>
    <w:p>
      <w:pPr>
        <w:ind w:left="920" w:right="739" w:hanging="346"/>
        <w:spacing w:after="0" w:line="296" w:lineRule="auto"/>
        <w:tabs>
          <w:tab w:leader="none" w:pos="905"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his retirement, Keith Jensen resigned as our Chief Financial Officer in May 2025, at which time the Board of Directors appointed Ms. Ohlgart to serve as Chief Financial Officer.</w:t>
      </w:r>
    </w:p>
    <w:p>
      <w:pPr>
        <w:spacing w:after="0" w:line="77" w:lineRule="exact"/>
        <w:rPr>
          <w:sz w:val="20"/>
          <w:szCs w:val="20"/>
          <w:color w:val="auto"/>
        </w:rPr>
      </w:pPr>
    </w:p>
    <w:p>
      <w:pPr>
        <w:ind w:left="580" w:right="1799" w:firstLine="349"/>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 xml:space="preserve">Ken Xie. </w:t>
      </w:r>
      <w:r>
        <w:rPr>
          <w:rFonts w:ascii="Times New Roman" w:cs="Times New Roman" w:eastAsia="Times New Roman" w:hAnsi="Times New Roman"/>
          <w:sz w:val="17"/>
          <w:szCs w:val="17"/>
          <w:i w:val="1"/>
          <w:iCs w:val="1"/>
          <w:color w:val="auto"/>
        </w:rPr>
        <w:t>For a brief biography of Mr. Ken Xie, please see “Proposal One — Election of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i w:val="1"/>
          <w:iCs w:val="1"/>
          <w:color w:val="auto"/>
        </w:rPr>
        <w:t>Directors — Information Regarding the Board of Directors and Director Nominees.”</w:t>
      </w:r>
    </w:p>
    <w:p>
      <w:pPr>
        <w:spacing w:after="0" w:line="73" w:lineRule="exact"/>
        <w:rPr>
          <w:sz w:val="20"/>
          <w:szCs w:val="20"/>
          <w:color w:val="auto"/>
        </w:rPr>
      </w:pPr>
    </w:p>
    <w:p>
      <w:pPr>
        <w:ind w:left="580" w:right="1219" w:firstLine="349"/>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 xml:space="preserve">Michael Xie. </w:t>
      </w:r>
      <w:r>
        <w:rPr>
          <w:rFonts w:ascii="Times New Roman" w:cs="Times New Roman" w:eastAsia="Times New Roman" w:hAnsi="Times New Roman"/>
          <w:sz w:val="17"/>
          <w:szCs w:val="17"/>
          <w:i w:val="1"/>
          <w:iCs w:val="1"/>
          <w:color w:val="auto"/>
        </w:rPr>
        <w:t>For a brief biography of Mr. Michael Xie, please see “Proposal One — Election of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i w:val="1"/>
          <w:iCs w:val="1"/>
          <w:color w:val="auto"/>
        </w:rPr>
        <w:t>Directors — Information Regarding the Board of Directors and Director Nominees.”</w:t>
      </w:r>
    </w:p>
    <w:p>
      <w:pPr>
        <w:spacing w:after="0" w:line="60" w:lineRule="exact"/>
        <w:rPr>
          <w:sz w:val="20"/>
          <w:szCs w:val="20"/>
          <w:color w:val="auto"/>
        </w:rPr>
      </w:pPr>
    </w:p>
    <w:p>
      <w:pPr>
        <w:ind w:left="580" w:right="579" w:firstLine="349"/>
        <w:spacing w:after="0" w:line="261" w:lineRule="auto"/>
        <w:rPr>
          <w:sz w:val="20"/>
          <w:szCs w:val="20"/>
          <w:color w:val="auto"/>
        </w:rPr>
      </w:pPr>
      <w:r>
        <w:rPr>
          <w:rFonts w:ascii="Times New Roman" w:cs="Times New Roman" w:eastAsia="Times New Roman" w:hAnsi="Times New Roman"/>
          <w:sz w:val="17"/>
          <w:szCs w:val="17"/>
          <w:b w:val="1"/>
          <w:bCs w:val="1"/>
          <w:i w:val="1"/>
          <w:iCs w:val="1"/>
          <w:color w:val="auto"/>
        </w:rPr>
        <w:t xml:space="preserve">Christiane Ohlgart </w:t>
      </w:r>
      <w:r>
        <w:rPr>
          <w:rFonts w:ascii="Times New Roman" w:cs="Times New Roman" w:eastAsia="Times New Roman" w:hAnsi="Times New Roman"/>
          <w:sz w:val="17"/>
          <w:szCs w:val="17"/>
          <w:color w:val="auto"/>
        </w:rPr>
        <w:t>has served as our Chief Financial Officer since May 2025. Ms. Ohlgart previously</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served as our Chief Accounting Officer from March 2024 until May 2025. Ms. Ohlgart has more than three decades of finance and accounting experience at software and technology companies. Ms. Ohlgart previously served as Chief Financial Officer at IGEL Technology, a secure access operating system developer. Prior to IGEL, she served as VP Finance at Fortinet. Ms. Ohlgart also previously served as SVP Finance and Treasurer at Syapse, Inc., a digital health company, and as VP Finance of Intermedia.net, Inc., a cloud-based communication platform. Before that, Ms. Ohlgart worked at SAP, an enterprise software and services company, for 18 years, in various roles in Germany and the U.S. The last position held there was Chief Financial Officer at SAP SuccessFactors, a global provider of cloud-based human experience management software. Ms. Ohlgart holds a master’s degree in computer science and business administration from the Technical University of Karlsruhe.</w:t>
      </w:r>
    </w:p>
    <w:p>
      <w:pPr>
        <w:spacing w:after="0" w:line="324" w:lineRule="exact"/>
        <w:rPr>
          <w:sz w:val="20"/>
          <w:szCs w:val="20"/>
          <w:color w:val="auto"/>
        </w:rPr>
      </w:pPr>
    </w:p>
    <w:p>
      <w:pPr>
        <w:ind w:left="580" w:right="599" w:firstLine="349"/>
        <w:spacing w:after="0" w:line="261" w:lineRule="auto"/>
        <w:rPr>
          <w:sz w:val="20"/>
          <w:szCs w:val="20"/>
          <w:color w:val="auto"/>
        </w:rPr>
      </w:pPr>
      <w:r>
        <w:rPr>
          <w:rFonts w:ascii="Times New Roman" w:cs="Times New Roman" w:eastAsia="Times New Roman" w:hAnsi="Times New Roman"/>
          <w:sz w:val="17"/>
          <w:szCs w:val="17"/>
          <w:b w:val="1"/>
          <w:bCs w:val="1"/>
          <w:i w:val="1"/>
          <w:iCs w:val="1"/>
          <w:color w:val="auto"/>
        </w:rPr>
        <w:t xml:space="preserve">John Whittle </w:t>
      </w:r>
      <w:r>
        <w:rPr>
          <w:rFonts w:ascii="Times New Roman" w:cs="Times New Roman" w:eastAsia="Times New Roman" w:hAnsi="Times New Roman"/>
          <w:sz w:val="17"/>
          <w:szCs w:val="17"/>
          <w:color w:val="auto"/>
        </w:rPr>
        <w:t>has served as our Chief Operating Officer since January 2024. Mr. Whittle served as our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Chief Legal Officer from April 2022 to January 2024, and as Executive Vice President of Corporate Development from January 2019 to January 2024. Mr. Whittle served as our General Counsel from October 2006 to April 2022 and as Vice President of Corporate Development from October 2010 until January 2019. From March 2006 to October 2006, Mr. Whittle was Vice President and General Counsel for Ingres Corporation, an open-source database company formed by a divestiture from Computer Associates. Prior to working at Ingres, from January 2000 to March 2005, Mr. Whittle was Vice President and General Counsel for Corio, Inc., an enterprise application services provider. Mr. Whittle worked from March 2005 to March 2006 with International Business Machines Corporation following its acquisition of Corio. Prior to joining Corio, Mr. Whittle was an attorney at the law firm of Wilson Sonsini Goodrich &amp; Rosati, P.C. from 1996 to 2000, representing technology companies in general corporate matters, mergers and acquisitions and initial and follow-on public offerings. Mr. Whittle holds a B.A. in history from the University of Virginia and a J.D. from Cornell University Law School.</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7" w:name="page38"/>
    <w:bookmarkEnd w:id="37"/>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EXECUTIVE COMPENSATION</w:t>
      </w:r>
    </w:p>
    <w:p>
      <w:pPr>
        <w:spacing w:after="0" w:line="145" w:lineRule="exact"/>
        <w:rPr>
          <w:sz w:val="20"/>
          <w:szCs w:val="20"/>
          <w:color w:val="auto"/>
        </w:rPr>
      </w:pPr>
    </w:p>
    <w:p>
      <w:pPr>
        <w:jc w:val="both"/>
        <w:ind w:left="580" w:right="619" w:firstLine="349"/>
        <w:spacing w:after="0" w:line="278" w:lineRule="auto"/>
        <w:rPr>
          <w:sz w:val="20"/>
          <w:szCs w:val="20"/>
          <w:color w:val="auto"/>
        </w:rPr>
      </w:pPr>
      <w:r>
        <w:rPr>
          <w:rFonts w:ascii="Times New Roman" w:cs="Times New Roman" w:eastAsia="Times New Roman" w:hAnsi="Times New Roman"/>
          <w:sz w:val="17"/>
          <w:szCs w:val="17"/>
          <w:i w:val="1"/>
          <w:iCs w:val="1"/>
          <w:color w:val="auto"/>
        </w:rPr>
        <w:t>All share and per share amounts presented in this Proxy Statement have been retroactively adjusted where applicable to reflect the five-for-one forward stock split of our common stock effective June 22, 2022 (the “2022 Stock Split”).</w:t>
      </w:r>
    </w:p>
    <w:p>
      <w:pPr>
        <w:spacing w:after="0" w:line="15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Compensation Discussion and Analysis</w:t>
      </w:r>
    </w:p>
    <w:p>
      <w:pPr>
        <w:spacing w:after="0" w:line="160" w:lineRule="exact"/>
        <w:rPr>
          <w:sz w:val="20"/>
          <w:szCs w:val="20"/>
          <w:color w:val="auto"/>
        </w:rPr>
      </w:pPr>
    </w:p>
    <w:p>
      <w:pPr>
        <w:jc w:val="both"/>
        <w:ind w:left="580" w:right="599" w:firstLine="349"/>
        <w:spacing w:after="0" w:line="296" w:lineRule="auto"/>
        <w:rPr>
          <w:sz w:val="20"/>
          <w:szCs w:val="20"/>
          <w:color w:val="auto"/>
        </w:rPr>
      </w:pPr>
      <w:r>
        <w:rPr>
          <w:rFonts w:ascii="Times New Roman" w:cs="Times New Roman" w:eastAsia="Times New Roman" w:hAnsi="Times New Roman"/>
          <w:sz w:val="17"/>
          <w:szCs w:val="17"/>
          <w:color w:val="auto"/>
        </w:rPr>
        <w:t>This Compensation Discussion and Analysis provides information about the 2025 compensation arrangements for each individual who served as one of our executive officers during 2025, who were as follows:</w:t>
      </w:r>
    </w:p>
    <w:p>
      <w:pPr>
        <w:spacing w:after="0" w:line="81" w:lineRule="exact"/>
        <w:rPr>
          <w:sz w:val="20"/>
          <w:szCs w:val="20"/>
          <w:color w:val="auto"/>
        </w:rPr>
      </w:pPr>
    </w:p>
    <w:p>
      <w:pPr>
        <w:ind w:left="1120" w:hanging="196"/>
        <w:spacing w:after="0"/>
        <w:tabs>
          <w:tab w:leader="none" w:pos="112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Ken Xie, our Chief Executive Officer;</w:t>
      </w:r>
    </w:p>
    <w:p>
      <w:pPr>
        <w:spacing w:after="0" w:line="145" w:lineRule="exact"/>
        <w:rPr>
          <w:rFonts w:ascii="Times New Roman" w:cs="Times New Roman" w:eastAsia="Times New Roman" w:hAnsi="Times New Roman"/>
          <w:sz w:val="17"/>
          <w:szCs w:val="17"/>
          <w:color w:val="auto"/>
        </w:rPr>
      </w:pPr>
    </w:p>
    <w:p>
      <w:pPr>
        <w:ind w:left="1120" w:hanging="196"/>
        <w:spacing w:after="0"/>
        <w:tabs>
          <w:tab w:leader="none" w:pos="112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Michael Xie, our President and Chief Technology Officer;</w:t>
      </w:r>
    </w:p>
    <w:p>
      <w:pPr>
        <w:spacing w:after="0" w:line="158" w:lineRule="exact"/>
        <w:rPr>
          <w:rFonts w:ascii="Times New Roman" w:cs="Times New Roman" w:eastAsia="Times New Roman" w:hAnsi="Times New Roman"/>
          <w:sz w:val="17"/>
          <w:szCs w:val="17"/>
          <w:color w:val="auto"/>
        </w:rPr>
      </w:pPr>
    </w:p>
    <w:p>
      <w:pPr>
        <w:ind w:left="1120" w:hanging="196"/>
        <w:spacing w:after="0"/>
        <w:tabs>
          <w:tab w:leader="none" w:pos="112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Christiane Ohlgart, our Chief Financial Officer;</w:t>
      </w:r>
    </w:p>
    <w:p>
      <w:pPr>
        <w:spacing w:after="0" w:line="158" w:lineRule="exact"/>
        <w:rPr>
          <w:rFonts w:ascii="Times New Roman" w:cs="Times New Roman" w:eastAsia="Times New Roman" w:hAnsi="Times New Roman"/>
          <w:sz w:val="17"/>
          <w:szCs w:val="17"/>
          <w:color w:val="auto"/>
        </w:rPr>
      </w:pPr>
    </w:p>
    <w:p>
      <w:pPr>
        <w:ind w:left="1120" w:hanging="196"/>
        <w:spacing w:after="0"/>
        <w:tabs>
          <w:tab w:leader="none" w:pos="112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Keith Jensen, our former Chief Financial Officer; and</w:t>
      </w:r>
    </w:p>
    <w:p>
      <w:pPr>
        <w:spacing w:after="0" w:line="145" w:lineRule="exact"/>
        <w:rPr>
          <w:rFonts w:ascii="Times New Roman" w:cs="Times New Roman" w:eastAsia="Times New Roman" w:hAnsi="Times New Roman"/>
          <w:sz w:val="17"/>
          <w:szCs w:val="17"/>
          <w:color w:val="auto"/>
        </w:rPr>
      </w:pPr>
    </w:p>
    <w:p>
      <w:pPr>
        <w:ind w:left="1120" w:hanging="196"/>
        <w:spacing w:after="0"/>
        <w:tabs>
          <w:tab w:leader="none" w:pos="112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John Whittle, our Chief Operating Officer;</w:t>
      </w:r>
    </w:p>
    <w:p>
      <w:pPr>
        <w:spacing w:after="0" w:line="15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7"/>
          <w:szCs w:val="17"/>
          <w:color w:val="auto"/>
        </w:rPr>
        <w:t>We refer to these individuals as “named executive officers” or our “NEOs” in this Proxy Statement.</w:t>
      </w:r>
    </w:p>
    <w:p>
      <w:pPr>
        <w:spacing w:after="0" w:line="158" w:lineRule="exact"/>
        <w:rPr>
          <w:sz w:val="20"/>
          <w:szCs w:val="20"/>
          <w:color w:val="auto"/>
        </w:rPr>
      </w:pPr>
    </w:p>
    <w:p>
      <w:pPr>
        <w:ind w:left="580" w:right="819" w:firstLine="349"/>
        <w:spacing w:after="0" w:line="276" w:lineRule="auto"/>
        <w:rPr>
          <w:sz w:val="20"/>
          <w:szCs w:val="20"/>
          <w:color w:val="auto"/>
        </w:rPr>
      </w:pPr>
      <w:r>
        <w:rPr>
          <w:rFonts w:ascii="Times New Roman" w:cs="Times New Roman" w:eastAsia="Times New Roman" w:hAnsi="Times New Roman"/>
          <w:sz w:val="17"/>
          <w:szCs w:val="17"/>
          <w:color w:val="auto"/>
        </w:rPr>
        <w:t>Upon his retirement, Mr. Jensen resigned as our Chief Financial Officer on May 15, 2025, at which time the Board of Directors appointed Christiane Ohlgart to serve as Chief Financial Officer. Mr. Jensen began serving as a member of Fortinet’s Strategic Advisory Council on August 5, 2025 and remains a member.</w:t>
      </w:r>
    </w:p>
    <w:p>
      <w:pPr>
        <w:spacing w:after="0" w:line="16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i w:val="1"/>
          <w:iCs w:val="1"/>
          <w:color w:val="auto"/>
        </w:rPr>
        <w:t>2025 Business Highlights</w:t>
      </w:r>
    </w:p>
    <w:p>
      <w:pPr>
        <w:spacing w:after="0" w:line="149" w:lineRule="exact"/>
        <w:rPr>
          <w:sz w:val="20"/>
          <w:szCs w:val="20"/>
          <w:color w:val="auto"/>
        </w:rPr>
      </w:pPr>
    </w:p>
    <w:p>
      <w:pPr>
        <w:jc w:val="both"/>
        <w:ind w:left="580" w:right="639" w:firstLine="349"/>
        <w:spacing w:after="0" w:line="276" w:lineRule="auto"/>
        <w:rPr>
          <w:sz w:val="20"/>
          <w:szCs w:val="20"/>
          <w:color w:val="auto"/>
        </w:rPr>
      </w:pPr>
      <w:r>
        <w:rPr>
          <w:rFonts w:ascii="Times New Roman" w:cs="Times New Roman" w:eastAsia="Times New Roman" w:hAnsi="Times New Roman"/>
          <w:sz w:val="17"/>
          <w:szCs w:val="17"/>
          <w:color w:val="auto"/>
        </w:rPr>
        <w:t>The goal of our compensation programs is to ensure that the interests of our team members, including our NEOs, are aligned with the interests of our stockholders and our business goals, and that the total compensation paid to each of our NEOs is fair, reasonable and competitive.</w:t>
      </w:r>
    </w:p>
    <w:p>
      <w:pPr>
        <w:spacing w:after="0" w:line="98" w:lineRule="exact"/>
        <w:rPr>
          <w:sz w:val="20"/>
          <w:szCs w:val="20"/>
          <w:color w:val="auto"/>
        </w:rPr>
      </w:pPr>
    </w:p>
    <w:p>
      <w:pPr>
        <w:ind w:left="580" w:right="899" w:firstLine="349"/>
        <w:spacing w:after="0" w:line="296" w:lineRule="auto"/>
        <w:rPr>
          <w:sz w:val="20"/>
          <w:szCs w:val="20"/>
          <w:color w:val="auto"/>
        </w:rPr>
      </w:pPr>
      <w:r>
        <w:rPr>
          <w:rFonts w:ascii="Times New Roman" w:cs="Times New Roman" w:eastAsia="Times New Roman" w:hAnsi="Times New Roman"/>
          <w:sz w:val="17"/>
          <w:szCs w:val="17"/>
          <w:color w:val="auto"/>
        </w:rPr>
        <w:t>During 2025, we made significant progress on our business goals, with strong results across all our key operating metrics, including the following achievements that impacted executive compensation:</w:t>
      </w:r>
    </w:p>
    <w:p>
      <w:pPr>
        <w:spacing w:after="0" w:line="81" w:lineRule="exact"/>
        <w:rPr>
          <w:sz w:val="20"/>
          <w:szCs w:val="20"/>
          <w:color w:val="auto"/>
        </w:rPr>
      </w:pPr>
    </w:p>
    <w:p>
      <w:pPr>
        <w:ind w:left="1120" w:hanging="196"/>
        <w:spacing w:after="0"/>
        <w:tabs>
          <w:tab w:leader="none" w:pos="112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Total revenue was $6.80 billion for 2025, an increase of 14% compared to $5.96 billion in 2024.</w:t>
      </w:r>
    </w:p>
    <w:p>
      <w:pPr>
        <w:spacing w:after="0" w:line="145" w:lineRule="exact"/>
        <w:rPr>
          <w:rFonts w:ascii="Times New Roman" w:cs="Times New Roman" w:eastAsia="Times New Roman" w:hAnsi="Times New Roman"/>
          <w:sz w:val="17"/>
          <w:szCs w:val="17"/>
          <w:color w:val="auto"/>
        </w:rPr>
      </w:pPr>
    </w:p>
    <w:p>
      <w:pPr>
        <w:ind w:left="1120" w:hanging="196"/>
        <w:spacing w:after="0"/>
        <w:tabs>
          <w:tab w:leader="none" w:pos="112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Total gross profit was $5.47 billion in 2025, an increase of 14% compared to $4.80 billion in 2024.</w:t>
      </w:r>
    </w:p>
    <w:p>
      <w:pPr>
        <w:spacing w:after="0" w:line="158" w:lineRule="exact"/>
        <w:rPr>
          <w:rFonts w:ascii="Times New Roman" w:cs="Times New Roman" w:eastAsia="Times New Roman" w:hAnsi="Times New Roman"/>
          <w:sz w:val="17"/>
          <w:szCs w:val="17"/>
          <w:color w:val="auto"/>
        </w:rPr>
      </w:pPr>
    </w:p>
    <w:p>
      <w:pPr>
        <w:ind w:left="1120" w:hanging="196"/>
        <w:spacing w:after="0"/>
        <w:tabs>
          <w:tab w:leader="none" w:pos="112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Operating income was $2.08 billion in 2025, an increase of 16% compared to $1.80 billion in 2024.</w:t>
      </w:r>
    </w:p>
    <w:p>
      <w:pPr>
        <w:spacing w:after="0" w:line="22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i w:val="1"/>
          <w:iCs w:val="1"/>
          <w:color w:val="auto"/>
        </w:rPr>
        <w:t>2025 Compensation Highlights</w:t>
      </w:r>
    </w:p>
    <w:p>
      <w:pPr>
        <w:spacing w:after="0" w:line="158" w:lineRule="exact"/>
        <w:rPr>
          <w:sz w:val="20"/>
          <w:szCs w:val="20"/>
          <w:color w:val="auto"/>
        </w:rPr>
      </w:pPr>
    </w:p>
    <w:p>
      <w:pPr>
        <w:ind w:left="1100" w:right="619" w:hanging="176"/>
        <w:spacing w:after="0" w:line="272" w:lineRule="auto"/>
        <w:tabs>
          <w:tab w:leader="none" w:pos="1117"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Rigorous Annual Incentive Goals: </w:t>
      </w:r>
      <w:r>
        <w:rPr>
          <w:rFonts w:ascii="Times New Roman" w:cs="Times New Roman" w:eastAsia="Times New Roman" w:hAnsi="Times New Roman"/>
          <w:sz w:val="17"/>
          <w:szCs w:val="17"/>
          <w:color w:val="auto"/>
        </w:rPr>
        <w:t>Our NEOs were eligible to earn an annual incentive based on our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level of achievement of rigorous corporate financial goals for the year. Based on our growth and profitability for the year, and after accounting for individual performance during the year, our executives earned 103% of their target annual incentives, on average.</w:t>
      </w:r>
    </w:p>
    <w:p>
      <w:pPr>
        <w:spacing w:after="0" w:line="83" w:lineRule="exact"/>
        <w:rPr>
          <w:rFonts w:ascii="Times New Roman" w:cs="Times New Roman" w:eastAsia="Times New Roman" w:hAnsi="Times New Roman"/>
          <w:sz w:val="17"/>
          <w:szCs w:val="17"/>
          <w:color w:val="auto"/>
        </w:rPr>
      </w:pPr>
    </w:p>
    <w:p>
      <w:pPr>
        <w:ind w:left="1100" w:right="599" w:hanging="176"/>
        <w:spacing w:after="0" w:line="272" w:lineRule="auto"/>
        <w:tabs>
          <w:tab w:leader="none" w:pos="1117"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Continued to Emphasize Performance-Based Long-Term Incentives: </w:t>
      </w:r>
      <w:r>
        <w:rPr>
          <w:rFonts w:ascii="Times New Roman" w:cs="Times New Roman" w:eastAsia="Times New Roman" w:hAnsi="Times New Roman"/>
          <w:sz w:val="17"/>
          <w:szCs w:val="17"/>
          <w:color w:val="auto"/>
        </w:rPr>
        <w:t>In 2025, our NEOs were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granted long-term incentive awards in a mix of time-based restricted stock units (“RSUs”) and performance-based awards (“PSUs”) that are eligible to be earned based on our relative total stockholder return (“TSR”) as compared to the S&amp;P 500.</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i w:val="1"/>
          <w:iCs w:val="1"/>
          <w:color w:val="auto"/>
        </w:rPr>
        <w:t>Overview of Executive Compensation Program</w:t>
      </w:r>
    </w:p>
    <w:p>
      <w:pPr>
        <w:spacing w:after="0" w:line="162" w:lineRule="exact"/>
        <w:rPr>
          <w:sz w:val="20"/>
          <w:szCs w:val="20"/>
          <w:color w:val="auto"/>
        </w:rPr>
      </w:pPr>
    </w:p>
    <w:p>
      <w:pPr>
        <w:ind w:left="580" w:right="779" w:firstLine="349"/>
        <w:spacing w:after="0" w:line="276" w:lineRule="auto"/>
        <w:rPr>
          <w:sz w:val="20"/>
          <w:szCs w:val="20"/>
          <w:color w:val="auto"/>
        </w:rPr>
      </w:pPr>
      <w:r>
        <w:rPr>
          <w:rFonts w:ascii="Times New Roman" w:cs="Times New Roman" w:eastAsia="Times New Roman" w:hAnsi="Times New Roman"/>
          <w:sz w:val="17"/>
          <w:szCs w:val="17"/>
          <w:color w:val="auto"/>
        </w:rPr>
        <w:t>We compete with many other technology companies in seeking to attract and retain highly skilled top talent. We also seek to keep our employees highly motivated. To meet these challenges, we have designed our executive compensation program to attract, retain and motivate our NEOs to enhance stockholder value.</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8" w:name="page39"/>
    <w:bookmarkEnd w:id="38"/>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580" w:right="639" w:firstLine="349"/>
        <w:spacing w:after="0" w:line="276" w:lineRule="auto"/>
        <w:rPr>
          <w:sz w:val="20"/>
          <w:szCs w:val="20"/>
          <w:color w:val="auto"/>
        </w:rPr>
      </w:pPr>
      <w:r>
        <w:rPr>
          <w:rFonts w:ascii="Times New Roman" w:cs="Times New Roman" w:eastAsia="Times New Roman" w:hAnsi="Times New Roman"/>
          <w:sz w:val="17"/>
          <w:szCs w:val="17"/>
          <w:color w:val="auto"/>
        </w:rPr>
        <w:t>By delivering compensation in a mix of fixed and variable pay, including long-term vesting equity awards, we seek to align the incentives of our NEOs with the achievement of long-term business objectives and financial performance that drives sustained stockholder value.</w:t>
      </w:r>
    </w:p>
    <w:p>
      <w:pPr>
        <w:spacing w:after="0" w:line="98" w:lineRule="exact"/>
        <w:rPr>
          <w:sz w:val="20"/>
          <w:szCs w:val="20"/>
          <w:color w:val="auto"/>
        </w:rPr>
      </w:pPr>
    </w:p>
    <w:p>
      <w:pPr>
        <w:ind w:left="580" w:right="639" w:firstLine="349"/>
        <w:spacing w:after="0" w:line="267" w:lineRule="auto"/>
        <w:rPr>
          <w:sz w:val="20"/>
          <w:szCs w:val="20"/>
          <w:color w:val="auto"/>
        </w:rPr>
      </w:pPr>
      <w:r>
        <w:rPr>
          <w:rFonts w:ascii="Times New Roman" w:cs="Times New Roman" w:eastAsia="Times New Roman" w:hAnsi="Times New Roman"/>
          <w:sz w:val="17"/>
          <w:szCs w:val="17"/>
          <w:color w:val="auto"/>
        </w:rPr>
        <w:t>To support our long-term objectives and reinforce a strong pay-for-performance culture, a majority of total direct compensation for our NEOs is awarded in the form of at-risk cash annual incentives and long-term vesting equity awards. In addition, our compensation program includes competitive base salaries and standard health and welfare benefits that are generally available to our other team members, including medical, dental, vision, life and disability insurance and 401(k) plans.</w:t>
      </w:r>
    </w:p>
    <w:p>
      <w:pPr>
        <w:spacing w:after="0" w:line="10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7"/>
          <w:szCs w:val="17"/>
          <w:color w:val="auto"/>
        </w:rPr>
        <w:t>For 2025, the material elements of our executive compensation program were:</w:t>
      </w:r>
    </w:p>
    <w:p>
      <w:pPr>
        <w:spacing w:after="0" w:line="183" w:lineRule="exact"/>
        <w:rPr>
          <w:sz w:val="20"/>
          <w:szCs w:val="20"/>
          <w:color w:val="auto"/>
        </w:rPr>
      </w:pPr>
    </w:p>
    <w:tbl>
      <w:tblPr>
        <w:tblLayout w:type="fixed"/>
        <w:tblInd w:w="590" w:type="dxa"/>
        <w:tblCellMar>
          <w:top w:w="0" w:type="dxa"/>
          <w:left w:w="0" w:type="dxa"/>
          <w:bottom w:w="0" w:type="dxa"/>
          <w:right w:w="0" w:type="dxa"/>
        </w:tblCellMar>
      </w:tblPr>
      <w:tr>
        <w:trPr>
          <w:trHeight w:val="204"/>
        </w:trPr>
        <w:tc>
          <w:tcPr>
            <w:tcW w:w="2380" w:type="dxa"/>
            <w:vAlign w:val="bottom"/>
            <w:tcBorders>
              <w:top w:val="single" w:sz="8" w:color="auto"/>
              <w:left w:val="single" w:sz="8" w:color="auto"/>
              <w:right w:val="single" w:sz="8" w:color="auto"/>
            </w:tcBorders>
            <w:shd w:val="clear" w:color="auto" w:fill="CDE9F6"/>
          </w:tcPr>
          <w:p>
            <w:pPr>
              <w:spacing w:after="0"/>
              <w:rPr>
                <w:sz w:val="20"/>
                <w:szCs w:val="20"/>
                <w:color w:val="auto"/>
              </w:rPr>
            </w:pPr>
            <w:r>
              <w:rPr>
                <w:rFonts w:ascii="Times New Roman" w:cs="Times New Roman" w:eastAsia="Times New Roman" w:hAnsi="Times New Roman"/>
                <w:sz w:val="17"/>
                <w:szCs w:val="17"/>
                <w:b w:val="1"/>
                <w:bCs w:val="1"/>
                <w:color w:val="auto"/>
              </w:rPr>
              <w:t>Base Salary</w:t>
            </w:r>
          </w:p>
        </w:tc>
        <w:tc>
          <w:tcPr>
            <w:tcW w:w="5480" w:type="dxa"/>
            <w:vAlign w:val="bottom"/>
            <w:tcBorders>
              <w:top w:val="single" w:sz="8" w:color="auto"/>
              <w:right w:val="single" w:sz="8" w:color="auto"/>
            </w:tcBorders>
            <w:shd w:val="clear" w:color="auto" w:fill="CDE9F6"/>
          </w:tcPr>
          <w:p>
            <w:pPr>
              <w:ind w:left="40"/>
              <w:spacing w:after="0"/>
              <w:rPr>
                <w:sz w:val="20"/>
                <w:szCs w:val="20"/>
                <w:color w:val="auto"/>
              </w:rPr>
            </w:pPr>
            <w:r>
              <w:rPr>
                <w:rFonts w:ascii="Times New Roman" w:cs="Times New Roman" w:eastAsia="Times New Roman" w:hAnsi="Times New Roman"/>
                <w:sz w:val="17"/>
                <w:szCs w:val="17"/>
                <w:color w:val="auto"/>
              </w:rPr>
              <w:t>We establish base pay that is both reasonable and competitive in relation to</w:t>
            </w:r>
          </w:p>
        </w:tc>
      </w:tr>
      <w:tr>
        <w:trPr>
          <w:trHeight w:val="210"/>
        </w:trPr>
        <w:tc>
          <w:tcPr>
            <w:tcW w:w="2380" w:type="dxa"/>
            <w:vAlign w:val="bottom"/>
            <w:tcBorders>
              <w:left w:val="single" w:sz="8" w:color="auto"/>
              <w:right w:val="single" w:sz="8" w:color="auto"/>
            </w:tcBorders>
            <w:shd w:val="clear" w:color="auto" w:fill="CDE9F6"/>
          </w:tcPr>
          <w:p>
            <w:pPr>
              <w:spacing w:after="0"/>
              <w:rPr>
                <w:sz w:val="18"/>
                <w:szCs w:val="18"/>
                <w:color w:val="auto"/>
              </w:rPr>
            </w:pPr>
          </w:p>
        </w:tc>
        <w:tc>
          <w:tcPr>
            <w:tcW w:w="5480" w:type="dxa"/>
            <w:vAlign w:val="bottom"/>
            <w:tcBorders>
              <w:right w:val="single" w:sz="8" w:color="auto"/>
            </w:tcBorders>
            <w:shd w:val="clear" w:color="auto" w:fill="CDE9F6"/>
          </w:tcPr>
          <w:p>
            <w:pPr>
              <w:ind w:left="40"/>
              <w:spacing w:after="0"/>
              <w:rPr>
                <w:sz w:val="20"/>
                <w:szCs w:val="20"/>
                <w:color w:val="auto"/>
              </w:rPr>
            </w:pPr>
            <w:r>
              <w:rPr>
                <w:rFonts w:ascii="Times New Roman" w:cs="Times New Roman" w:eastAsia="Times New Roman" w:hAnsi="Times New Roman"/>
                <w:sz w:val="17"/>
                <w:szCs w:val="17"/>
                <w:color w:val="auto"/>
              </w:rPr>
              <w:t>the competitive market of similar companies in the technology industry. The</w:t>
            </w:r>
          </w:p>
        </w:tc>
      </w:tr>
      <w:tr>
        <w:trPr>
          <w:trHeight w:val="210"/>
        </w:trPr>
        <w:tc>
          <w:tcPr>
            <w:tcW w:w="2380" w:type="dxa"/>
            <w:vAlign w:val="bottom"/>
            <w:tcBorders>
              <w:left w:val="single" w:sz="8" w:color="auto"/>
              <w:right w:val="single" w:sz="8" w:color="auto"/>
            </w:tcBorders>
            <w:shd w:val="clear" w:color="auto" w:fill="CDE9F6"/>
          </w:tcPr>
          <w:p>
            <w:pPr>
              <w:spacing w:after="0"/>
              <w:rPr>
                <w:sz w:val="18"/>
                <w:szCs w:val="18"/>
                <w:color w:val="auto"/>
              </w:rPr>
            </w:pPr>
          </w:p>
        </w:tc>
        <w:tc>
          <w:tcPr>
            <w:tcW w:w="5480" w:type="dxa"/>
            <w:vAlign w:val="bottom"/>
            <w:tcBorders>
              <w:right w:val="single" w:sz="8" w:color="auto"/>
            </w:tcBorders>
            <w:shd w:val="clear" w:color="auto" w:fill="CDE9F6"/>
          </w:tcPr>
          <w:p>
            <w:pPr>
              <w:ind w:left="40"/>
              <w:spacing w:after="0"/>
              <w:rPr>
                <w:sz w:val="20"/>
                <w:szCs w:val="20"/>
                <w:color w:val="auto"/>
              </w:rPr>
            </w:pPr>
            <w:r>
              <w:rPr>
                <w:rFonts w:ascii="Times New Roman" w:cs="Times New Roman" w:eastAsia="Times New Roman" w:hAnsi="Times New Roman"/>
                <w:sz w:val="17"/>
                <w:szCs w:val="17"/>
                <w:color w:val="auto"/>
              </w:rPr>
              <w:t>Human Resources Committee monitors competitive base pay levels at least</w:t>
            </w:r>
          </w:p>
        </w:tc>
      </w:tr>
      <w:tr>
        <w:trPr>
          <w:trHeight w:val="210"/>
        </w:trPr>
        <w:tc>
          <w:tcPr>
            <w:tcW w:w="2380" w:type="dxa"/>
            <w:vAlign w:val="bottom"/>
            <w:tcBorders>
              <w:left w:val="single" w:sz="8" w:color="auto"/>
              <w:right w:val="single" w:sz="8" w:color="auto"/>
            </w:tcBorders>
            <w:shd w:val="clear" w:color="auto" w:fill="CDE9F6"/>
          </w:tcPr>
          <w:p>
            <w:pPr>
              <w:spacing w:after="0"/>
              <w:rPr>
                <w:sz w:val="18"/>
                <w:szCs w:val="18"/>
                <w:color w:val="auto"/>
              </w:rPr>
            </w:pPr>
          </w:p>
        </w:tc>
        <w:tc>
          <w:tcPr>
            <w:tcW w:w="5480" w:type="dxa"/>
            <w:vAlign w:val="bottom"/>
            <w:tcBorders>
              <w:right w:val="single" w:sz="8" w:color="auto"/>
            </w:tcBorders>
            <w:shd w:val="clear" w:color="auto" w:fill="CDE9F6"/>
          </w:tcPr>
          <w:p>
            <w:pPr>
              <w:ind w:left="40"/>
              <w:spacing w:after="0"/>
              <w:rPr>
                <w:sz w:val="20"/>
                <w:szCs w:val="20"/>
                <w:color w:val="auto"/>
              </w:rPr>
            </w:pPr>
            <w:r>
              <w:rPr>
                <w:rFonts w:ascii="Times New Roman" w:cs="Times New Roman" w:eastAsia="Times New Roman" w:hAnsi="Times New Roman"/>
                <w:sz w:val="17"/>
                <w:szCs w:val="17"/>
                <w:color w:val="auto"/>
              </w:rPr>
              <w:t>annually and makes adjustments to base pay as appropriate. In general, an</w:t>
            </w:r>
          </w:p>
        </w:tc>
      </w:tr>
      <w:tr>
        <w:trPr>
          <w:trHeight w:val="210"/>
        </w:trPr>
        <w:tc>
          <w:tcPr>
            <w:tcW w:w="2380" w:type="dxa"/>
            <w:vAlign w:val="bottom"/>
            <w:tcBorders>
              <w:left w:val="single" w:sz="8" w:color="auto"/>
              <w:right w:val="single" w:sz="8" w:color="auto"/>
            </w:tcBorders>
            <w:shd w:val="clear" w:color="auto" w:fill="CDE9F6"/>
          </w:tcPr>
          <w:p>
            <w:pPr>
              <w:spacing w:after="0"/>
              <w:rPr>
                <w:sz w:val="18"/>
                <w:szCs w:val="18"/>
                <w:color w:val="auto"/>
              </w:rPr>
            </w:pPr>
          </w:p>
        </w:tc>
        <w:tc>
          <w:tcPr>
            <w:tcW w:w="5480" w:type="dxa"/>
            <w:vAlign w:val="bottom"/>
            <w:tcBorders>
              <w:right w:val="single" w:sz="8" w:color="auto"/>
            </w:tcBorders>
            <w:shd w:val="clear" w:color="auto" w:fill="CDE9F6"/>
          </w:tcPr>
          <w:p>
            <w:pPr>
              <w:ind w:left="40"/>
              <w:spacing w:after="0"/>
              <w:rPr>
                <w:sz w:val="20"/>
                <w:szCs w:val="20"/>
                <w:color w:val="auto"/>
              </w:rPr>
            </w:pPr>
            <w:r>
              <w:rPr>
                <w:rFonts w:ascii="Times New Roman" w:cs="Times New Roman" w:eastAsia="Times New Roman" w:hAnsi="Times New Roman"/>
                <w:sz w:val="17"/>
                <w:szCs w:val="17"/>
                <w:color w:val="auto"/>
              </w:rPr>
              <w:t>NEO’s base pay level should reflect that individual’s overall sustained</w:t>
            </w:r>
          </w:p>
        </w:tc>
      </w:tr>
      <w:tr>
        <w:trPr>
          <w:trHeight w:val="210"/>
        </w:trPr>
        <w:tc>
          <w:tcPr>
            <w:tcW w:w="2380" w:type="dxa"/>
            <w:vAlign w:val="bottom"/>
            <w:tcBorders>
              <w:left w:val="single" w:sz="8" w:color="auto"/>
              <w:right w:val="single" w:sz="8" w:color="auto"/>
            </w:tcBorders>
            <w:shd w:val="clear" w:color="auto" w:fill="CDE9F6"/>
          </w:tcPr>
          <w:p>
            <w:pPr>
              <w:spacing w:after="0"/>
              <w:rPr>
                <w:sz w:val="18"/>
                <w:szCs w:val="18"/>
                <w:color w:val="auto"/>
              </w:rPr>
            </w:pPr>
          </w:p>
        </w:tc>
        <w:tc>
          <w:tcPr>
            <w:tcW w:w="5480" w:type="dxa"/>
            <w:vAlign w:val="bottom"/>
            <w:tcBorders>
              <w:right w:val="single" w:sz="8" w:color="auto"/>
            </w:tcBorders>
            <w:shd w:val="clear" w:color="auto" w:fill="CDE9F6"/>
          </w:tcPr>
          <w:p>
            <w:pPr>
              <w:ind w:left="40"/>
              <w:spacing w:after="0"/>
              <w:rPr>
                <w:sz w:val="20"/>
                <w:szCs w:val="20"/>
                <w:color w:val="auto"/>
              </w:rPr>
            </w:pPr>
            <w:r>
              <w:rPr>
                <w:rFonts w:ascii="Times New Roman" w:cs="Times New Roman" w:eastAsia="Times New Roman" w:hAnsi="Times New Roman"/>
                <w:sz w:val="17"/>
                <w:szCs w:val="17"/>
                <w:color w:val="auto"/>
              </w:rPr>
              <w:t>performance and contribution over time. The Human Resources Committee</w:t>
            </w:r>
          </w:p>
        </w:tc>
      </w:tr>
      <w:tr>
        <w:trPr>
          <w:trHeight w:val="210"/>
        </w:trPr>
        <w:tc>
          <w:tcPr>
            <w:tcW w:w="2380" w:type="dxa"/>
            <w:vAlign w:val="bottom"/>
            <w:tcBorders>
              <w:left w:val="single" w:sz="8" w:color="auto"/>
              <w:right w:val="single" w:sz="8" w:color="auto"/>
            </w:tcBorders>
            <w:shd w:val="clear" w:color="auto" w:fill="CDE9F6"/>
          </w:tcPr>
          <w:p>
            <w:pPr>
              <w:spacing w:after="0"/>
              <w:rPr>
                <w:sz w:val="18"/>
                <w:szCs w:val="18"/>
                <w:color w:val="auto"/>
              </w:rPr>
            </w:pPr>
          </w:p>
        </w:tc>
        <w:tc>
          <w:tcPr>
            <w:tcW w:w="5480" w:type="dxa"/>
            <w:vAlign w:val="bottom"/>
            <w:tcBorders>
              <w:right w:val="single" w:sz="8" w:color="auto"/>
            </w:tcBorders>
            <w:shd w:val="clear" w:color="auto" w:fill="CDE9F6"/>
          </w:tcPr>
          <w:p>
            <w:pPr>
              <w:ind w:left="40"/>
              <w:spacing w:after="0"/>
              <w:rPr>
                <w:sz w:val="20"/>
                <w:szCs w:val="20"/>
                <w:color w:val="auto"/>
              </w:rPr>
            </w:pPr>
            <w:r>
              <w:rPr>
                <w:rFonts w:ascii="Times New Roman" w:cs="Times New Roman" w:eastAsia="Times New Roman" w:hAnsi="Times New Roman"/>
                <w:sz w:val="17"/>
                <w:szCs w:val="17"/>
                <w:color w:val="auto"/>
              </w:rPr>
              <w:t>sets base pay to provide the ongoing reward for each NEO’s work and</w:t>
            </w:r>
          </w:p>
        </w:tc>
      </w:tr>
      <w:tr>
        <w:trPr>
          <w:trHeight w:val="272"/>
        </w:trPr>
        <w:tc>
          <w:tcPr>
            <w:tcW w:w="2380" w:type="dxa"/>
            <w:vAlign w:val="bottom"/>
            <w:tcBorders>
              <w:left w:val="single" w:sz="8" w:color="auto"/>
              <w:bottom w:val="single" w:sz="8" w:color="CDE9F6"/>
              <w:right w:val="single" w:sz="8" w:color="auto"/>
            </w:tcBorders>
            <w:shd w:val="clear" w:color="auto" w:fill="CDE9F6"/>
          </w:tcPr>
          <w:p>
            <w:pPr>
              <w:spacing w:after="0"/>
              <w:rPr>
                <w:sz w:val="23"/>
                <w:szCs w:val="23"/>
                <w:color w:val="auto"/>
              </w:rPr>
            </w:pPr>
          </w:p>
        </w:tc>
        <w:tc>
          <w:tcPr>
            <w:tcW w:w="5480" w:type="dxa"/>
            <w:vAlign w:val="bottom"/>
            <w:tcBorders>
              <w:bottom w:val="single" w:sz="8" w:color="CDE9F6"/>
              <w:right w:val="single" w:sz="8" w:color="auto"/>
            </w:tcBorders>
            <w:shd w:val="clear" w:color="auto" w:fill="CDE9F6"/>
          </w:tcPr>
          <w:p>
            <w:pPr>
              <w:ind w:left="40"/>
              <w:spacing w:after="0"/>
              <w:rPr>
                <w:sz w:val="20"/>
                <w:szCs w:val="20"/>
                <w:color w:val="auto"/>
              </w:rPr>
            </w:pPr>
            <w:r>
              <w:rPr>
                <w:rFonts w:ascii="Times New Roman" w:cs="Times New Roman" w:eastAsia="Times New Roman" w:hAnsi="Times New Roman"/>
                <w:sz w:val="17"/>
                <w:szCs w:val="17"/>
                <w:color w:val="auto"/>
              </w:rPr>
              <w:t>contribution and to be competitive in attracting or retaining the NEO.</w:t>
            </w:r>
          </w:p>
        </w:tc>
      </w:tr>
      <w:tr>
        <w:trPr>
          <w:trHeight w:val="184"/>
        </w:trPr>
        <w:tc>
          <w:tcPr>
            <w:tcW w:w="2380" w:type="dxa"/>
            <w:vAlign w:val="bottom"/>
            <w:tcBorders>
              <w:top w:val="single" w:sz="8" w:color="auto"/>
              <w:left w:val="single" w:sz="8" w:color="auto"/>
              <w:right w:val="single" w:sz="8" w:color="auto"/>
            </w:tcBorders>
          </w:tcPr>
          <w:p>
            <w:pPr>
              <w:spacing w:after="0" w:line="185" w:lineRule="exact"/>
              <w:rPr>
                <w:sz w:val="20"/>
                <w:szCs w:val="20"/>
                <w:color w:val="auto"/>
              </w:rPr>
            </w:pPr>
            <w:r>
              <w:rPr>
                <w:rFonts w:ascii="Times New Roman" w:cs="Times New Roman" w:eastAsia="Times New Roman" w:hAnsi="Times New Roman"/>
                <w:sz w:val="17"/>
                <w:szCs w:val="17"/>
                <w:b w:val="1"/>
                <w:bCs w:val="1"/>
                <w:color w:val="auto"/>
              </w:rPr>
              <w:t>Annual Incentive</w:t>
            </w:r>
          </w:p>
        </w:tc>
        <w:tc>
          <w:tcPr>
            <w:tcW w:w="5480" w:type="dxa"/>
            <w:vAlign w:val="bottom"/>
            <w:tcBorders>
              <w:top w:val="single" w:sz="8" w:color="auto"/>
              <w:right w:val="single" w:sz="8" w:color="auto"/>
            </w:tcBorders>
          </w:tcPr>
          <w:p>
            <w:pPr>
              <w:ind w:left="40"/>
              <w:spacing w:after="0" w:line="185" w:lineRule="exact"/>
              <w:rPr>
                <w:sz w:val="20"/>
                <w:szCs w:val="20"/>
                <w:color w:val="auto"/>
              </w:rPr>
            </w:pPr>
            <w:r>
              <w:rPr>
                <w:rFonts w:ascii="Times New Roman" w:cs="Times New Roman" w:eastAsia="Times New Roman" w:hAnsi="Times New Roman"/>
                <w:sz w:val="17"/>
                <w:szCs w:val="17"/>
                <w:color w:val="auto"/>
              </w:rPr>
              <w:t>We design our variable pay program to be both reasonable and competitive in</w:t>
            </w:r>
          </w:p>
        </w:tc>
      </w:tr>
      <w:tr>
        <w:trPr>
          <w:trHeight w:val="210"/>
        </w:trPr>
        <w:tc>
          <w:tcPr>
            <w:tcW w:w="2380" w:type="dxa"/>
            <w:vAlign w:val="bottom"/>
            <w:tcBorders>
              <w:left w:val="single" w:sz="8" w:color="auto"/>
              <w:right w:val="single" w:sz="8" w:color="auto"/>
            </w:tcBorders>
          </w:tcPr>
          <w:p>
            <w:pPr>
              <w:spacing w:after="0"/>
              <w:rPr>
                <w:sz w:val="18"/>
                <w:szCs w:val="18"/>
                <w:color w:val="auto"/>
              </w:rPr>
            </w:pPr>
          </w:p>
        </w:tc>
        <w:tc>
          <w:tcPr>
            <w:tcW w:w="54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relation to the market. Our senior management incentive bonus program is</w:t>
            </w:r>
          </w:p>
        </w:tc>
      </w:tr>
      <w:tr>
        <w:trPr>
          <w:trHeight w:val="210"/>
        </w:trPr>
        <w:tc>
          <w:tcPr>
            <w:tcW w:w="2380" w:type="dxa"/>
            <w:vAlign w:val="bottom"/>
            <w:tcBorders>
              <w:left w:val="single" w:sz="8" w:color="auto"/>
              <w:right w:val="single" w:sz="8" w:color="auto"/>
            </w:tcBorders>
          </w:tcPr>
          <w:p>
            <w:pPr>
              <w:spacing w:after="0"/>
              <w:rPr>
                <w:sz w:val="18"/>
                <w:szCs w:val="18"/>
                <w:color w:val="auto"/>
              </w:rPr>
            </w:pPr>
          </w:p>
        </w:tc>
        <w:tc>
          <w:tcPr>
            <w:tcW w:w="54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designed to motivate our NEOs to achieve business goals and to align</w:t>
            </w:r>
          </w:p>
        </w:tc>
      </w:tr>
      <w:tr>
        <w:trPr>
          <w:trHeight w:val="210"/>
        </w:trPr>
        <w:tc>
          <w:tcPr>
            <w:tcW w:w="2380" w:type="dxa"/>
            <w:vAlign w:val="bottom"/>
            <w:tcBorders>
              <w:left w:val="single" w:sz="8" w:color="auto"/>
              <w:right w:val="single" w:sz="8" w:color="auto"/>
            </w:tcBorders>
          </w:tcPr>
          <w:p>
            <w:pPr>
              <w:spacing w:after="0"/>
              <w:rPr>
                <w:sz w:val="18"/>
                <w:szCs w:val="18"/>
                <w:color w:val="auto"/>
              </w:rPr>
            </w:pPr>
          </w:p>
        </w:tc>
        <w:tc>
          <w:tcPr>
            <w:tcW w:w="54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payouts with actual results. The variable pay incentives are based on a</w:t>
            </w:r>
          </w:p>
        </w:tc>
      </w:tr>
      <w:tr>
        <w:trPr>
          <w:trHeight w:val="210"/>
        </w:trPr>
        <w:tc>
          <w:tcPr>
            <w:tcW w:w="2380" w:type="dxa"/>
            <w:vAlign w:val="bottom"/>
            <w:tcBorders>
              <w:left w:val="single" w:sz="8" w:color="auto"/>
              <w:right w:val="single" w:sz="8" w:color="auto"/>
            </w:tcBorders>
          </w:tcPr>
          <w:p>
            <w:pPr>
              <w:spacing w:after="0"/>
              <w:rPr>
                <w:sz w:val="18"/>
                <w:szCs w:val="18"/>
                <w:color w:val="auto"/>
              </w:rPr>
            </w:pPr>
          </w:p>
        </w:tc>
        <w:tc>
          <w:tcPr>
            <w:tcW w:w="54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formulaic assessment of our financial performance and an assessment of</w:t>
            </w:r>
          </w:p>
        </w:tc>
      </w:tr>
      <w:tr>
        <w:trPr>
          <w:trHeight w:val="210"/>
        </w:trPr>
        <w:tc>
          <w:tcPr>
            <w:tcW w:w="2380" w:type="dxa"/>
            <w:vAlign w:val="bottom"/>
            <w:tcBorders>
              <w:left w:val="single" w:sz="8" w:color="auto"/>
              <w:right w:val="single" w:sz="8" w:color="auto"/>
            </w:tcBorders>
          </w:tcPr>
          <w:p>
            <w:pPr>
              <w:spacing w:after="0"/>
              <w:rPr>
                <w:sz w:val="18"/>
                <w:szCs w:val="18"/>
                <w:color w:val="auto"/>
              </w:rPr>
            </w:pPr>
          </w:p>
        </w:tc>
        <w:tc>
          <w:tcPr>
            <w:tcW w:w="54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individual performance. A factor in this evaluation is our executive “peer</w:t>
            </w:r>
          </w:p>
        </w:tc>
      </w:tr>
      <w:tr>
        <w:trPr>
          <w:trHeight w:val="210"/>
        </w:trPr>
        <w:tc>
          <w:tcPr>
            <w:tcW w:w="2380" w:type="dxa"/>
            <w:vAlign w:val="bottom"/>
            <w:tcBorders>
              <w:left w:val="single" w:sz="8" w:color="auto"/>
              <w:right w:val="single" w:sz="8" w:color="auto"/>
            </w:tcBorders>
          </w:tcPr>
          <w:p>
            <w:pPr>
              <w:spacing w:after="0"/>
              <w:rPr>
                <w:sz w:val="18"/>
                <w:szCs w:val="18"/>
                <w:color w:val="auto"/>
              </w:rPr>
            </w:pPr>
          </w:p>
        </w:tc>
        <w:tc>
          <w:tcPr>
            <w:tcW w:w="54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review” process, in which our broader executive team reviews the</w:t>
            </w:r>
          </w:p>
        </w:tc>
      </w:tr>
      <w:tr>
        <w:trPr>
          <w:trHeight w:val="210"/>
        </w:trPr>
        <w:tc>
          <w:tcPr>
            <w:tcW w:w="2380" w:type="dxa"/>
            <w:vAlign w:val="bottom"/>
            <w:tcBorders>
              <w:left w:val="single" w:sz="8" w:color="auto"/>
              <w:right w:val="single" w:sz="8" w:color="auto"/>
            </w:tcBorders>
          </w:tcPr>
          <w:p>
            <w:pPr>
              <w:spacing w:after="0"/>
              <w:rPr>
                <w:sz w:val="18"/>
                <w:szCs w:val="18"/>
                <w:color w:val="auto"/>
              </w:rPr>
            </w:pPr>
          </w:p>
        </w:tc>
        <w:tc>
          <w:tcPr>
            <w:tcW w:w="54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performance of the other members of the team, including certain of the</w:t>
            </w:r>
          </w:p>
        </w:tc>
      </w:tr>
      <w:tr>
        <w:trPr>
          <w:trHeight w:val="210"/>
        </w:trPr>
        <w:tc>
          <w:tcPr>
            <w:tcW w:w="2380" w:type="dxa"/>
            <w:vAlign w:val="bottom"/>
            <w:tcBorders>
              <w:left w:val="single" w:sz="8" w:color="auto"/>
              <w:right w:val="single" w:sz="8" w:color="auto"/>
            </w:tcBorders>
          </w:tcPr>
          <w:p>
            <w:pPr>
              <w:spacing w:after="0"/>
              <w:rPr>
                <w:sz w:val="18"/>
                <w:szCs w:val="18"/>
                <w:color w:val="auto"/>
              </w:rPr>
            </w:pPr>
          </w:p>
        </w:tc>
        <w:tc>
          <w:tcPr>
            <w:tcW w:w="54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NEOs, on a quarterly basis, and their confidential feedback is reviewed by</w:t>
            </w:r>
          </w:p>
        </w:tc>
      </w:tr>
      <w:tr>
        <w:trPr>
          <w:trHeight w:val="210"/>
        </w:trPr>
        <w:tc>
          <w:tcPr>
            <w:tcW w:w="2380" w:type="dxa"/>
            <w:vAlign w:val="bottom"/>
            <w:tcBorders>
              <w:left w:val="single" w:sz="8" w:color="auto"/>
              <w:right w:val="single" w:sz="8" w:color="auto"/>
            </w:tcBorders>
          </w:tcPr>
          <w:p>
            <w:pPr>
              <w:spacing w:after="0"/>
              <w:rPr>
                <w:sz w:val="18"/>
                <w:szCs w:val="18"/>
                <w:color w:val="auto"/>
              </w:rPr>
            </w:pPr>
          </w:p>
        </w:tc>
        <w:tc>
          <w:tcPr>
            <w:tcW w:w="54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the Human Resources Committee when considering individual variable pay</w:t>
            </w:r>
          </w:p>
        </w:tc>
      </w:tr>
      <w:tr>
        <w:trPr>
          <w:trHeight w:val="210"/>
        </w:trPr>
        <w:tc>
          <w:tcPr>
            <w:tcW w:w="2380" w:type="dxa"/>
            <w:vAlign w:val="bottom"/>
            <w:tcBorders>
              <w:left w:val="single" w:sz="8" w:color="auto"/>
              <w:right w:val="single" w:sz="8" w:color="auto"/>
            </w:tcBorders>
          </w:tcPr>
          <w:p>
            <w:pPr>
              <w:spacing w:after="0"/>
              <w:rPr>
                <w:sz w:val="18"/>
                <w:szCs w:val="18"/>
                <w:color w:val="auto"/>
              </w:rPr>
            </w:pPr>
          </w:p>
        </w:tc>
        <w:tc>
          <w:tcPr>
            <w:tcW w:w="54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incentives. We believe the executive peer review motivates executive officers</w:t>
            </w:r>
          </w:p>
        </w:tc>
      </w:tr>
      <w:tr>
        <w:trPr>
          <w:trHeight w:val="210"/>
        </w:trPr>
        <w:tc>
          <w:tcPr>
            <w:tcW w:w="2380" w:type="dxa"/>
            <w:vAlign w:val="bottom"/>
            <w:tcBorders>
              <w:left w:val="single" w:sz="8" w:color="auto"/>
              <w:right w:val="single" w:sz="8" w:color="auto"/>
            </w:tcBorders>
          </w:tcPr>
          <w:p>
            <w:pPr>
              <w:spacing w:after="0"/>
              <w:rPr>
                <w:sz w:val="18"/>
                <w:szCs w:val="18"/>
                <w:color w:val="auto"/>
              </w:rPr>
            </w:pPr>
          </w:p>
        </w:tc>
        <w:tc>
          <w:tcPr>
            <w:tcW w:w="54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to work together in a productive fashion. The Human Resources Committee</w:t>
            </w:r>
          </w:p>
        </w:tc>
      </w:tr>
      <w:tr>
        <w:trPr>
          <w:trHeight w:val="210"/>
        </w:trPr>
        <w:tc>
          <w:tcPr>
            <w:tcW w:w="2380" w:type="dxa"/>
            <w:vAlign w:val="bottom"/>
            <w:tcBorders>
              <w:left w:val="single" w:sz="8" w:color="auto"/>
              <w:right w:val="single" w:sz="8" w:color="auto"/>
            </w:tcBorders>
          </w:tcPr>
          <w:p>
            <w:pPr>
              <w:spacing w:after="0"/>
              <w:rPr>
                <w:sz w:val="18"/>
                <w:szCs w:val="18"/>
                <w:color w:val="auto"/>
              </w:rPr>
            </w:pPr>
          </w:p>
        </w:tc>
        <w:tc>
          <w:tcPr>
            <w:tcW w:w="54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has the discretion to increase or decrease a payout under our variable pay</w:t>
            </w:r>
          </w:p>
        </w:tc>
      </w:tr>
      <w:tr>
        <w:trPr>
          <w:trHeight w:val="210"/>
        </w:trPr>
        <w:tc>
          <w:tcPr>
            <w:tcW w:w="2380" w:type="dxa"/>
            <w:vAlign w:val="bottom"/>
            <w:tcBorders>
              <w:left w:val="single" w:sz="8" w:color="auto"/>
              <w:right w:val="single" w:sz="8" w:color="auto"/>
            </w:tcBorders>
          </w:tcPr>
          <w:p>
            <w:pPr>
              <w:spacing w:after="0"/>
              <w:rPr>
                <w:sz w:val="18"/>
                <w:szCs w:val="18"/>
                <w:color w:val="auto"/>
              </w:rPr>
            </w:pPr>
          </w:p>
        </w:tc>
        <w:tc>
          <w:tcPr>
            <w:tcW w:w="54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program at any time in the event that it determines that circumstances</w:t>
            </w:r>
          </w:p>
        </w:tc>
      </w:tr>
      <w:tr>
        <w:trPr>
          <w:trHeight w:val="228"/>
        </w:trPr>
        <w:tc>
          <w:tcPr>
            <w:tcW w:w="2380" w:type="dxa"/>
            <w:vAlign w:val="bottom"/>
            <w:tcBorders>
              <w:left w:val="single" w:sz="8" w:color="auto"/>
              <w:right w:val="single" w:sz="8" w:color="auto"/>
            </w:tcBorders>
          </w:tcPr>
          <w:p>
            <w:pPr>
              <w:spacing w:after="0"/>
              <w:rPr>
                <w:sz w:val="19"/>
                <w:szCs w:val="19"/>
                <w:color w:val="auto"/>
              </w:rPr>
            </w:pPr>
          </w:p>
        </w:tc>
        <w:tc>
          <w:tcPr>
            <w:tcW w:w="54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warrant adjustment.</w:t>
            </w:r>
          </w:p>
        </w:tc>
      </w:tr>
      <w:tr>
        <w:trPr>
          <w:trHeight w:val="40"/>
        </w:trPr>
        <w:tc>
          <w:tcPr>
            <w:tcW w:w="2380" w:type="dxa"/>
            <w:vAlign w:val="bottom"/>
            <w:tcBorders>
              <w:left w:val="single" w:sz="8" w:color="auto"/>
              <w:bottom w:val="single" w:sz="8" w:color="auto"/>
              <w:right w:val="single" w:sz="8" w:color="auto"/>
            </w:tcBorders>
          </w:tcPr>
          <w:p>
            <w:pPr>
              <w:spacing w:after="0"/>
              <w:rPr>
                <w:sz w:val="3"/>
                <w:szCs w:val="3"/>
                <w:color w:val="auto"/>
              </w:rPr>
            </w:pPr>
          </w:p>
        </w:tc>
        <w:tc>
          <w:tcPr>
            <w:tcW w:w="5480" w:type="dxa"/>
            <w:vAlign w:val="bottom"/>
            <w:tcBorders>
              <w:bottom w:val="single" w:sz="8" w:color="auto"/>
              <w:right w:val="single" w:sz="8" w:color="auto"/>
            </w:tcBorders>
          </w:tcPr>
          <w:p>
            <w:pPr>
              <w:spacing w:after="0"/>
              <w:rPr>
                <w:sz w:val="3"/>
                <w:szCs w:val="3"/>
                <w:color w:val="auto"/>
              </w:rPr>
            </w:pPr>
          </w:p>
        </w:tc>
      </w:tr>
      <w:tr>
        <w:trPr>
          <w:trHeight w:val="184"/>
        </w:trPr>
        <w:tc>
          <w:tcPr>
            <w:tcW w:w="2380" w:type="dxa"/>
            <w:vAlign w:val="bottom"/>
            <w:tcBorders>
              <w:left w:val="single" w:sz="8" w:color="auto"/>
              <w:right w:val="single" w:sz="8" w:color="auto"/>
            </w:tcBorders>
            <w:shd w:val="clear" w:color="auto" w:fill="CDE9F6"/>
          </w:tcPr>
          <w:p>
            <w:pPr>
              <w:spacing w:after="0" w:line="185" w:lineRule="exact"/>
              <w:rPr>
                <w:sz w:val="20"/>
                <w:szCs w:val="20"/>
                <w:color w:val="auto"/>
              </w:rPr>
            </w:pPr>
            <w:r>
              <w:rPr>
                <w:rFonts w:ascii="Times New Roman" w:cs="Times New Roman" w:eastAsia="Times New Roman" w:hAnsi="Times New Roman"/>
                <w:sz w:val="17"/>
                <w:szCs w:val="17"/>
                <w:b w:val="1"/>
                <w:bCs w:val="1"/>
                <w:color w:val="auto"/>
              </w:rPr>
              <w:t>Long-Term Incentive Awards</w:t>
            </w:r>
          </w:p>
        </w:tc>
        <w:tc>
          <w:tcPr>
            <w:tcW w:w="5480" w:type="dxa"/>
            <w:vAlign w:val="bottom"/>
            <w:tcBorders>
              <w:right w:val="single" w:sz="8" w:color="auto"/>
            </w:tcBorders>
            <w:shd w:val="clear" w:color="auto" w:fill="CDE9F6"/>
          </w:tcPr>
          <w:p>
            <w:pPr>
              <w:ind w:left="40"/>
              <w:spacing w:after="0" w:line="185" w:lineRule="exact"/>
              <w:rPr>
                <w:sz w:val="20"/>
                <w:szCs w:val="20"/>
                <w:color w:val="auto"/>
              </w:rPr>
            </w:pPr>
            <w:r>
              <w:rPr>
                <w:rFonts w:ascii="Times New Roman" w:cs="Times New Roman" w:eastAsia="Times New Roman" w:hAnsi="Times New Roman"/>
                <w:sz w:val="17"/>
                <w:szCs w:val="17"/>
                <w:color w:val="auto"/>
              </w:rPr>
              <w:t>The Human Resources Committee designs our equity-based awards to be</w:t>
            </w:r>
          </w:p>
        </w:tc>
      </w:tr>
      <w:tr>
        <w:trPr>
          <w:trHeight w:val="210"/>
        </w:trPr>
        <w:tc>
          <w:tcPr>
            <w:tcW w:w="2380" w:type="dxa"/>
            <w:vAlign w:val="bottom"/>
            <w:tcBorders>
              <w:left w:val="single" w:sz="8" w:color="auto"/>
              <w:right w:val="single" w:sz="8" w:color="auto"/>
            </w:tcBorders>
            <w:shd w:val="clear" w:color="auto" w:fill="CDE9F6"/>
          </w:tcPr>
          <w:p>
            <w:pPr>
              <w:spacing w:after="0"/>
              <w:rPr>
                <w:sz w:val="18"/>
                <w:szCs w:val="18"/>
                <w:color w:val="auto"/>
              </w:rPr>
            </w:pPr>
          </w:p>
        </w:tc>
        <w:tc>
          <w:tcPr>
            <w:tcW w:w="5480" w:type="dxa"/>
            <w:vAlign w:val="bottom"/>
            <w:tcBorders>
              <w:right w:val="single" w:sz="8" w:color="auto"/>
            </w:tcBorders>
            <w:shd w:val="clear" w:color="auto" w:fill="CDE9F6"/>
          </w:tcPr>
          <w:p>
            <w:pPr>
              <w:ind w:left="40"/>
              <w:spacing w:after="0"/>
              <w:rPr>
                <w:sz w:val="20"/>
                <w:szCs w:val="20"/>
                <w:color w:val="auto"/>
              </w:rPr>
            </w:pPr>
            <w:r>
              <w:rPr>
                <w:rFonts w:ascii="Times New Roman" w:cs="Times New Roman" w:eastAsia="Times New Roman" w:hAnsi="Times New Roman"/>
                <w:sz w:val="17"/>
                <w:szCs w:val="17"/>
                <w:color w:val="auto"/>
              </w:rPr>
              <w:t>both reasonable and competitive in relation to the market. As described in</w:t>
            </w:r>
          </w:p>
        </w:tc>
      </w:tr>
      <w:tr>
        <w:trPr>
          <w:trHeight w:val="210"/>
        </w:trPr>
        <w:tc>
          <w:tcPr>
            <w:tcW w:w="2380" w:type="dxa"/>
            <w:vAlign w:val="bottom"/>
            <w:tcBorders>
              <w:left w:val="single" w:sz="8" w:color="auto"/>
              <w:right w:val="single" w:sz="8" w:color="auto"/>
            </w:tcBorders>
            <w:shd w:val="clear" w:color="auto" w:fill="CDE9F6"/>
          </w:tcPr>
          <w:p>
            <w:pPr>
              <w:spacing w:after="0"/>
              <w:rPr>
                <w:sz w:val="18"/>
                <w:szCs w:val="18"/>
                <w:color w:val="auto"/>
              </w:rPr>
            </w:pPr>
          </w:p>
        </w:tc>
        <w:tc>
          <w:tcPr>
            <w:tcW w:w="5480" w:type="dxa"/>
            <w:vAlign w:val="bottom"/>
            <w:tcBorders>
              <w:right w:val="single" w:sz="8" w:color="auto"/>
            </w:tcBorders>
            <w:shd w:val="clear" w:color="auto" w:fill="CDE9F6"/>
          </w:tcPr>
          <w:p>
            <w:pPr>
              <w:ind w:left="40"/>
              <w:spacing w:after="0"/>
              <w:rPr>
                <w:sz w:val="20"/>
                <w:szCs w:val="20"/>
                <w:color w:val="auto"/>
              </w:rPr>
            </w:pPr>
            <w:r>
              <w:rPr>
                <w:rFonts w:ascii="Times New Roman" w:cs="Times New Roman" w:eastAsia="Times New Roman" w:hAnsi="Times New Roman"/>
                <w:sz w:val="17"/>
                <w:szCs w:val="17"/>
                <w:color w:val="auto"/>
              </w:rPr>
              <w:t>more detail below, we design our equity-based awards to help retain talent</w:t>
            </w:r>
          </w:p>
        </w:tc>
      </w:tr>
      <w:tr>
        <w:trPr>
          <w:trHeight w:val="210"/>
        </w:trPr>
        <w:tc>
          <w:tcPr>
            <w:tcW w:w="2380" w:type="dxa"/>
            <w:vAlign w:val="bottom"/>
            <w:tcBorders>
              <w:left w:val="single" w:sz="8" w:color="auto"/>
              <w:right w:val="single" w:sz="8" w:color="auto"/>
            </w:tcBorders>
            <w:shd w:val="clear" w:color="auto" w:fill="CDE9F6"/>
          </w:tcPr>
          <w:p>
            <w:pPr>
              <w:spacing w:after="0"/>
              <w:rPr>
                <w:sz w:val="18"/>
                <w:szCs w:val="18"/>
                <w:color w:val="auto"/>
              </w:rPr>
            </w:pPr>
          </w:p>
        </w:tc>
        <w:tc>
          <w:tcPr>
            <w:tcW w:w="5480" w:type="dxa"/>
            <w:vAlign w:val="bottom"/>
            <w:tcBorders>
              <w:right w:val="single" w:sz="8" w:color="auto"/>
            </w:tcBorders>
            <w:shd w:val="clear" w:color="auto" w:fill="CDE9F6"/>
          </w:tcPr>
          <w:p>
            <w:pPr>
              <w:ind w:left="40"/>
              <w:spacing w:after="0"/>
              <w:rPr>
                <w:sz w:val="20"/>
                <w:szCs w:val="20"/>
                <w:color w:val="auto"/>
              </w:rPr>
            </w:pPr>
            <w:r>
              <w:rPr>
                <w:rFonts w:ascii="Times New Roman" w:cs="Times New Roman" w:eastAsia="Times New Roman" w:hAnsi="Times New Roman"/>
                <w:sz w:val="17"/>
                <w:szCs w:val="17"/>
                <w:color w:val="auto"/>
              </w:rPr>
              <w:t>over a period of time and to provide our NEOs with a long-term reward that</w:t>
            </w:r>
          </w:p>
        </w:tc>
      </w:tr>
      <w:tr>
        <w:trPr>
          <w:trHeight w:val="228"/>
        </w:trPr>
        <w:tc>
          <w:tcPr>
            <w:tcW w:w="2380" w:type="dxa"/>
            <w:vAlign w:val="bottom"/>
            <w:tcBorders>
              <w:left w:val="single" w:sz="8" w:color="auto"/>
              <w:right w:val="single" w:sz="8" w:color="auto"/>
            </w:tcBorders>
            <w:shd w:val="clear" w:color="auto" w:fill="CDE9F6"/>
          </w:tcPr>
          <w:p>
            <w:pPr>
              <w:spacing w:after="0"/>
              <w:rPr>
                <w:sz w:val="19"/>
                <w:szCs w:val="19"/>
                <w:color w:val="auto"/>
              </w:rPr>
            </w:pPr>
          </w:p>
        </w:tc>
        <w:tc>
          <w:tcPr>
            <w:tcW w:w="5480" w:type="dxa"/>
            <w:vAlign w:val="bottom"/>
            <w:tcBorders>
              <w:right w:val="single" w:sz="8" w:color="auto"/>
            </w:tcBorders>
            <w:shd w:val="clear" w:color="auto" w:fill="CDE9F6"/>
          </w:tcPr>
          <w:p>
            <w:pPr>
              <w:ind w:left="40"/>
              <w:spacing w:after="0"/>
              <w:rPr>
                <w:sz w:val="20"/>
                <w:szCs w:val="20"/>
                <w:color w:val="auto"/>
              </w:rPr>
            </w:pPr>
            <w:r>
              <w:rPr>
                <w:rFonts w:ascii="Times New Roman" w:cs="Times New Roman" w:eastAsia="Times New Roman" w:hAnsi="Times New Roman"/>
                <w:sz w:val="17"/>
                <w:szCs w:val="17"/>
                <w:color w:val="auto"/>
              </w:rPr>
              <w:t>aligns their interests with those of our stockholders.</w:t>
            </w:r>
          </w:p>
        </w:tc>
      </w:tr>
      <w:tr>
        <w:trPr>
          <w:trHeight w:val="362"/>
        </w:trPr>
        <w:tc>
          <w:tcPr>
            <w:tcW w:w="2380" w:type="dxa"/>
            <w:vAlign w:val="bottom"/>
            <w:tcBorders>
              <w:left w:val="single" w:sz="8" w:color="auto"/>
              <w:right w:val="single" w:sz="8" w:color="auto"/>
            </w:tcBorders>
            <w:shd w:val="clear" w:color="auto" w:fill="CDE9F6"/>
          </w:tcPr>
          <w:p>
            <w:pPr>
              <w:spacing w:after="0"/>
              <w:rPr>
                <w:sz w:val="24"/>
                <w:szCs w:val="24"/>
                <w:color w:val="auto"/>
              </w:rPr>
            </w:pPr>
          </w:p>
        </w:tc>
        <w:tc>
          <w:tcPr>
            <w:tcW w:w="5480" w:type="dxa"/>
            <w:vAlign w:val="bottom"/>
            <w:tcBorders>
              <w:right w:val="single" w:sz="8" w:color="auto"/>
            </w:tcBorders>
            <w:shd w:val="clear" w:color="auto" w:fill="CDE9F6"/>
          </w:tcPr>
          <w:p>
            <w:pPr>
              <w:ind w:left="40"/>
              <w:spacing w:after="0"/>
              <w:rPr>
                <w:sz w:val="20"/>
                <w:szCs w:val="20"/>
                <w:color w:val="auto"/>
              </w:rPr>
            </w:pPr>
            <w:r>
              <w:rPr>
                <w:rFonts w:ascii="Times New Roman" w:cs="Times New Roman" w:eastAsia="Times New Roman" w:hAnsi="Times New Roman"/>
                <w:sz w:val="17"/>
                <w:szCs w:val="17"/>
                <w:color w:val="auto"/>
              </w:rPr>
              <w:t>The Human Resources Committee approved awards of RSUs and PSUs to</w:t>
            </w:r>
          </w:p>
        </w:tc>
      </w:tr>
      <w:tr>
        <w:trPr>
          <w:trHeight w:val="210"/>
        </w:trPr>
        <w:tc>
          <w:tcPr>
            <w:tcW w:w="2380" w:type="dxa"/>
            <w:vAlign w:val="bottom"/>
            <w:tcBorders>
              <w:left w:val="single" w:sz="8" w:color="auto"/>
              <w:right w:val="single" w:sz="8" w:color="auto"/>
            </w:tcBorders>
            <w:shd w:val="clear" w:color="auto" w:fill="CDE9F6"/>
          </w:tcPr>
          <w:p>
            <w:pPr>
              <w:spacing w:after="0"/>
              <w:rPr>
                <w:sz w:val="18"/>
                <w:szCs w:val="18"/>
                <w:color w:val="auto"/>
              </w:rPr>
            </w:pPr>
          </w:p>
        </w:tc>
        <w:tc>
          <w:tcPr>
            <w:tcW w:w="5480" w:type="dxa"/>
            <w:vAlign w:val="bottom"/>
            <w:tcBorders>
              <w:right w:val="single" w:sz="8" w:color="auto"/>
            </w:tcBorders>
            <w:shd w:val="clear" w:color="auto" w:fill="CDE9F6"/>
          </w:tcPr>
          <w:p>
            <w:pPr>
              <w:ind w:left="40"/>
              <w:spacing w:after="0"/>
              <w:rPr>
                <w:sz w:val="20"/>
                <w:szCs w:val="20"/>
                <w:color w:val="auto"/>
              </w:rPr>
            </w:pPr>
            <w:r>
              <w:rPr>
                <w:rFonts w:ascii="Times New Roman" w:cs="Times New Roman" w:eastAsia="Times New Roman" w:hAnsi="Times New Roman"/>
                <w:sz w:val="17"/>
                <w:szCs w:val="17"/>
                <w:color w:val="auto"/>
              </w:rPr>
              <w:t>our NEOs in January 2025, which were granted effective February 2025. The</w:t>
            </w:r>
          </w:p>
        </w:tc>
      </w:tr>
      <w:tr>
        <w:trPr>
          <w:trHeight w:val="210"/>
        </w:trPr>
        <w:tc>
          <w:tcPr>
            <w:tcW w:w="2380" w:type="dxa"/>
            <w:vAlign w:val="bottom"/>
            <w:tcBorders>
              <w:left w:val="single" w:sz="8" w:color="auto"/>
              <w:right w:val="single" w:sz="8" w:color="auto"/>
            </w:tcBorders>
            <w:shd w:val="clear" w:color="auto" w:fill="CDE9F6"/>
          </w:tcPr>
          <w:p>
            <w:pPr>
              <w:spacing w:after="0"/>
              <w:rPr>
                <w:sz w:val="18"/>
                <w:szCs w:val="18"/>
                <w:color w:val="auto"/>
              </w:rPr>
            </w:pPr>
          </w:p>
        </w:tc>
        <w:tc>
          <w:tcPr>
            <w:tcW w:w="5480" w:type="dxa"/>
            <w:vAlign w:val="bottom"/>
            <w:tcBorders>
              <w:right w:val="single" w:sz="8" w:color="auto"/>
            </w:tcBorders>
            <w:shd w:val="clear" w:color="auto" w:fill="CDE9F6"/>
          </w:tcPr>
          <w:p>
            <w:pPr>
              <w:ind w:left="40"/>
              <w:spacing w:after="0"/>
              <w:rPr>
                <w:sz w:val="20"/>
                <w:szCs w:val="20"/>
                <w:color w:val="auto"/>
              </w:rPr>
            </w:pPr>
            <w:r>
              <w:rPr>
                <w:rFonts w:ascii="Times New Roman" w:cs="Times New Roman" w:eastAsia="Times New Roman" w:hAnsi="Times New Roman"/>
                <w:sz w:val="17"/>
                <w:szCs w:val="17"/>
                <w:color w:val="auto"/>
              </w:rPr>
              <w:t>Human Resources Committee approved awards of RSUs and PSUs to Ms.</w:t>
            </w:r>
          </w:p>
        </w:tc>
      </w:tr>
      <w:tr>
        <w:trPr>
          <w:trHeight w:val="210"/>
        </w:trPr>
        <w:tc>
          <w:tcPr>
            <w:tcW w:w="2380" w:type="dxa"/>
            <w:vAlign w:val="bottom"/>
            <w:tcBorders>
              <w:left w:val="single" w:sz="8" w:color="auto"/>
              <w:right w:val="single" w:sz="8" w:color="auto"/>
            </w:tcBorders>
            <w:shd w:val="clear" w:color="auto" w:fill="CDE9F6"/>
          </w:tcPr>
          <w:p>
            <w:pPr>
              <w:spacing w:after="0"/>
              <w:rPr>
                <w:sz w:val="18"/>
                <w:szCs w:val="18"/>
                <w:color w:val="auto"/>
              </w:rPr>
            </w:pPr>
          </w:p>
        </w:tc>
        <w:tc>
          <w:tcPr>
            <w:tcW w:w="5480" w:type="dxa"/>
            <w:vAlign w:val="bottom"/>
            <w:tcBorders>
              <w:right w:val="single" w:sz="8" w:color="auto"/>
            </w:tcBorders>
            <w:shd w:val="clear" w:color="auto" w:fill="CDE9F6"/>
          </w:tcPr>
          <w:p>
            <w:pPr>
              <w:ind w:left="40"/>
              <w:spacing w:after="0"/>
              <w:rPr>
                <w:sz w:val="20"/>
                <w:szCs w:val="20"/>
                <w:color w:val="auto"/>
              </w:rPr>
            </w:pPr>
            <w:r>
              <w:rPr>
                <w:rFonts w:ascii="Times New Roman" w:cs="Times New Roman" w:eastAsia="Times New Roman" w:hAnsi="Times New Roman"/>
                <w:sz w:val="17"/>
                <w:szCs w:val="17"/>
                <w:color w:val="auto"/>
              </w:rPr>
              <w:t>Ohlgart in July 2025, which were granted effective August 2025 in</w:t>
            </w:r>
          </w:p>
        </w:tc>
      </w:tr>
      <w:tr>
        <w:trPr>
          <w:trHeight w:val="228"/>
        </w:trPr>
        <w:tc>
          <w:tcPr>
            <w:tcW w:w="2380" w:type="dxa"/>
            <w:vAlign w:val="bottom"/>
            <w:tcBorders>
              <w:left w:val="single" w:sz="8" w:color="auto"/>
              <w:right w:val="single" w:sz="8" w:color="auto"/>
            </w:tcBorders>
            <w:shd w:val="clear" w:color="auto" w:fill="CDE9F6"/>
          </w:tcPr>
          <w:p>
            <w:pPr>
              <w:spacing w:after="0"/>
              <w:rPr>
                <w:sz w:val="19"/>
                <w:szCs w:val="19"/>
                <w:color w:val="auto"/>
              </w:rPr>
            </w:pPr>
          </w:p>
        </w:tc>
        <w:tc>
          <w:tcPr>
            <w:tcW w:w="5480" w:type="dxa"/>
            <w:vAlign w:val="bottom"/>
            <w:tcBorders>
              <w:right w:val="single" w:sz="8" w:color="auto"/>
            </w:tcBorders>
            <w:shd w:val="clear" w:color="auto" w:fill="CDE9F6"/>
          </w:tcPr>
          <w:p>
            <w:pPr>
              <w:ind w:left="40"/>
              <w:spacing w:after="0"/>
              <w:rPr>
                <w:sz w:val="20"/>
                <w:szCs w:val="20"/>
                <w:color w:val="auto"/>
              </w:rPr>
            </w:pPr>
            <w:r>
              <w:rPr>
                <w:rFonts w:ascii="Times New Roman" w:cs="Times New Roman" w:eastAsia="Times New Roman" w:hAnsi="Times New Roman"/>
                <w:sz w:val="17"/>
                <w:szCs w:val="17"/>
                <w:color w:val="auto"/>
              </w:rPr>
              <w:t>connection with Ms. Ohlgart’s appointment as our Chief Financial Officer.</w:t>
            </w:r>
          </w:p>
        </w:tc>
      </w:tr>
      <w:tr>
        <w:trPr>
          <w:trHeight w:val="375"/>
        </w:trPr>
        <w:tc>
          <w:tcPr>
            <w:tcW w:w="2380" w:type="dxa"/>
            <w:vAlign w:val="bottom"/>
            <w:tcBorders>
              <w:left w:val="single" w:sz="8" w:color="auto"/>
              <w:right w:val="single" w:sz="8" w:color="auto"/>
            </w:tcBorders>
            <w:shd w:val="clear" w:color="auto" w:fill="CDE9F6"/>
          </w:tcPr>
          <w:p>
            <w:pPr>
              <w:spacing w:after="0"/>
              <w:rPr>
                <w:sz w:val="24"/>
                <w:szCs w:val="24"/>
                <w:color w:val="auto"/>
              </w:rPr>
            </w:pPr>
          </w:p>
        </w:tc>
        <w:tc>
          <w:tcPr>
            <w:tcW w:w="5480" w:type="dxa"/>
            <w:vAlign w:val="bottom"/>
            <w:tcBorders>
              <w:right w:val="single" w:sz="8" w:color="auto"/>
            </w:tcBorders>
            <w:shd w:val="clear" w:color="auto" w:fill="CDE9F6"/>
          </w:tcPr>
          <w:p>
            <w:pPr>
              <w:ind w:left="40"/>
              <w:spacing w:after="0"/>
              <w:rPr>
                <w:sz w:val="20"/>
                <w:szCs w:val="20"/>
                <w:color w:val="auto"/>
              </w:rPr>
            </w:pPr>
            <w:r>
              <w:rPr>
                <w:rFonts w:ascii="Times New Roman" w:cs="Times New Roman" w:eastAsia="Times New Roman" w:hAnsi="Times New Roman"/>
                <w:sz w:val="17"/>
                <w:szCs w:val="17"/>
                <w:color w:val="auto"/>
              </w:rPr>
              <w:t>The RSUs represent a right to receive shares of our common stock upon</w:t>
            </w:r>
          </w:p>
        </w:tc>
      </w:tr>
      <w:tr>
        <w:trPr>
          <w:trHeight w:val="210"/>
        </w:trPr>
        <w:tc>
          <w:tcPr>
            <w:tcW w:w="2380" w:type="dxa"/>
            <w:vAlign w:val="bottom"/>
            <w:tcBorders>
              <w:left w:val="single" w:sz="8" w:color="auto"/>
              <w:right w:val="single" w:sz="8" w:color="auto"/>
            </w:tcBorders>
            <w:shd w:val="clear" w:color="auto" w:fill="CDE9F6"/>
          </w:tcPr>
          <w:p>
            <w:pPr>
              <w:spacing w:after="0"/>
              <w:rPr>
                <w:sz w:val="18"/>
                <w:szCs w:val="18"/>
                <w:color w:val="auto"/>
              </w:rPr>
            </w:pPr>
          </w:p>
        </w:tc>
        <w:tc>
          <w:tcPr>
            <w:tcW w:w="5480" w:type="dxa"/>
            <w:vAlign w:val="bottom"/>
            <w:tcBorders>
              <w:right w:val="single" w:sz="8" w:color="auto"/>
            </w:tcBorders>
            <w:shd w:val="clear" w:color="auto" w:fill="CDE9F6"/>
          </w:tcPr>
          <w:p>
            <w:pPr>
              <w:ind w:left="40"/>
              <w:spacing w:after="0"/>
              <w:rPr>
                <w:sz w:val="20"/>
                <w:szCs w:val="20"/>
                <w:color w:val="auto"/>
              </w:rPr>
            </w:pPr>
            <w:r>
              <w:rPr>
                <w:rFonts w:ascii="Times New Roman" w:cs="Times New Roman" w:eastAsia="Times New Roman" w:hAnsi="Times New Roman"/>
                <w:sz w:val="17"/>
                <w:szCs w:val="17"/>
                <w:color w:val="auto"/>
              </w:rPr>
              <w:t>time-based vesting. The PSUs also represent a right to receive shares of our</w:t>
            </w:r>
          </w:p>
        </w:tc>
      </w:tr>
      <w:tr>
        <w:trPr>
          <w:trHeight w:val="272"/>
        </w:trPr>
        <w:tc>
          <w:tcPr>
            <w:tcW w:w="2380" w:type="dxa"/>
            <w:vAlign w:val="bottom"/>
            <w:tcBorders>
              <w:left w:val="single" w:sz="8" w:color="auto"/>
              <w:bottom w:val="single" w:sz="8" w:color="CDE9F6"/>
              <w:right w:val="single" w:sz="8" w:color="auto"/>
            </w:tcBorders>
            <w:shd w:val="clear" w:color="auto" w:fill="CDE9F6"/>
          </w:tcPr>
          <w:p>
            <w:pPr>
              <w:spacing w:after="0"/>
              <w:rPr>
                <w:sz w:val="23"/>
                <w:szCs w:val="23"/>
                <w:color w:val="auto"/>
              </w:rPr>
            </w:pPr>
          </w:p>
        </w:tc>
        <w:tc>
          <w:tcPr>
            <w:tcW w:w="5480" w:type="dxa"/>
            <w:vAlign w:val="bottom"/>
            <w:tcBorders>
              <w:bottom w:val="single" w:sz="8" w:color="CDE9F6"/>
              <w:right w:val="single" w:sz="8" w:color="auto"/>
            </w:tcBorders>
            <w:shd w:val="clear" w:color="auto" w:fill="CDE9F6"/>
          </w:tcPr>
          <w:p>
            <w:pPr>
              <w:ind w:left="40"/>
              <w:spacing w:after="0"/>
              <w:rPr>
                <w:sz w:val="20"/>
                <w:szCs w:val="20"/>
                <w:color w:val="auto"/>
              </w:rPr>
            </w:pPr>
            <w:r>
              <w:rPr>
                <w:rFonts w:ascii="Times New Roman" w:cs="Times New Roman" w:eastAsia="Times New Roman" w:hAnsi="Times New Roman"/>
                <w:sz w:val="17"/>
                <w:szCs w:val="17"/>
                <w:color w:val="auto"/>
              </w:rPr>
              <w:t>common stock and vest based on relative TSR, as further described below.</w:t>
            </w:r>
          </w:p>
        </w:tc>
      </w:tr>
      <w:tr>
        <w:trPr>
          <w:trHeight w:val="184"/>
        </w:trPr>
        <w:tc>
          <w:tcPr>
            <w:tcW w:w="2380" w:type="dxa"/>
            <w:vAlign w:val="bottom"/>
            <w:tcBorders>
              <w:top w:val="single" w:sz="8" w:color="auto"/>
              <w:left w:val="single" w:sz="8" w:color="auto"/>
              <w:right w:val="single" w:sz="8" w:color="auto"/>
            </w:tcBorders>
          </w:tcPr>
          <w:p>
            <w:pPr>
              <w:spacing w:after="0" w:line="185" w:lineRule="exact"/>
              <w:rPr>
                <w:sz w:val="20"/>
                <w:szCs w:val="20"/>
                <w:color w:val="auto"/>
              </w:rPr>
            </w:pPr>
            <w:r>
              <w:rPr>
                <w:rFonts w:ascii="Times New Roman" w:cs="Times New Roman" w:eastAsia="Times New Roman" w:hAnsi="Times New Roman"/>
                <w:sz w:val="17"/>
                <w:szCs w:val="17"/>
                <w:b w:val="1"/>
                <w:bCs w:val="1"/>
                <w:color w:val="auto"/>
              </w:rPr>
              <w:t>Other Benefits</w:t>
            </w:r>
          </w:p>
        </w:tc>
        <w:tc>
          <w:tcPr>
            <w:tcW w:w="5480" w:type="dxa"/>
            <w:vAlign w:val="bottom"/>
            <w:tcBorders>
              <w:top w:val="single" w:sz="8" w:color="auto"/>
              <w:right w:val="single" w:sz="8" w:color="auto"/>
            </w:tcBorders>
          </w:tcPr>
          <w:p>
            <w:pPr>
              <w:ind w:left="40"/>
              <w:spacing w:after="0" w:line="185" w:lineRule="exact"/>
              <w:rPr>
                <w:sz w:val="20"/>
                <w:szCs w:val="20"/>
                <w:color w:val="auto"/>
              </w:rPr>
            </w:pPr>
            <w:r>
              <w:rPr>
                <w:rFonts w:ascii="Times New Roman" w:cs="Times New Roman" w:eastAsia="Times New Roman" w:hAnsi="Times New Roman"/>
                <w:sz w:val="17"/>
                <w:szCs w:val="17"/>
                <w:color w:val="auto"/>
              </w:rPr>
              <w:t>Our NEOs generally receive the same benefits as those provided to our other</w:t>
            </w:r>
          </w:p>
        </w:tc>
      </w:tr>
      <w:tr>
        <w:trPr>
          <w:trHeight w:val="210"/>
        </w:trPr>
        <w:tc>
          <w:tcPr>
            <w:tcW w:w="2380" w:type="dxa"/>
            <w:vAlign w:val="bottom"/>
            <w:tcBorders>
              <w:left w:val="single" w:sz="8" w:color="auto"/>
              <w:right w:val="single" w:sz="8" w:color="auto"/>
            </w:tcBorders>
          </w:tcPr>
          <w:p>
            <w:pPr>
              <w:spacing w:after="0"/>
              <w:rPr>
                <w:sz w:val="18"/>
                <w:szCs w:val="18"/>
                <w:color w:val="auto"/>
              </w:rPr>
            </w:pPr>
          </w:p>
        </w:tc>
        <w:tc>
          <w:tcPr>
            <w:tcW w:w="54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employees in their respective countries and do not receive any additional</w:t>
            </w:r>
          </w:p>
        </w:tc>
      </w:tr>
      <w:tr>
        <w:trPr>
          <w:trHeight w:val="210"/>
        </w:trPr>
        <w:tc>
          <w:tcPr>
            <w:tcW w:w="2380" w:type="dxa"/>
            <w:vAlign w:val="bottom"/>
            <w:tcBorders>
              <w:left w:val="single" w:sz="8" w:color="auto"/>
              <w:right w:val="single" w:sz="8" w:color="auto"/>
            </w:tcBorders>
          </w:tcPr>
          <w:p>
            <w:pPr>
              <w:spacing w:after="0"/>
              <w:rPr>
                <w:sz w:val="18"/>
                <w:szCs w:val="18"/>
                <w:color w:val="auto"/>
              </w:rPr>
            </w:pPr>
          </w:p>
        </w:tc>
        <w:tc>
          <w:tcPr>
            <w:tcW w:w="54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perquisites, including, where applicable: health and welfare benefits,</w:t>
            </w:r>
          </w:p>
        </w:tc>
      </w:tr>
      <w:tr>
        <w:trPr>
          <w:trHeight w:val="210"/>
        </w:trPr>
        <w:tc>
          <w:tcPr>
            <w:tcW w:w="2380" w:type="dxa"/>
            <w:vAlign w:val="bottom"/>
            <w:tcBorders>
              <w:left w:val="single" w:sz="8" w:color="auto"/>
              <w:right w:val="single" w:sz="8" w:color="auto"/>
            </w:tcBorders>
          </w:tcPr>
          <w:p>
            <w:pPr>
              <w:spacing w:after="0"/>
              <w:rPr>
                <w:sz w:val="18"/>
                <w:szCs w:val="18"/>
                <w:color w:val="auto"/>
              </w:rPr>
            </w:pPr>
          </w:p>
        </w:tc>
        <w:tc>
          <w:tcPr>
            <w:tcW w:w="54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including participation in our 401(k) retirement plan; group health insurance</w:t>
            </w:r>
          </w:p>
        </w:tc>
      </w:tr>
      <w:tr>
        <w:trPr>
          <w:trHeight w:val="228"/>
        </w:trPr>
        <w:tc>
          <w:tcPr>
            <w:tcW w:w="2380" w:type="dxa"/>
            <w:vAlign w:val="bottom"/>
            <w:tcBorders>
              <w:left w:val="single" w:sz="8" w:color="auto"/>
              <w:right w:val="single" w:sz="8" w:color="auto"/>
            </w:tcBorders>
          </w:tcPr>
          <w:p>
            <w:pPr>
              <w:spacing w:after="0"/>
              <w:rPr>
                <w:sz w:val="19"/>
                <w:szCs w:val="19"/>
                <w:color w:val="auto"/>
              </w:rPr>
            </w:pPr>
          </w:p>
        </w:tc>
        <w:tc>
          <w:tcPr>
            <w:tcW w:w="54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plans; and life, disability and accidental death insurance plans.</w:t>
            </w:r>
          </w:p>
        </w:tc>
      </w:tr>
      <w:tr>
        <w:trPr>
          <w:trHeight w:val="362"/>
        </w:trPr>
        <w:tc>
          <w:tcPr>
            <w:tcW w:w="2380" w:type="dxa"/>
            <w:vAlign w:val="bottom"/>
            <w:tcBorders>
              <w:left w:val="single" w:sz="8" w:color="auto"/>
              <w:right w:val="single" w:sz="8" w:color="auto"/>
            </w:tcBorders>
          </w:tcPr>
          <w:p>
            <w:pPr>
              <w:spacing w:after="0"/>
              <w:rPr>
                <w:sz w:val="24"/>
                <w:szCs w:val="24"/>
                <w:color w:val="auto"/>
              </w:rPr>
            </w:pPr>
          </w:p>
        </w:tc>
        <w:tc>
          <w:tcPr>
            <w:tcW w:w="54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In addition, to the employee benefits described above, ensuring the safety</w:t>
            </w:r>
          </w:p>
        </w:tc>
      </w:tr>
      <w:tr>
        <w:trPr>
          <w:trHeight w:val="210"/>
        </w:trPr>
        <w:tc>
          <w:tcPr>
            <w:tcW w:w="2380" w:type="dxa"/>
            <w:vAlign w:val="bottom"/>
            <w:tcBorders>
              <w:left w:val="single" w:sz="8" w:color="auto"/>
              <w:right w:val="single" w:sz="8" w:color="auto"/>
            </w:tcBorders>
          </w:tcPr>
          <w:p>
            <w:pPr>
              <w:spacing w:after="0"/>
              <w:rPr>
                <w:sz w:val="18"/>
                <w:szCs w:val="18"/>
                <w:color w:val="auto"/>
              </w:rPr>
            </w:pPr>
          </w:p>
        </w:tc>
        <w:tc>
          <w:tcPr>
            <w:tcW w:w="54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and security of our co-founders Messrs. Ken Xie and Michael Xie, is highly</w:t>
            </w:r>
          </w:p>
        </w:tc>
      </w:tr>
      <w:tr>
        <w:trPr>
          <w:trHeight w:val="210"/>
        </w:trPr>
        <w:tc>
          <w:tcPr>
            <w:tcW w:w="2380" w:type="dxa"/>
            <w:vAlign w:val="bottom"/>
            <w:tcBorders>
              <w:left w:val="single" w:sz="8" w:color="auto"/>
              <w:right w:val="single" w:sz="8" w:color="auto"/>
            </w:tcBorders>
          </w:tcPr>
          <w:p>
            <w:pPr>
              <w:spacing w:after="0"/>
              <w:rPr>
                <w:sz w:val="18"/>
                <w:szCs w:val="18"/>
                <w:color w:val="auto"/>
              </w:rPr>
            </w:pPr>
          </w:p>
        </w:tc>
        <w:tc>
          <w:tcPr>
            <w:tcW w:w="54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important to us. Beginning in 2025, Messrs. Ken and Michael Xie began</w:t>
            </w:r>
          </w:p>
        </w:tc>
      </w:tr>
      <w:tr>
        <w:trPr>
          <w:trHeight w:val="228"/>
        </w:trPr>
        <w:tc>
          <w:tcPr>
            <w:tcW w:w="2380" w:type="dxa"/>
            <w:vAlign w:val="bottom"/>
            <w:tcBorders>
              <w:left w:val="single" w:sz="8" w:color="auto"/>
              <w:right w:val="single" w:sz="8" w:color="auto"/>
            </w:tcBorders>
          </w:tcPr>
          <w:p>
            <w:pPr>
              <w:spacing w:after="0"/>
              <w:rPr>
                <w:sz w:val="19"/>
                <w:szCs w:val="19"/>
                <w:color w:val="auto"/>
              </w:rPr>
            </w:pPr>
          </w:p>
        </w:tc>
        <w:tc>
          <w:tcPr>
            <w:tcW w:w="54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receiving certain personal security services.</w:t>
            </w:r>
          </w:p>
        </w:tc>
      </w:tr>
      <w:tr>
        <w:trPr>
          <w:trHeight w:val="40"/>
        </w:trPr>
        <w:tc>
          <w:tcPr>
            <w:tcW w:w="2380" w:type="dxa"/>
            <w:vAlign w:val="bottom"/>
            <w:tcBorders>
              <w:left w:val="single" w:sz="8" w:color="auto"/>
              <w:bottom w:val="single" w:sz="8" w:color="auto"/>
              <w:right w:val="single" w:sz="8" w:color="auto"/>
            </w:tcBorders>
          </w:tcPr>
          <w:p>
            <w:pPr>
              <w:spacing w:after="0"/>
              <w:rPr>
                <w:sz w:val="3"/>
                <w:szCs w:val="3"/>
                <w:color w:val="auto"/>
              </w:rPr>
            </w:pPr>
          </w:p>
        </w:tc>
        <w:tc>
          <w:tcPr>
            <w:tcW w:w="5480" w:type="dxa"/>
            <w:vAlign w:val="bottom"/>
            <w:tcBorders>
              <w:bottom w:val="single" w:sz="8" w:color="auto"/>
              <w:right w:val="single" w:sz="8" w:color="auto"/>
            </w:tcBorders>
          </w:tcPr>
          <w:p>
            <w:pPr>
              <w:spacing w:after="0"/>
              <w:rPr>
                <w:sz w:val="3"/>
                <w:szCs w:val="3"/>
                <w:color w:val="auto"/>
              </w:rPr>
            </w:pPr>
          </w:p>
        </w:tc>
      </w:tr>
    </w:tbl>
    <w:p>
      <w:pPr>
        <w:spacing w:after="0" w:line="152" w:lineRule="exact"/>
        <w:rPr>
          <w:sz w:val="20"/>
          <w:szCs w:val="20"/>
          <w:color w:val="auto"/>
        </w:rPr>
      </w:pPr>
    </w:p>
    <w:p>
      <w:pPr>
        <w:sectPr>
          <w:pgSz w:w="11900" w:h="16838" w:orient="portrait"/>
          <w:cols w:equalWidth="0" w:num="1">
            <w:col w:w="9019"/>
          </w:cols>
          <w:pgMar w:left="1440" w:top="265" w:right="1440" w:bottom="1440" w:gutter="0" w:footer="0" w:header="0"/>
        </w:sectPr>
      </w:pPr>
    </w:p>
    <w:p>
      <w:pPr>
        <w:jc w:val="center"/>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39" w:name="page40"/>
    <w:bookmarkEnd w:id="39"/>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580" w:right="739" w:firstLine="349"/>
        <w:spacing w:after="0" w:line="267" w:lineRule="auto"/>
        <w:rPr>
          <w:sz w:val="20"/>
          <w:szCs w:val="20"/>
          <w:color w:val="auto"/>
        </w:rPr>
      </w:pPr>
      <w:r>
        <w:rPr>
          <w:rFonts w:ascii="Times New Roman" w:cs="Times New Roman" w:eastAsia="Times New Roman" w:hAnsi="Times New Roman"/>
          <w:sz w:val="17"/>
          <w:szCs w:val="17"/>
          <w:color w:val="auto"/>
        </w:rPr>
        <w:t>Our program is designed to balance rewards for both short-term operating results and long-term growth, and the Human Resources Committee evaluated NEO performance against key financial measures, strategic objectives and stockholder return. We delivered approximately 95% of total direct compensation for our CEO, and 93% of average total direct compensation for our other NEOs, through awards linked to our performance. The only fixed component of pay was base salary.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631190</wp:posOffset>
            </wp:positionH>
            <wp:positionV relativeFrom="paragraph">
              <wp:posOffset>78105</wp:posOffset>
            </wp:positionV>
            <wp:extent cx="4458335" cy="17881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4458335" cy="1788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580" w:right="779" w:firstLine="349"/>
        <w:spacing w:after="0" w:line="296" w:lineRule="auto"/>
        <w:rPr>
          <w:sz w:val="20"/>
          <w:szCs w:val="20"/>
          <w:color w:val="auto"/>
        </w:rPr>
      </w:pPr>
      <w:r>
        <w:rPr>
          <w:rFonts w:ascii="Times New Roman" w:cs="Times New Roman" w:eastAsia="Times New Roman" w:hAnsi="Times New Roman"/>
          <w:sz w:val="17"/>
          <w:szCs w:val="17"/>
          <w:color w:val="auto"/>
        </w:rPr>
        <w:t>In addition to our direct compensation elements, the following features of our compensation program are designed to align our executive team with stockholder interests and with market best practices:</w:t>
      </w:r>
    </w:p>
    <w:p>
      <w:pPr>
        <w:spacing w:after="0" w:line="110" w:lineRule="exact"/>
        <w:rPr>
          <w:sz w:val="20"/>
          <w:szCs w:val="20"/>
          <w:color w:val="auto"/>
        </w:rPr>
      </w:pPr>
    </w:p>
    <w:p>
      <w:pPr>
        <w:ind w:left="580"/>
        <w:spacing w:after="0"/>
        <w:tabs>
          <w:tab w:leader="none" w:pos="4480" w:val="left"/>
        </w:tabs>
        <w:rPr>
          <w:sz w:val="20"/>
          <w:szCs w:val="20"/>
          <w:color w:val="auto"/>
        </w:rPr>
      </w:pPr>
      <w:r>
        <w:rPr>
          <w:rFonts w:ascii="Times New Roman" w:cs="Times New Roman" w:eastAsia="Times New Roman" w:hAnsi="Times New Roman"/>
          <w:sz w:val="16"/>
          <w:szCs w:val="16"/>
          <w:b w:val="1"/>
          <w:bCs w:val="1"/>
          <w:color w:val="auto"/>
        </w:rPr>
        <w:t>What We Do</w:t>
      </w:r>
      <w:r>
        <w:rPr>
          <w:sz w:val="20"/>
          <w:szCs w:val="20"/>
          <w:color w:val="auto"/>
        </w:rPr>
        <w:tab/>
      </w:r>
      <w:r>
        <w:rPr>
          <w:rFonts w:ascii="Times New Roman" w:cs="Times New Roman" w:eastAsia="Times New Roman" w:hAnsi="Times New Roman"/>
          <w:sz w:val="15"/>
          <w:szCs w:val="15"/>
          <w:b w:val="1"/>
          <w:bCs w:val="1"/>
          <w:color w:val="auto"/>
        </w:rPr>
        <w:t>What We Don’t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-106045</wp:posOffset>
            </wp:positionV>
            <wp:extent cx="4990465" cy="1581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4990465" cy="15811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207" w:lineRule="exact"/>
        <w:rPr>
          <w:sz w:val="20"/>
          <w:szCs w:val="20"/>
          <w:color w:val="auto"/>
        </w:rPr>
      </w:pPr>
    </w:p>
    <w:p>
      <w:pPr>
        <w:ind w:left="780" w:hanging="206"/>
        <w:spacing w:after="0" w:line="267" w:lineRule="auto"/>
        <w:tabs>
          <w:tab w:leader="none" w:pos="762"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significant portion of our executive compensation program is not guaranteed and is dependent upon stock price appreciation or other variable, at-risk, pay components that are disclosed to our stockholders.</w:t>
      </w:r>
    </w:p>
    <w:p>
      <w:pPr>
        <w:spacing w:after="0" w:line="91" w:lineRule="exact"/>
        <w:rPr>
          <w:rFonts w:ascii="Times New Roman" w:cs="Times New Roman" w:eastAsia="Times New Roman" w:hAnsi="Times New Roman"/>
          <w:sz w:val="17"/>
          <w:szCs w:val="17"/>
          <w:color w:val="auto"/>
        </w:rPr>
      </w:pPr>
    </w:p>
    <w:p>
      <w:pPr>
        <w:ind w:left="780" w:right="100" w:hanging="206"/>
        <w:spacing w:after="0" w:line="296" w:lineRule="auto"/>
        <w:tabs>
          <w:tab w:leader="none" w:pos="762"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Prior to making executive compensation decisions, we review peer company compensation data.</w:t>
      </w:r>
    </w:p>
    <w:p>
      <w:pPr>
        <w:spacing w:after="0" w:line="81" w:lineRule="exact"/>
        <w:rPr>
          <w:rFonts w:ascii="Times New Roman" w:cs="Times New Roman" w:eastAsia="Times New Roman" w:hAnsi="Times New Roman"/>
          <w:sz w:val="17"/>
          <w:szCs w:val="17"/>
          <w:color w:val="auto"/>
        </w:rPr>
      </w:pPr>
    </w:p>
    <w:p>
      <w:pPr>
        <w:ind w:left="780" w:right="80" w:hanging="206"/>
        <w:spacing w:after="0" w:line="270" w:lineRule="auto"/>
        <w:tabs>
          <w:tab w:leader="none" w:pos="762"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NEOs participate in broad-based company-sponsored health and welfare benefits programs on the same basis as our other full-time, salaried team members.</w:t>
      </w:r>
    </w:p>
    <w:p>
      <w:pPr>
        <w:spacing w:after="0" w:line="102" w:lineRule="exact"/>
        <w:rPr>
          <w:rFonts w:ascii="Times New Roman" w:cs="Times New Roman" w:eastAsia="Times New Roman" w:hAnsi="Times New Roman"/>
          <w:sz w:val="17"/>
          <w:szCs w:val="17"/>
          <w:color w:val="auto"/>
        </w:rPr>
      </w:pPr>
    </w:p>
    <w:p>
      <w:pPr>
        <w:ind w:left="780" w:right="180" w:hanging="206"/>
        <w:spacing w:after="0" w:line="296" w:lineRule="auto"/>
        <w:tabs>
          <w:tab w:leader="none" w:pos="762"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ensure that short-term cash incentives and our PSU awards cap maximum payouts.</w:t>
      </w:r>
    </w:p>
    <w:p>
      <w:pPr>
        <w:spacing w:after="0" w:line="67" w:lineRule="exact"/>
        <w:rPr>
          <w:rFonts w:ascii="Times New Roman" w:cs="Times New Roman" w:eastAsia="Times New Roman" w:hAnsi="Times New Roman"/>
          <w:sz w:val="17"/>
          <w:szCs w:val="17"/>
          <w:color w:val="auto"/>
        </w:rPr>
      </w:pPr>
    </w:p>
    <w:p>
      <w:pPr>
        <w:ind w:left="780" w:right="100" w:hanging="206"/>
        <w:spacing w:after="0" w:line="263" w:lineRule="auto"/>
        <w:tabs>
          <w:tab w:leader="none" w:pos="762"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Human Resources Committee retains the services of Compensia, Inc. (“Compensia”) as an independent consultant to advise the Human Resources Committee on compensation matters related to our executive and director compensation programs; Compensia does not perform any other services for Fortinet.</w:t>
      </w:r>
    </w:p>
    <w:p>
      <w:pPr>
        <w:spacing w:after="0" w:line="111" w:lineRule="exact"/>
        <w:rPr>
          <w:rFonts w:ascii="Times New Roman" w:cs="Times New Roman" w:eastAsia="Times New Roman" w:hAnsi="Times New Roman"/>
          <w:sz w:val="17"/>
          <w:szCs w:val="17"/>
          <w:color w:val="auto"/>
        </w:rPr>
      </w:pPr>
    </w:p>
    <w:p>
      <w:pPr>
        <w:ind w:left="780" w:right="340" w:hanging="206"/>
        <w:spacing w:after="0" w:line="296" w:lineRule="auto"/>
        <w:tabs>
          <w:tab w:leader="none" w:pos="762"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a fully independent Human Resources Committee.</w:t>
      </w:r>
    </w:p>
    <w:p>
      <w:pPr>
        <w:spacing w:after="0" w:line="81" w:lineRule="exact"/>
        <w:rPr>
          <w:rFonts w:ascii="Times New Roman" w:cs="Times New Roman" w:eastAsia="Times New Roman" w:hAnsi="Times New Roman"/>
          <w:sz w:val="17"/>
          <w:szCs w:val="17"/>
          <w:color w:val="auto"/>
        </w:rPr>
      </w:pPr>
    </w:p>
    <w:p>
      <w:pPr>
        <w:ind w:left="760" w:hanging="186"/>
        <w:spacing w:after="0"/>
        <w:tabs>
          <w:tab w:leader="none" w:pos="76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conduct a say-on-pay vote annually.</w:t>
      </w:r>
    </w:p>
    <w:p>
      <w:pPr>
        <w:spacing w:after="0" w:line="145" w:lineRule="exact"/>
        <w:rPr>
          <w:rFonts w:ascii="Times New Roman" w:cs="Times New Roman" w:eastAsia="Times New Roman" w:hAnsi="Times New Roman"/>
          <w:sz w:val="17"/>
          <w:szCs w:val="17"/>
          <w:color w:val="auto"/>
        </w:rPr>
      </w:pPr>
    </w:p>
    <w:p>
      <w:pPr>
        <w:ind w:left="780" w:right="160" w:hanging="206"/>
        <w:spacing w:after="0" w:line="296" w:lineRule="auto"/>
        <w:tabs>
          <w:tab w:leader="none" w:pos="762"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executive officers and directors may only sell pursuant to a Rule 10b5-1 trading plan.</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ind w:left="216" w:right="639" w:hanging="216"/>
        <w:spacing w:after="0" w:line="296" w:lineRule="auto"/>
        <w:tabs>
          <w:tab w:leader="none" w:pos="198"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do not provide tax gross-ups related to change in control.</w:t>
      </w:r>
    </w:p>
    <w:p>
      <w:pPr>
        <w:spacing w:after="0" w:line="67" w:lineRule="exact"/>
        <w:rPr>
          <w:rFonts w:ascii="Times New Roman" w:cs="Times New Roman" w:eastAsia="Times New Roman" w:hAnsi="Times New Roman"/>
          <w:sz w:val="17"/>
          <w:szCs w:val="17"/>
          <w:color w:val="auto"/>
        </w:rPr>
      </w:pPr>
    </w:p>
    <w:p>
      <w:pPr>
        <w:ind w:left="216" w:right="1139" w:hanging="216"/>
        <w:spacing w:after="0" w:line="276" w:lineRule="auto"/>
        <w:tabs>
          <w:tab w:leader="none" w:pos="198"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NEOs may not directly or indirectly pledge Fortinet’s common stock as collateral for any obligation.</w:t>
      </w:r>
    </w:p>
    <w:p>
      <w:pPr>
        <w:spacing w:after="0" w:line="98" w:lineRule="exact"/>
        <w:rPr>
          <w:rFonts w:ascii="Times New Roman" w:cs="Times New Roman" w:eastAsia="Times New Roman" w:hAnsi="Times New Roman"/>
          <w:sz w:val="17"/>
          <w:szCs w:val="17"/>
          <w:color w:val="auto"/>
        </w:rPr>
      </w:pPr>
    </w:p>
    <w:p>
      <w:pPr>
        <w:ind w:left="216" w:right="679" w:hanging="216"/>
        <w:spacing w:after="0" w:line="270" w:lineRule="auto"/>
        <w:tabs>
          <w:tab w:leader="none" w:pos="198"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NEOs may not directly or indirectly engage in transactions intended to hedge or offset the market value of Fortinet’s common stock owned directly or indirectly.</w:t>
      </w:r>
    </w:p>
    <w:p>
      <w:pPr>
        <w:spacing w:after="0" w:line="102" w:lineRule="exact"/>
        <w:rPr>
          <w:rFonts w:ascii="Times New Roman" w:cs="Times New Roman" w:eastAsia="Times New Roman" w:hAnsi="Times New Roman"/>
          <w:sz w:val="17"/>
          <w:szCs w:val="17"/>
          <w:color w:val="auto"/>
        </w:rPr>
      </w:pPr>
    </w:p>
    <w:p>
      <w:pPr>
        <w:ind w:left="216" w:right="1219" w:hanging="216"/>
        <w:spacing w:after="0" w:line="296" w:lineRule="auto"/>
        <w:tabs>
          <w:tab w:leader="none" w:pos="198"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do not provide guaranteed compensation increases or bonuses to any of our NEOs.</w:t>
      </w:r>
    </w:p>
    <w:p>
      <w:pPr>
        <w:spacing w:after="0" w:line="3631" w:lineRule="exact"/>
        <w:rPr>
          <w:sz w:val="20"/>
          <w:szCs w:val="20"/>
          <w:color w:val="auto"/>
        </w:rPr>
      </w:pPr>
    </w:p>
    <w:p>
      <w:pPr>
        <w:sectPr>
          <w:pgSz w:w="11900" w:h="16838" w:orient="portrait"/>
          <w:cols w:equalWidth="0" w:num="2">
            <w:col w:w="4420" w:space="84"/>
            <w:col w:w="4515"/>
          </w:cols>
          <w:pgMar w:left="1440" w:top="265" w:right="1440"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40" w:name="page41"/>
    <w:bookmarkEnd w:id="40"/>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7"/>
          <w:szCs w:val="17"/>
          <w:i w:val="1"/>
          <w:iCs w:val="1"/>
          <w:color w:val="auto"/>
        </w:rPr>
        <w:t>Stockholder Advisory Vote on Named Executive Officer Compensation</w:t>
      </w:r>
    </w:p>
    <w:p>
      <w:pPr>
        <w:spacing w:after="0" w:line="147" w:lineRule="exact"/>
        <w:rPr>
          <w:sz w:val="20"/>
          <w:szCs w:val="20"/>
          <w:color w:val="auto"/>
        </w:rPr>
      </w:pPr>
    </w:p>
    <w:p>
      <w:pPr>
        <w:ind w:left="580" w:right="599" w:firstLine="349"/>
        <w:spacing w:after="0" w:line="260" w:lineRule="auto"/>
        <w:rPr>
          <w:sz w:val="20"/>
          <w:szCs w:val="20"/>
          <w:color w:val="auto"/>
        </w:rPr>
      </w:pPr>
      <w:r>
        <w:rPr>
          <w:rFonts w:ascii="Times New Roman" w:cs="Times New Roman" w:eastAsia="Times New Roman" w:hAnsi="Times New Roman"/>
          <w:sz w:val="17"/>
          <w:szCs w:val="17"/>
          <w:color w:val="auto"/>
        </w:rPr>
        <w:t>Our stockholders will have the opportunity again at the 2026 Annual Meeting to vote on our NEO compensation through the stockholder advisory vote (commonly known as a “say-on-pay” vote) included as Proposal Three in this Proxy Statement. Over 87% of the stockholder votes cast at the 2025 Annual Meeting were in favor of our NEO compensation. The Human Resources Committee considers input from our stockholders and the outcome of our annual say-on-pay votes when making future executive compensation decisions and, to the extent there is any significant vote against the NEO compensation as disclosed in this Proxy Statement, the Human Resources Committee will seek to understand and consider our stockholders’ concerns and will evaluate whether any actions are appropriate to address those concerns. Since the 2025 stockholder vote on executive compensation occurred after the Human Resources Committee had established all of the compensation elements for 2025, the Human Resources Committee could only take into consideration the 2025 stockholder vote in establishing executive compensation for 2026. We encourage you to review this “</w:t>
      </w:r>
      <w:r>
        <w:rPr>
          <w:rFonts w:ascii="Times New Roman" w:cs="Times New Roman" w:eastAsia="Times New Roman" w:hAnsi="Times New Roman"/>
          <w:sz w:val="17"/>
          <w:szCs w:val="17"/>
          <w:i w:val="1"/>
          <w:iCs w:val="1"/>
          <w:color w:val="auto"/>
        </w:rPr>
        <w:t>Executive Compensation</w:t>
      </w:r>
      <w:r>
        <w:rPr>
          <w:rFonts w:ascii="Times New Roman" w:cs="Times New Roman" w:eastAsia="Times New Roman" w:hAnsi="Times New Roman"/>
          <w:sz w:val="17"/>
          <w:szCs w:val="17"/>
          <w:color w:val="auto"/>
        </w:rPr>
        <w:t>” section, together with the compensation tables that follow, prior to casting your advisory vote on the “say-on-pay” proposal.</w:t>
      </w:r>
    </w:p>
    <w:p>
      <w:pPr>
        <w:spacing w:after="0" w:line="38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i w:val="1"/>
          <w:iCs w:val="1"/>
          <w:color w:val="auto"/>
        </w:rPr>
        <w:t>Compensation Decision-Making</w:t>
      </w:r>
    </w:p>
    <w:p>
      <w:pPr>
        <w:spacing w:after="0" w:line="22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7"/>
          <w:szCs w:val="17"/>
          <w:i w:val="1"/>
          <w:iCs w:val="1"/>
          <w:color w:val="auto"/>
        </w:rPr>
        <w:t>Role of the Human Resources Committee in Executive Compensation Decisions</w:t>
      </w:r>
    </w:p>
    <w:p>
      <w:pPr>
        <w:spacing w:after="0" w:line="160" w:lineRule="exact"/>
        <w:rPr>
          <w:sz w:val="20"/>
          <w:szCs w:val="20"/>
          <w:color w:val="auto"/>
        </w:rPr>
      </w:pPr>
    </w:p>
    <w:p>
      <w:pPr>
        <w:jc w:val="both"/>
        <w:ind w:left="580" w:right="639" w:firstLine="349"/>
        <w:spacing w:after="0" w:line="262" w:lineRule="auto"/>
        <w:rPr>
          <w:sz w:val="20"/>
          <w:szCs w:val="20"/>
          <w:color w:val="auto"/>
        </w:rPr>
      </w:pPr>
      <w:r>
        <w:rPr>
          <w:rFonts w:ascii="Times New Roman" w:cs="Times New Roman" w:eastAsia="Times New Roman" w:hAnsi="Times New Roman"/>
          <w:sz w:val="17"/>
          <w:szCs w:val="17"/>
          <w:color w:val="auto"/>
        </w:rPr>
        <w:t>The Human Resources Committee has overall responsibility for approving the compensation of our NEOs. The Human Resources Committee also oversees our diversity, equity and inclusion initiatives and reviews with management the compensation disclosures required by the SEC. Members of the Human Resources Committee are appointed by the Board of Directors. See “</w:t>
      </w:r>
      <w:r>
        <w:rPr>
          <w:rFonts w:ascii="Times New Roman" w:cs="Times New Roman" w:eastAsia="Times New Roman" w:hAnsi="Times New Roman"/>
          <w:sz w:val="17"/>
          <w:szCs w:val="17"/>
          <w:i w:val="1"/>
          <w:iCs w:val="1"/>
          <w:color w:val="auto"/>
        </w:rPr>
        <w:t>Corporate Governance — Board Meetings and Committees</w:t>
      </w:r>
    </w:p>
    <w:p>
      <w:pPr>
        <w:spacing w:after="0" w:line="3" w:lineRule="exact"/>
        <w:rPr>
          <w:sz w:val="20"/>
          <w:szCs w:val="20"/>
          <w:color w:val="auto"/>
        </w:rPr>
      </w:pPr>
    </w:p>
    <w:p>
      <w:pPr>
        <w:ind w:left="580" w:right="1119"/>
        <w:spacing w:after="0" w:line="274" w:lineRule="auto"/>
        <w:rPr>
          <w:sz w:val="20"/>
          <w:szCs w:val="20"/>
          <w:color w:val="auto"/>
        </w:rPr>
      </w:pPr>
      <w:r>
        <w:rPr>
          <w:rFonts w:ascii="Times New Roman" w:cs="Times New Roman" w:eastAsia="Times New Roman" w:hAnsi="Times New Roman"/>
          <w:sz w:val="17"/>
          <w:szCs w:val="17"/>
          <w:i w:val="1"/>
          <w:iCs w:val="1"/>
          <w:color w:val="auto"/>
        </w:rPr>
        <w:t>— Human Resources Committee</w:t>
      </w:r>
      <w:r>
        <w:rPr>
          <w:rFonts w:ascii="Times New Roman" w:cs="Times New Roman" w:eastAsia="Times New Roman" w:hAnsi="Times New Roman"/>
          <w:sz w:val="17"/>
          <w:szCs w:val="17"/>
          <w:color w:val="auto"/>
        </w:rPr>
        <w:t>” for more detail about the responsibilities and procedures of the Human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Resources Committee.</w:t>
      </w:r>
    </w:p>
    <w:p>
      <w:pPr>
        <w:spacing w:after="0" w:line="16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7"/>
          <w:szCs w:val="17"/>
          <w:i w:val="1"/>
          <w:iCs w:val="1"/>
          <w:color w:val="auto"/>
        </w:rPr>
        <w:t>Role of Compensation Consultant</w:t>
      </w:r>
    </w:p>
    <w:p>
      <w:pPr>
        <w:spacing w:after="0" w:line="160" w:lineRule="exact"/>
        <w:rPr>
          <w:sz w:val="20"/>
          <w:szCs w:val="20"/>
          <w:color w:val="auto"/>
        </w:rPr>
      </w:pPr>
    </w:p>
    <w:p>
      <w:pPr>
        <w:ind w:left="580" w:right="639" w:firstLine="349"/>
        <w:spacing w:after="0" w:line="264" w:lineRule="auto"/>
        <w:rPr>
          <w:sz w:val="20"/>
          <w:szCs w:val="20"/>
          <w:color w:val="auto"/>
        </w:rPr>
      </w:pPr>
      <w:r>
        <w:rPr>
          <w:rFonts w:ascii="Times New Roman" w:cs="Times New Roman" w:eastAsia="Times New Roman" w:hAnsi="Times New Roman"/>
          <w:sz w:val="17"/>
          <w:szCs w:val="17"/>
          <w:color w:val="auto"/>
        </w:rPr>
        <w:t>The Human Resources Committee relies on its independent compensation consultant to provide advice on matters relating to the compensation of our NEOs and non-employee directors. For 2025, the Human Resources Committee engaged Compensia in this capacity. A representative of Compensia generally attends meetings of the Human Resources Committee. In addition, Compensia provided competitive market assessments of our executive and non-employee director compensation programs, reviewed the Compensation Discussion and Analysis section of this Proxy Statement and provided support on other matters as requested by the Human Resources Committee.</w:t>
      </w:r>
    </w:p>
    <w:p>
      <w:pPr>
        <w:spacing w:after="0" w:line="308" w:lineRule="exact"/>
        <w:rPr>
          <w:sz w:val="20"/>
          <w:szCs w:val="20"/>
          <w:color w:val="auto"/>
        </w:rPr>
      </w:pPr>
    </w:p>
    <w:p>
      <w:pPr>
        <w:ind w:left="580" w:right="599" w:firstLine="349"/>
        <w:spacing w:after="0" w:line="262" w:lineRule="auto"/>
        <w:rPr>
          <w:sz w:val="20"/>
          <w:szCs w:val="20"/>
          <w:color w:val="auto"/>
        </w:rPr>
      </w:pPr>
      <w:r>
        <w:rPr>
          <w:rFonts w:ascii="Times New Roman" w:cs="Times New Roman" w:eastAsia="Times New Roman" w:hAnsi="Times New Roman"/>
          <w:sz w:val="17"/>
          <w:szCs w:val="17"/>
          <w:color w:val="auto"/>
        </w:rPr>
        <w:t>For 2025, the Human Resources Committee also engaged Compensia to provide and to report on the results of a competitive assessment of the compensation of our NEOs, which is based on analysis of market and peer company compensation data. This assessment is one factor considered by the Human Resources Committee as discussed in more detail below under “</w:t>
      </w:r>
      <w:r>
        <w:rPr>
          <w:rFonts w:ascii="Times New Roman" w:cs="Times New Roman" w:eastAsia="Times New Roman" w:hAnsi="Times New Roman"/>
          <w:sz w:val="17"/>
          <w:szCs w:val="17"/>
          <w:i w:val="1"/>
          <w:iCs w:val="1"/>
          <w:color w:val="auto"/>
        </w:rPr>
        <w:t>— 2025 Compensation Decisions</w:t>
      </w:r>
      <w:r>
        <w:rPr>
          <w:rFonts w:ascii="Times New Roman" w:cs="Times New Roman" w:eastAsia="Times New Roman" w:hAnsi="Times New Roman"/>
          <w:sz w:val="17"/>
          <w:szCs w:val="17"/>
          <w:color w:val="auto"/>
        </w:rPr>
        <w:t>.” Compensia reports directly to the Human Resources Committee and provided no services to us other than the consulting services to the Human Resources Committee. Based on consideration of the various factors set forth in the rules of the SEC and Nasdaq listing standards, the Human Resources Committee does not believe that its relationship with Compensia and the work of Compensia on behalf of the Human Resources Committee has raised any conflict of interest.</w:t>
      </w:r>
    </w:p>
    <w:p>
      <w:pPr>
        <w:spacing w:after="0" w:line="38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7"/>
          <w:szCs w:val="17"/>
          <w:i w:val="1"/>
          <w:iCs w:val="1"/>
          <w:color w:val="auto"/>
        </w:rPr>
        <w:t>Role of Executives in Executive Compensation Decisions</w:t>
      </w:r>
    </w:p>
    <w:p>
      <w:pPr>
        <w:spacing w:after="0" w:line="160" w:lineRule="exact"/>
        <w:rPr>
          <w:sz w:val="20"/>
          <w:szCs w:val="20"/>
          <w:color w:val="auto"/>
        </w:rPr>
      </w:pPr>
    </w:p>
    <w:p>
      <w:pPr>
        <w:ind w:left="580" w:right="799" w:firstLine="349"/>
        <w:spacing w:after="0" w:line="268" w:lineRule="auto"/>
        <w:rPr>
          <w:sz w:val="20"/>
          <w:szCs w:val="20"/>
          <w:color w:val="auto"/>
        </w:rPr>
      </w:pPr>
      <w:r>
        <w:rPr>
          <w:rFonts w:ascii="Times New Roman" w:cs="Times New Roman" w:eastAsia="Times New Roman" w:hAnsi="Times New Roman"/>
          <w:sz w:val="17"/>
          <w:szCs w:val="17"/>
          <w:color w:val="auto"/>
        </w:rPr>
        <w:t>The Human Resources Committee generally seeks input from our Chief Executive Officer, Mr. Ken Xie, when discussing the performance of and compensation levels for our NEOs other than for himself and</w:t>
      </w:r>
    </w:p>
    <w:p>
      <w:pPr>
        <w:spacing w:after="0" w:line="1" w:lineRule="exact"/>
        <w:rPr>
          <w:sz w:val="20"/>
          <w:szCs w:val="20"/>
          <w:color w:val="auto"/>
        </w:rPr>
      </w:pPr>
    </w:p>
    <w:p>
      <w:pPr>
        <w:ind w:left="580" w:right="759"/>
        <w:spacing w:after="0" w:line="265" w:lineRule="auto"/>
        <w:rPr>
          <w:sz w:val="20"/>
          <w:szCs w:val="20"/>
          <w:color w:val="auto"/>
        </w:rPr>
      </w:pPr>
      <w:r>
        <w:rPr>
          <w:rFonts w:ascii="Times New Roman" w:cs="Times New Roman" w:eastAsia="Times New Roman" w:hAnsi="Times New Roman"/>
          <w:sz w:val="17"/>
          <w:szCs w:val="17"/>
          <w:color w:val="auto"/>
        </w:rPr>
        <w:t>Mr. Michael Xie. Neither Mr. Ken Xie nor any of our other NEOs participates in deliberations relating to their own compensation, and Messrs. Ken Xie and Michael Xie do not participate in deliberations related to each other’s compensation.</w:t>
      </w:r>
    </w:p>
    <w:p>
      <w:pPr>
        <w:spacing w:after="0" w:line="17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7"/>
          <w:szCs w:val="17"/>
          <w:i w:val="1"/>
          <w:iCs w:val="1"/>
          <w:color w:val="auto"/>
        </w:rPr>
        <w:t>Peer Group</w:t>
      </w:r>
    </w:p>
    <w:p>
      <w:pPr>
        <w:spacing w:after="0" w:line="160" w:lineRule="exact"/>
        <w:rPr>
          <w:sz w:val="20"/>
          <w:szCs w:val="20"/>
          <w:color w:val="auto"/>
        </w:rPr>
      </w:pPr>
    </w:p>
    <w:p>
      <w:pPr>
        <w:ind w:left="580" w:right="659" w:firstLine="349"/>
        <w:spacing w:after="0" w:line="276" w:lineRule="auto"/>
        <w:rPr>
          <w:sz w:val="20"/>
          <w:szCs w:val="20"/>
          <w:color w:val="auto"/>
        </w:rPr>
      </w:pPr>
      <w:r>
        <w:rPr>
          <w:rFonts w:ascii="Times New Roman" w:cs="Times New Roman" w:eastAsia="Times New Roman" w:hAnsi="Times New Roman"/>
          <w:sz w:val="17"/>
          <w:szCs w:val="17"/>
          <w:color w:val="auto"/>
        </w:rPr>
        <w:t>In October 2024, with assistance from Compensia, the Human Resources Committee developed and approved a compensation peer group as a source of competitive market data for evaluating the compensation of our executive officers and to support pay decisions for 2025.</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1" w:name="page42"/>
    <w:bookmarkEnd w:id="41"/>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580" w:right="679" w:firstLine="349"/>
        <w:spacing w:after="0" w:line="263" w:lineRule="auto"/>
        <w:rPr>
          <w:sz w:val="20"/>
          <w:szCs w:val="20"/>
          <w:color w:val="auto"/>
        </w:rPr>
      </w:pPr>
      <w:r>
        <w:rPr>
          <w:rFonts w:ascii="Times New Roman" w:cs="Times New Roman" w:eastAsia="Times New Roman" w:hAnsi="Times New Roman"/>
          <w:sz w:val="17"/>
          <w:szCs w:val="17"/>
          <w:color w:val="auto"/>
        </w:rPr>
        <w:t>The peer group was comprised of security competitors, network infrastructure technology companies and other software companies focusing on data management, internet infrastructure and enterprise application software. In selecting peers, the Human Resources Committee also generally sought to include companies with annual revenue ranging from approximately $2.8 billion to $11.1 billion and a market capitalization generally ranging from $28.9 billion to $115.7 billion at the time of review. Based on this review, Cloudflare and Digital Realty Trust were added to the peer group for 2025. The peer group approved in October 2024 included the 19 technology companies listed below:</w:t>
      </w:r>
    </w:p>
    <w:p>
      <w:pPr>
        <w:spacing w:after="0" w:line="169" w:lineRule="exact"/>
        <w:rPr>
          <w:sz w:val="20"/>
          <w:szCs w:val="20"/>
          <w:color w:val="auto"/>
        </w:rPr>
      </w:pPr>
    </w:p>
    <w:tbl>
      <w:tblPr>
        <w:tblLayout w:type="fixed"/>
        <w:tblInd w:w="580" w:type="dxa"/>
        <w:tblCellMar>
          <w:top w:w="0" w:type="dxa"/>
          <w:left w:w="0" w:type="dxa"/>
          <w:bottom w:w="0" w:type="dxa"/>
          <w:right w:w="0" w:type="dxa"/>
        </w:tblCellMar>
      </w:tblPr>
      <w:tr>
        <w:trPr>
          <w:trHeight w:val="255"/>
        </w:trPr>
        <w:tc>
          <w:tcPr>
            <w:tcW w:w="3220" w:type="dxa"/>
            <w:vAlign w:val="bottom"/>
            <w:tcBorders>
              <w:bottom w:val="single" w:sz="8" w:color="CDE9F6"/>
            </w:tcBorders>
            <w:shd w:val="clear" w:color="auto" w:fill="CDE9F6"/>
          </w:tcPr>
          <w:p>
            <w:pPr>
              <w:spacing w:after="0"/>
              <w:rPr>
                <w:sz w:val="20"/>
                <w:szCs w:val="20"/>
                <w:color w:val="auto"/>
              </w:rPr>
            </w:pPr>
            <w:r>
              <w:rPr>
                <w:rFonts w:ascii="Times New Roman" w:cs="Times New Roman" w:eastAsia="Times New Roman" w:hAnsi="Times New Roman"/>
                <w:sz w:val="17"/>
                <w:szCs w:val="17"/>
                <w:color w:val="auto"/>
              </w:rPr>
              <w:t>Akamai Technologies</w:t>
            </w:r>
          </w:p>
        </w:tc>
        <w:tc>
          <w:tcPr>
            <w:tcW w:w="4640" w:type="dxa"/>
            <w:vAlign w:val="bottom"/>
            <w:tcBorders>
              <w:bottom w:val="single" w:sz="8" w:color="CDE9F6"/>
            </w:tcBorders>
            <w:shd w:val="clear" w:color="auto" w:fill="CDE9F6"/>
          </w:tcPr>
          <w:p>
            <w:pPr>
              <w:ind w:left="700"/>
              <w:spacing w:after="0"/>
              <w:rPr>
                <w:sz w:val="20"/>
                <w:szCs w:val="20"/>
                <w:color w:val="auto"/>
              </w:rPr>
            </w:pPr>
            <w:r>
              <w:rPr>
                <w:rFonts w:ascii="Times New Roman" w:cs="Times New Roman" w:eastAsia="Times New Roman" w:hAnsi="Times New Roman"/>
                <w:sz w:val="17"/>
                <w:szCs w:val="17"/>
                <w:color w:val="auto"/>
              </w:rPr>
              <w:t>Marvell Technology</w:t>
            </w:r>
          </w:p>
        </w:tc>
      </w:tr>
      <w:tr>
        <w:trPr>
          <w:trHeight w:val="235"/>
        </w:trPr>
        <w:tc>
          <w:tcPr>
            <w:tcW w:w="3220" w:type="dxa"/>
            <w:vAlign w:val="bottom"/>
          </w:tcPr>
          <w:p>
            <w:pPr>
              <w:spacing w:after="0"/>
              <w:rPr>
                <w:sz w:val="20"/>
                <w:szCs w:val="20"/>
                <w:color w:val="auto"/>
              </w:rPr>
            </w:pPr>
            <w:r>
              <w:rPr>
                <w:rFonts w:ascii="Times New Roman" w:cs="Times New Roman" w:eastAsia="Times New Roman" w:hAnsi="Times New Roman"/>
                <w:sz w:val="17"/>
                <w:szCs w:val="17"/>
                <w:color w:val="auto"/>
              </w:rPr>
              <w:t>Arista Networks</w:t>
            </w:r>
          </w:p>
        </w:tc>
        <w:tc>
          <w:tcPr>
            <w:tcW w:w="4640" w:type="dxa"/>
            <w:vAlign w:val="bottom"/>
          </w:tcPr>
          <w:p>
            <w:pPr>
              <w:ind w:left="700"/>
              <w:spacing w:after="0"/>
              <w:rPr>
                <w:sz w:val="20"/>
                <w:szCs w:val="20"/>
                <w:color w:val="auto"/>
              </w:rPr>
            </w:pPr>
            <w:r>
              <w:rPr>
                <w:rFonts w:ascii="Times New Roman" w:cs="Times New Roman" w:eastAsia="Times New Roman" w:hAnsi="Times New Roman"/>
                <w:sz w:val="17"/>
                <w:szCs w:val="17"/>
                <w:color w:val="auto"/>
              </w:rPr>
              <w:t>NetApp</w:t>
            </w:r>
          </w:p>
        </w:tc>
      </w:tr>
      <w:tr>
        <w:trPr>
          <w:trHeight w:val="40"/>
        </w:trPr>
        <w:tc>
          <w:tcPr>
            <w:tcW w:w="3220" w:type="dxa"/>
            <w:vAlign w:val="bottom"/>
          </w:tcPr>
          <w:p>
            <w:pPr>
              <w:spacing w:after="0"/>
              <w:rPr>
                <w:sz w:val="3"/>
                <w:szCs w:val="3"/>
                <w:color w:val="auto"/>
              </w:rPr>
            </w:pPr>
          </w:p>
        </w:tc>
        <w:tc>
          <w:tcPr>
            <w:tcW w:w="4640" w:type="dxa"/>
            <w:vAlign w:val="bottom"/>
          </w:tcPr>
          <w:p>
            <w:pPr>
              <w:spacing w:after="0"/>
              <w:rPr>
                <w:sz w:val="3"/>
                <w:szCs w:val="3"/>
                <w:color w:val="auto"/>
              </w:rPr>
            </w:pPr>
          </w:p>
        </w:tc>
      </w:tr>
      <w:tr>
        <w:trPr>
          <w:trHeight w:val="255"/>
        </w:trPr>
        <w:tc>
          <w:tcPr>
            <w:tcW w:w="3220" w:type="dxa"/>
            <w:vAlign w:val="bottom"/>
            <w:tcBorders>
              <w:bottom w:val="single" w:sz="8" w:color="CDE9F6"/>
            </w:tcBorders>
            <w:shd w:val="clear" w:color="auto" w:fill="CDE9F6"/>
          </w:tcPr>
          <w:p>
            <w:pPr>
              <w:spacing w:after="0"/>
              <w:rPr>
                <w:sz w:val="20"/>
                <w:szCs w:val="20"/>
                <w:color w:val="auto"/>
              </w:rPr>
            </w:pPr>
            <w:r>
              <w:rPr>
                <w:rFonts w:ascii="Times New Roman" w:cs="Times New Roman" w:eastAsia="Times New Roman" w:hAnsi="Times New Roman"/>
                <w:sz w:val="17"/>
                <w:szCs w:val="17"/>
                <w:color w:val="auto"/>
              </w:rPr>
              <w:t>Autodesk</w:t>
            </w:r>
          </w:p>
        </w:tc>
        <w:tc>
          <w:tcPr>
            <w:tcW w:w="4640" w:type="dxa"/>
            <w:vAlign w:val="bottom"/>
            <w:tcBorders>
              <w:bottom w:val="single" w:sz="8" w:color="CDE9F6"/>
            </w:tcBorders>
            <w:shd w:val="clear" w:color="auto" w:fill="CDE9F6"/>
          </w:tcPr>
          <w:p>
            <w:pPr>
              <w:ind w:left="700"/>
              <w:spacing w:after="0"/>
              <w:rPr>
                <w:sz w:val="20"/>
                <w:szCs w:val="20"/>
                <w:color w:val="auto"/>
              </w:rPr>
            </w:pPr>
            <w:r>
              <w:rPr>
                <w:rFonts w:ascii="Times New Roman" w:cs="Times New Roman" w:eastAsia="Times New Roman" w:hAnsi="Times New Roman"/>
                <w:sz w:val="17"/>
                <w:szCs w:val="17"/>
                <w:color w:val="auto"/>
              </w:rPr>
              <w:t>Palo Alto Networks</w:t>
            </w:r>
          </w:p>
        </w:tc>
      </w:tr>
      <w:tr>
        <w:trPr>
          <w:trHeight w:val="235"/>
        </w:trPr>
        <w:tc>
          <w:tcPr>
            <w:tcW w:w="3220" w:type="dxa"/>
            <w:vAlign w:val="bottom"/>
          </w:tcPr>
          <w:p>
            <w:pPr>
              <w:spacing w:after="0"/>
              <w:rPr>
                <w:sz w:val="20"/>
                <w:szCs w:val="20"/>
                <w:color w:val="auto"/>
              </w:rPr>
            </w:pPr>
            <w:r>
              <w:rPr>
                <w:rFonts w:ascii="Times New Roman" w:cs="Times New Roman" w:eastAsia="Times New Roman" w:hAnsi="Times New Roman"/>
                <w:sz w:val="17"/>
                <w:szCs w:val="17"/>
                <w:color w:val="auto"/>
              </w:rPr>
              <w:t>Cadence Design Systems</w:t>
            </w:r>
          </w:p>
        </w:tc>
        <w:tc>
          <w:tcPr>
            <w:tcW w:w="4640" w:type="dxa"/>
            <w:vAlign w:val="bottom"/>
          </w:tcPr>
          <w:p>
            <w:pPr>
              <w:ind w:left="700"/>
              <w:spacing w:after="0"/>
              <w:rPr>
                <w:sz w:val="20"/>
                <w:szCs w:val="20"/>
                <w:color w:val="auto"/>
              </w:rPr>
            </w:pPr>
            <w:r>
              <w:rPr>
                <w:rFonts w:ascii="Times New Roman" w:cs="Times New Roman" w:eastAsia="Times New Roman" w:hAnsi="Times New Roman"/>
                <w:sz w:val="17"/>
                <w:szCs w:val="17"/>
                <w:color w:val="auto"/>
              </w:rPr>
              <w:t>ServiceNow</w:t>
            </w:r>
          </w:p>
        </w:tc>
      </w:tr>
      <w:tr>
        <w:trPr>
          <w:trHeight w:val="40"/>
        </w:trPr>
        <w:tc>
          <w:tcPr>
            <w:tcW w:w="3220" w:type="dxa"/>
            <w:vAlign w:val="bottom"/>
          </w:tcPr>
          <w:p>
            <w:pPr>
              <w:spacing w:after="0"/>
              <w:rPr>
                <w:sz w:val="3"/>
                <w:szCs w:val="3"/>
                <w:color w:val="auto"/>
              </w:rPr>
            </w:pPr>
          </w:p>
        </w:tc>
        <w:tc>
          <w:tcPr>
            <w:tcW w:w="4640" w:type="dxa"/>
            <w:vAlign w:val="bottom"/>
          </w:tcPr>
          <w:p>
            <w:pPr>
              <w:spacing w:after="0"/>
              <w:rPr>
                <w:sz w:val="3"/>
                <w:szCs w:val="3"/>
                <w:color w:val="auto"/>
              </w:rPr>
            </w:pPr>
          </w:p>
        </w:tc>
      </w:tr>
      <w:tr>
        <w:trPr>
          <w:trHeight w:val="255"/>
        </w:trPr>
        <w:tc>
          <w:tcPr>
            <w:tcW w:w="3220" w:type="dxa"/>
            <w:vAlign w:val="bottom"/>
            <w:tcBorders>
              <w:bottom w:val="single" w:sz="8" w:color="CDE9F6"/>
            </w:tcBorders>
            <w:shd w:val="clear" w:color="auto" w:fill="CDE9F6"/>
          </w:tcPr>
          <w:p>
            <w:pPr>
              <w:spacing w:after="0"/>
              <w:rPr>
                <w:sz w:val="20"/>
                <w:szCs w:val="20"/>
                <w:color w:val="auto"/>
              </w:rPr>
            </w:pPr>
            <w:r>
              <w:rPr>
                <w:rFonts w:ascii="Times New Roman" w:cs="Times New Roman" w:eastAsia="Times New Roman" w:hAnsi="Times New Roman"/>
                <w:sz w:val="17"/>
                <w:szCs w:val="17"/>
                <w:color w:val="auto"/>
              </w:rPr>
              <w:t>Check Point Software Technologies</w:t>
            </w:r>
          </w:p>
        </w:tc>
        <w:tc>
          <w:tcPr>
            <w:tcW w:w="4640" w:type="dxa"/>
            <w:vAlign w:val="bottom"/>
            <w:tcBorders>
              <w:bottom w:val="single" w:sz="8" w:color="CDE9F6"/>
            </w:tcBorders>
            <w:shd w:val="clear" w:color="auto" w:fill="CDE9F6"/>
          </w:tcPr>
          <w:p>
            <w:pPr>
              <w:ind w:left="700"/>
              <w:spacing w:after="0"/>
              <w:rPr>
                <w:sz w:val="20"/>
                <w:szCs w:val="20"/>
                <w:color w:val="auto"/>
              </w:rPr>
            </w:pPr>
            <w:r>
              <w:rPr>
                <w:rFonts w:ascii="Times New Roman" w:cs="Times New Roman" w:eastAsia="Times New Roman" w:hAnsi="Times New Roman"/>
                <w:sz w:val="17"/>
                <w:szCs w:val="17"/>
                <w:color w:val="auto"/>
              </w:rPr>
              <w:t>Snowflake</w:t>
            </w:r>
          </w:p>
        </w:tc>
      </w:tr>
      <w:tr>
        <w:trPr>
          <w:trHeight w:val="235"/>
        </w:trPr>
        <w:tc>
          <w:tcPr>
            <w:tcW w:w="3220" w:type="dxa"/>
            <w:vAlign w:val="bottom"/>
          </w:tcPr>
          <w:p>
            <w:pPr>
              <w:spacing w:after="0"/>
              <w:rPr>
                <w:sz w:val="20"/>
                <w:szCs w:val="20"/>
                <w:color w:val="auto"/>
              </w:rPr>
            </w:pPr>
            <w:r>
              <w:rPr>
                <w:rFonts w:ascii="Times New Roman" w:cs="Times New Roman" w:eastAsia="Times New Roman" w:hAnsi="Times New Roman"/>
                <w:sz w:val="17"/>
                <w:szCs w:val="17"/>
                <w:color w:val="auto"/>
              </w:rPr>
              <w:t>Cloudflare</w:t>
            </w:r>
          </w:p>
        </w:tc>
        <w:tc>
          <w:tcPr>
            <w:tcW w:w="4640" w:type="dxa"/>
            <w:vAlign w:val="bottom"/>
          </w:tcPr>
          <w:p>
            <w:pPr>
              <w:ind w:left="700"/>
              <w:spacing w:after="0"/>
              <w:rPr>
                <w:sz w:val="20"/>
                <w:szCs w:val="20"/>
                <w:color w:val="auto"/>
              </w:rPr>
            </w:pPr>
            <w:r>
              <w:rPr>
                <w:rFonts w:ascii="Times New Roman" w:cs="Times New Roman" w:eastAsia="Times New Roman" w:hAnsi="Times New Roman"/>
                <w:sz w:val="17"/>
                <w:szCs w:val="17"/>
                <w:color w:val="auto"/>
              </w:rPr>
              <w:t>Synopsys</w:t>
            </w:r>
          </w:p>
        </w:tc>
      </w:tr>
      <w:tr>
        <w:trPr>
          <w:trHeight w:val="40"/>
        </w:trPr>
        <w:tc>
          <w:tcPr>
            <w:tcW w:w="3220" w:type="dxa"/>
            <w:vAlign w:val="bottom"/>
          </w:tcPr>
          <w:p>
            <w:pPr>
              <w:spacing w:after="0"/>
              <w:rPr>
                <w:sz w:val="3"/>
                <w:szCs w:val="3"/>
                <w:color w:val="auto"/>
              </w:rPr>
            </w:pPr>
          </w:p>
        </w:tc>
        <w:tc>
          <w:tcPr>
            <w:tcW w:w="4640" w:type="dxa"/>
            <w:vAlign w:val="bottom"/>
          </w:tcPr>
          <w:p>
            <w:pPr>
              <w:spacing w:after="0"/>
              <w:rPr>
                <w:sz w:val="3"/>
                <w:szCs w:val="3"/>
                <w:color w:val="auto"/>
              </w:rPr>
            </w:pPr>
          </w:p>
        </w:tc>
      </w:tr>
      <w:tr>
        <w:trPr>
          <w:trHeight w:val="255"/>
        </w:trPr>
        <w:tc>
          <w:tcPr>
            <w:tcW w:w="3220" w:type="dxa"/>
            <w:vAlign w:val="bottom"/>
            <w:tcBorders>
              <w:bottom w:val="single" w:sz="8" w:color="CDE9F6"/>
            </w:tcBorders>
            <w:shd w:val="clear" w:color="auto" w:fill="CDE9F6"/>
          </w:tcPr>
          <w:p>
            <w:pPr>
              <w:spacing w:after="0"/>
              <w:rPr>
                <w:sz w:val="20"/>
                <w:szCs w:val="20"/>
                <w:color w:val="auto"/>
              </w:rPr>
            </w:pPr>
            <w:r>
              <w:rPr>
                <w:rFonts w:ascii="Times New Roman" w:cs="Times New Roman" w:eastAsia="Times New Roman" w:hAnsi="Times New Roman"/>
                <w:sz w:val="17"/>
                <w:szCs w:val="17"/>
                <w:color w:val="auto"/>
              </w:rPr>
              <w:t>CrowdStrike Holdings</w:t>
            </w:r>
          </w:p>
        </w:tc>
        <w:tc>
          <w:tcPr>
            <w:tcW w:w="4640" w:type="dxa"/>
            <w:vAlign w:val="bottom"/>
            <w:tcBorders>
              <w:bottom w:val="single" w:sz="8" w:color="CDE9F6"/>
            </w:tcBorders>
            <w:shd w:val="clear" w:color="auto" w:fill="CDE9F6"/>
          </w:tcPr>
          <w:p>
            <w:pPr>
              <w:ind w:left="700"/>
              <w:spacing w:after="0"/>
              <w:rPr>
                <w:sz w:val="20"/>
                <w:szCs w:val="20"/>
                <w:color w:val="auto"/>
              </w:rPr>
            </w:pPr>
            <w:r>
              <w:rPr>
                <w:rFonts w:ascii="Times New Roman" w:cs="Times New Roman" w:eastAsia="Times New Roman" w:hAnsi="Times New Roman"/>
                <w:sz w:val="17"/>
                <w:szCs w:val="17"/>
                <w:color w:val="auto"/>
              </w:rPr>
              <w:t>Workday</w:t>
            </w:r>
          </w:p>
        </w:tc>
      </w:tr>
      <w:tr>
        <w:trPr>
          <w:trHeight w:val="235"/>
        </w:trPr>
        <w:tc>
          <w:tcPr>
            <w:tcW w:w="3220" w:type="dxa"/>
            <w:vAlign w:val="bottom"/>
          </w:tcPr>
          <w:p>
            <w:pPr>
              <w:spacing w:after="0"/>
              <w:rPr>
                <w:sz w:val="20"/>
                <w:szCs w:val="20"/>
                <w:color w:val="auto"/>
              </w:rPr>
            </w:pPr>
            <w:r>
              <w:rPr>
                <w:rFonts w:ascii="Times New Roman" w:cs="Times New Roman" w:eastAsia="Times New Roman" w:hAnsi="Times New Roman"/>
                <w:sz w:val="17"/>
                <w:szCs w:val="17"/>
                <w:color w:val="auto"/>
              </w:rPr>
              <w:t>Datadog</w:t>
            </w:r>
          </w:p>
        </w:tc>
        <w:tc>
          <w:tcPr>
            <w:tcW w:w="4640" w:type="dxa"/>
            <w:vAlign w:val="bottom"/>
          </w:tcPr>
          <w:p>
            <w:pPr>
              <w:ind w:left="700"/>
              <w:spacing w:after="0"/>
              <w:rPr>
                <w:sz w:val="20"/>
                <w:szCs w:val="20"/>
                <w:color w:val="auto"/>
              </w:rPr>
            </w:pPr>
            <w:r>
              <w:rPr>
                <w:rFonts w:ascii="Times New Roman" w:cs="Times New Roman" w:eastAsia="Times New Roman" w:hAnsi="Times New Roman"/>
                <w:sz w:val="17"/>
                <w:szCs w:val="17"/>
                <w:color w:val="auto"/>
              </w:rPr>
              <w:t>Zoom Communications</w:t>
            </w:r>
          </w:p>
        </w:tc>
      </w:tr>
      <w:tr>
        <w:trPr>
          <w:trHeight w:val="40"/>
        </w:trPr>
        <w:tc>
          <w:tcPr>
            <w:tcW w:w="3220" w:type="dxa"/>
            <w:vAlign w:val="bottom"/>
          </w:tcPr>
          <w:p>
            <w:pPr>
              <w:spacing w:after="0"/>
              <w:rPr>
                <w:sz w:val="3"/>
                <w:szCs w:val="3"/>
                <w:color w:val="auto"/>
              </w:rPr>
            </w:pPr>
          </w:p>
        </w:tc>
        <w:tc>
          <w:tcPr>
            <w:tcW w:w="4640" w:type="dxa"/>
            <w:vAlign w:val="bottom"/>
          </w:tcPr>
          <w:p>
            <w:pPr>
              <w:spacing w:after="0"/>
              <w:rPr>
                <w:sz w:val="3"/>
                <w:szCs w:val="3"/>
                <w:color w:val="auto"/>
              </w:rPr>
            </w:pPr>
          </w:p>
        </w:tc>
      </w:tr>
      <w:tr>
        <w:trPr>
          <w:trHeight w:val="255"/>
        </w:trPr>
        <w:tc>
          <w:tcPr>
            <w:tcW w:w="3220" w:type="dxa"/>
            <w:vAlign w:val="bottom"/>
            <w:tcBorders>
              <w:bottom w:val="single" w:sz="8" w:color="CDE9F6"/>
            </w:tcBorders>
            <w:shd w:val="clear" w:color="auto" w:fill="CDE9F6"/>
          </w:tcPr>
          <w:p>
            <w:pPr>
              <w:spacing w:after="0"/>
              <w:rPr>
                <w:sz w:val="20"/>
                <w:szCs w:val="20"/>
                <w:color w:val="auto"/>
              </w:rPr>
            </w:pPr>
            <w:r>
              <w:rPr>
                <w:rFonts w:ascii="Times New Roman" w:cs="Times New Roman" w:eastAsia="Times New Roman" w:hAnsi="Times New Roman"/>
                <w:sz w:val="17"/>
                <w:szCs w:val="17"/>
                <w:color w:val="auto"/>
              </w:rPr>
              <w:t>Digital Realty</w:t>
            </w:r>
          </w:p>
        </w:tc>
        <w:tc>
          <w:tcPr>
            <w:tcW w:w="4640" w:type="dxa"/>
            <w:vAlign w:val="bottom"/>
            <w:tcBorders>
              <w:bottom w:val="single" w:sz="8" w:color="CDE9F6"/>
            </w:tcBorders>
            <w:shd w:val="clear" w:color="auto" w:fill="CDE9F6"/>
          </w:tcPr>
          <w:p>
            <w:pPr>
              <w:ind w:left="700"/>
              <w:spacing w:after="0"/>
              <w:rPr>
                <w:sz w:val="20"/>
                <w:szCs w:val="20"/>
                <w:color w:val="auto"/>
              </w:rPr>
            </w:pPr>
            <w:r>
              <w:rPr>
                <w:rFonts w:ascii="Times New Roman" w:cs="Times New Roman" w:eastAsia="Times New Roman" w:hAnsi="Times New Roman"/>
                <w:sz w:val="17"/>
                <w:szCs w:val="17"/>
                <w:color w:val="auto"/>
              </w:rPr>
              <w:t>Zscaler</w:t>
            </w:r>
          </w:p>
        </w:tc>
      </w:tr>
      <w:tr>
        <w:trPr>
          <w:trHeight w:val="235"/>
        </w:trPr>
        <w:tc>
          <w:tcPr>
            <w:tcW w:w="3220" w:type="dxa"/>
            <w:vAlign w:val="bottom"/>
          </w:tcPr>
          <w:p>
            <w:pPr>
              <w:spacing w:after="0"/>
              <w:rPr>
                <w:sz w:val="20"/>
                <w:szCs w:val="20"/>
                <w:color w:val="auto"/>
              </w:rPr>
            </w:pPr>
            <w:r>
              <w:rPr>
                <w:rFonts w:ascii="Times New Roman" w:cs="Times New Roman" w:eastAsia="Times New Roman" w:hAnsi="Times New Roman"/>
                <w:sz w:val="17"/>
                <w:szCs w:val="17"/>
                <w:color w:val="auto"/>
              </w:rPr>
              <w:t>Equinix</w:t>
            </w:r>
          </w:p>
        </w:tc>
        <w:tc>
          <w:tcPr>
            <w:tcW w:w="4640" w:type="dxa"/>
            <w:vAlign w:val="bottom"/>
          </w:tcPr>
          <w:p>
            <w:pPr>
              <w:spacing w:after="0"/>
              <w:rPr>
                <w:sz w:val="20"/>
                <w:szCs w:val="20"/>
                <w:color w:val="auto"/>
              </w:rPr>
            </w:pPr>
          </w:p>
        </w:tc>
      </w:tr>
    </w:tbl>
    <w:p>
      <w:pPr>
        <w:spacing w:after="0" w:line="22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i w:val="1"/>
          <w:iCs w:val="1"/>
          <w:color w:val="auto"/>
        </w:rPr>
        <w:t>2025 Compensation Decisions</w:t>
      </w:r>
    </w:p>
    <w:p>
      <w:pPr>
        <w:spacing w:after="0" w:line="145" w:lineRule="exact"/>
        <w:rPr>
          <w:sz w:val="20"/>
          <w:szCs w:val="20"/>
          <w:color w:val="auto"/>
        </w:rPr>
      </w:pPr>
    </w:p>
    <w:p>
      <w:pPr>
        <w:ind w:left="580" w:right="599" w:firstLine="349"/>
        <w:spacing w:after="0" w:line="265" w:lineRule="auto"/>
        <w:rPr>
          <w:sz w:val="20"/>
          <w:szCs w:val="20"/>
          <w:color w:val="auto"/>
        </w:rPr>
      </w:pPr>
      <w:r>
        <w:rPr>
          <w:rFonts w:ascii="Times New Roman" w:cs="Times New Roman" w:eastAsia="Times New Roman" w:hAnsi="Times New Roman"/>
          <w:sz w:val="17"/>
          <w:szCs w:val="17"/>
          <w:b w:val="1"/>
          <w:bCs w:val="1"/>
          <w:i w:val="1"/>
          <w:iCs w:val="1"/>
          <w:color w:val="auto"/>
        </w:rPr>
        <w:t xml:space="preserve">Base Pay. </w:t>
      </w:r>
      <w:r>
        <w:rPr>
          <w:rFonts w:ascii="Times New Roman" w:cs="Times New Roman" w:eastAsia="Times New Roman" w:hAnsi="Times New Roman"/>
          <w:sz w:val="17"/>
          <w:szCs w:val="17"/>
          <w:color w:val="auto"/>
        </w:rPr>
        <w:t>As part of our annual performance review process and review of the NEOs’ compensation,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early each year the Human Resources Committee assesses the performance of the NEOs, considering factors such as company performance, department performance and individual performance, including each NEO’s expertise, position, past contributions to Fortinet and potential future contributions to Fortinet. Largely as a result of this assessment and taking into account reasonable annual base pay increase practices and Compensia’s data and analysis, the Human Resources Committee considered whether and how much to adjust the base pay of the NEOs.</w:t>
      </w:r>
    </w:p>
    <w:p>
      <w:pPr>
        <w:spacing w:after="0" w:line="320" w:lineRule="exact"/>
        <w:rPr>
          <w:sz w:val="20"/>
          <w:szCs w:val="20"/>
          <w:color w:val="auto"/>
        </w:rPr>
      </w:pPr>
    </w:p>
    <w:p>
      <w:pPr>
        <w:jc w:val="both"/>
        <w:ind w:left="580" w:right="759" w:firstLine="349"/>
        <w:spacing w:after="0" w:line="276" w:lineRule="auto"/>
        <w:rPr>
          <w:sz w:val="20"/>
          <w:szCs w:val="20"/>
          <w:color w:val="auto"/>
        </w:rPr>
      </w:pPr>
      <w:r>
        <w:rPr>
          <w:rFonts w:ascii="Times New Roman" w:cs="Times New Roman" w:eastAsia="Times New Roman" w:hAnsi="Times New Roman"/>
          <w:sz w:val="17"/>
          <w:szCs w:val="17"/>
          <w:color w:val="auto"/>
        </w:rPr>
        <w:t>In May 2025, in connection with her appointment as our Chief Financial Officer, the Board increased the annual base salary of Ms. Ohlgart. The annual base salaries of Mr. Ken Xie, Mr. Michael Xie, Mr. Jensen, and Mr. Whittle remain unchanged in 2025, as further described below.</w:t>
      </w:r>
    </w:p>
    <w:p>
      <w:pPr>
        <w:spacing w:after="0" w:line="210" w:lineRule="exact"/>
        <w:rPr>
          <w:sz w:val="20"/>
          <w:szCs w:val="20"/>
          <w:color w:val="auto"/>
        </w:rPr>
      </w:pPr>
    </w:p>
    <w:tbl>
      <w:tblPr>
        <w:tblLayout w:type="fixed"/>
        <w:tblInd w:w="580" w:type="dxa"/>
        <w:tblCellMar>
          <w:top w:w="0" w:type="dxa"/>
          <w:left w:w="0" w:type="dxa"/>
          <w:bottom w:w="0" w:type="dxa"/>
          <w:right w:w="0" w:type="dxa"/>
        </w:tblCellMar>
      </w:tblPr>
      <w:tr>
        <w:trPr>
          <w:trHeight w:val="184"/>
        </w:trPr>
        <w:tc>
          <w:tcPr>
            <w:tcW w:w="39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80" w:type="dxa"/>
            <w:vAlign w:val="bottom"/>
          </w:tcPr>
          <w:p>
            <w:pPr>
              <w:spacing w:after="0"/>
              <w:rPr>
                <w:sz w:val="16"/>
                <w:szCs w:val="16"/>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2024 Base Salary</w:t>
            </w:r>
          </w:p>
        </w:tc>
        <w:tc>
          <w:tcPr>
            <w:tcW w:w="120" w:type="dxa"/>
            <w:vAlign w:val="bottom"/>
          </w:tcPr>
          <w:p>
            <w:pPr>
              <w:spacing w:after="0"/>
              <w:rPr>
                <w:sz w:val="16"/>
                <w:szCs w:val="16"/>
                <w:color w:val="auto"/>
              </w:rPr>
            </w:pPr>
          </w:p>
        </w:tc>
        <w:tc>
          <w:tcPr>
            <w:tcW w:w="12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2025 Base Salary</w:t>
            </w:r>
          </w:p>
        </w:tc>
        <w:tc>
          <w:tcPr>
            <w:tcW w:w="1280" w:type="dxa"/>
            <w:vAlign w:val="bottom"/>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3"/>
        </w:trPr>
        <w:tc>
          <w:tcPr>
            <w:tcW w:w="3880" w:type="dxa"/>
            <w:vAlign w:val="bottom"/>
            <w:tcBorders>
              <w:bottom w:val="single" w:sz="8" w:color="auto"/>
            </w:tcBorders>
          </w:tcPr>
          <w:p>
            <w:pPr>
              <w:spacing w:after="0"/>
              <w:rPr>
                <w:sz w:val="2"/>
                <w:szCs w:val="2"/>
                <w:color w:val="auto"/>
              </w:rPr>
            </w:pPr>
          </w:p>
        </w:tc>
        <w:tc>
          <w:tcPr>
            <w:tcW w:w="100" w:type="dxa"/>
            <w:vAlign w:val="bottom"/>
            <w:tcBorders>
              <w:bottom w:val="single" w:sz="8" w:color="CDE9F6"/>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DE9F6"/>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DE9F6"/>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5"/>
        </w:trPr>
        <w:tc>
          <w:tcPr>
            <w:tcW w:w="3880" w:type="dxa"/>
            <w:vAlign w:val="bottom"/>
            <w:tcBorders>
              <w:bottom w:val="single" w:sz="8" w:color="CDE9F6"/>
            </w:tcBorders>
            <w:shd w:val="clear" w:color="auto" w:fill="CDE9F6"/>
          </w:tcPr>
          <w:p>
            <w:pPr>
              <w:spacing w:after="0"/>
              <w:rPr>
                <w:sz w:val="20"/>
                <w:szCs w:val="20"/>
                <w:color w:val="auto"/>
              </w:rPr>
            </w:pPr>
            <w:r>
              <w:rPr>
                <w:rFonts w:ascii="Times New Roman" w:cs="Times New Roman" w:eastAsia="Times New Roman" w:hAnsi="Times New Roman"/>
                <w:sz w:val="17"/>
                <w:szCs w:val="17"/>
                <w:color w:val="auto"/>
              </w:rPr>
              <w:t>Mr. Ken Xie</w:t>
            </w:r>
          </w:p>
        </w:tc>
        <w:tc>
          <w:tcPr>
            <w:tcW w:w="100" w:type="dxa"/>
            <w:vAlign w:val="bottom"/>
            <w:tcBorders>
              <w:bottom w:val="single" w:sz="8" w:color="CDE9F6"/>
            </w:tcBorders>
            <w:shd w:val="clear" w:color="auto" w:fill="CDE9F6"/>
          </w:tcPr>
          <w:p>
            <w:pPr>
              <w:spacing w:after="0"/>
              <w:rPr>
                <w:sz w:val="20"/>
                <w:szCs w:val="20"/>
                <w:color w:val="auto"/>
              </w:rPr>
            </w:pPr>
          </w:p>
        </w:tc>
        <w:tc>
          <w:tcPr>
            <w:tcW w:w="80" w:type="dxa"/>
            <w:vAlign w:val="bottom"/>
            <w:tcBorders>
              <w:bottom w:val="single" w:sz="8" w:color="CDE9F6"/>
            </w:tcBorders>
            <w:shd w:val="clear" w:color="auto" w:fill="CDE9F6"/>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CDE9F6"/>
            </w:tcBorders>
            <w:shd w:val="clear" w:color="auto" w:fill="CDE9F6"/>
          </w:tcPr>
          <w:p>
            <w:pPr>
              <w:jc w:val="right"/>
              <w:spacing w:after="0"/>
              <w:rPr>
                <w:sz w:val="20"/>
                <w:szCs w:val="20"/>
                <w:color w:val="auto"/>
              </w:rPr>
            </w:pPr>
            <w:r>
              <w:rPr>
                <w:rFonts w:ascii="Times New Roman" w:cs="Times New Roman" w:eastAsia="Times New Roman" w:hAnsi="Times New Roman"/>
                <w:sz w:val="17"/>
                <w:szCs w:val="17"/>
                <w:color w:val="auto"/>
              </w:rPr>
              <w:t>597,000</w:t>
            </w:r>
          </w:p>
        </w:tc>
        <w:tc>
          <w:tcPr>
            <w:tcW w:w="100" w:type="dxa"/>
            <w:vAlign w:val="bottom"/>
            <w:tcBorders>
              <w:bottom w:val="single" w:sz="8" w:color="CDE9F6"/>
            </w:tcBorders>
            <w:shd w:val="clear" w:color="auto" w:fill="CDE9F6"/>
          </w:tcPr>
          <w:p>
            <w:pPr>
              <w:spacing w:after="0"/>
              <w:rPr>
                <w:sz w:val="20"/>
                <w:szCs w:val="20"/>
                <w:color w:val="auto"/>
              </w:rPr>
            </w:pPr>
          </w:p>
        </w:tc>
        <w:tc>
          <w:tcPr>
            <w:tcW w:w="120" w:type="dxa"/>
            <w:vAlign w:val="bottom"/>
            <w:tcBorders>
              <w:bottom w:val="single" w:sz="8" w:color="CDE9F6"/>
            </w:tcBorders>
            <w:shd w:val="clear" w:color="auto" w:fill="CDE9F6"/>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bottom w:val="single" w:sz="8" w:color="CDE9F6"/>
            </w:tcBorders>
            <w:shd w:val="clear" w:color="auto" w:fill="CDE9F6"/>
          </w:tcPr>
          <w:p>
            <w:pPr>
              <w:ind w:left="480"/>
              <w:spacing w:after="0"/>
              <w:rPr>
                <w:sz w:val="20"/>
                <w:szCs w:val="20"/>
                <w:color w:val="auto"/>
              </w:rPr>
            </w:pPr>
            <w:r>
              <w:rPr>
                <w:rFonts w:ascii="Times New Roman" w:cs="Times New Roman" w:eastAsia="Times New Roman" w:hAnsi="Times New Roman"/>
                <w:sz w:val="17"/>
                <w:szCs w:val="17"/>
                <w:color w:val="auto"/>
              </w:rPr>
              <w:t>597,000</w:t>
            </w:r>
          </w:p>
        </w:tc>
        <w:tc>
          <w:tcPr>
            <w:tcW w:w="80" w:type="dxa"/>
            <w:vAlign w:val="bottom"/>
            <w:tcBorders>
              <w:bottom w:val="single" w:sz="8" w:color="CDE9F6"/>
            </w:tcBorders>
            <w:shd w:val="clear" w:color="auto" w:fill="CDE9F6"/>
          </w:tcPr>
          <w:p>
            <w:pPr>
              <w:spacing w:after="0"/>
              <w:rPr>
                <w:sz w:val="20"/>
                <w:szCs w:val="20"/>
                <w:color w:val="auto"/>
              </w:rPr>
            </w:pPr>
          </w:p>
        </w:tc>
        <w:tc>
          <w:tcPr>
            <w:tcW w:w="1280" w:type="dxa"/>
            <w:vAlign w:val="bottom"/>
            <w:tcBorders>
              <w:bottom w:val="single" w:sz="8" w:color="CDE9F6"/>
            </w:tcBorders>
            <w:shd w:val="clear" w:color="auto" w:fill="CDE9F6"/>
          </w:tcPr>
          <w:p>
            <w:pPr>
              <w:jc w:val="right"/>
              <w:ind w:right="76"/>
              <w:spacing w:after="0"/>
              <w:rPr>
                <w:sz w:val="20"/>
                <w:szCs w:val="20"/>
                <w:color w:val="auto"/>
              </w:rPr>
            </w:pPr>
            <w:r>
              <w:rPr>
                <w:rFonts w:ascii="Times New Roman" w:cs="Times New Roman" w:eastAsia="Times New Roman" w:hAnsi="Times New Roman"/>
                <w:sz w:val="17"/>
                <w:szCs w:val="17"/>
                <w:color w:val="auto"/>
              </w:rPr>
              <w:t>—</w:t>
            </w:r>
          </w:p>
        </w:tc>
      </w:tr>
      <w:tr>
        <w:trPr>
          <w:trHeight w:val="235"/>
        </w:trPr>
        <w:tc>
          <w:tcPr>
            <w:tcW w:w="39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Mr. Michael Xie</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445,000</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445,000</w:t>
            </w:r>
          </w:p>
        </w:tc>
        <w:tc>
          <w:tcPr>
            <w:tcW w:w="80" w:type="dxa"/>
            <w:vAlign w:val="bottom"/>
          </w:tcPr>
          <w:p>
            <w:pPr>
              <w:spacing w:after="0"/>
              <w:rPr>
                <w:sz w:val="20"/>
                <w:szCs w:val="20"/>
                <w:color w:val="auto"/>
              </w:rPr>
            </w:pPr>
          </w:p>
        </w:tc>
        <w:tc>
          <w:tcPr>
            <w:tcW w:w="128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rPr>
              <w:t>—</w:t>
            </w:r>
          </w:p>
        </w:tc>
      </w:tr>
      <w:tr>
        <w:trPr>
          <w:trHeight w:val="40"/>
        </w:trPr>
        <w:tc>
          <w:tcPr>
            <w:tcW w:w="3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55"/>
        </w:trPr>
        <w:tc>
          <w:tcPr>
            <w:tcW w:w="3980" w:type="dxa"/>
            <w:vAlign w:val="bottom"/>
            <w:tcBorders>
              <w:bottom w:val="single" w:sz="8" w:color="CDE9F6"/>
            </w:tcBorders>
            <w:gridSpan w:val="2"/>
            <w:shd w:val="clear" w:color="auto" w:fill="CDE9F6"/>
          </w:tcPr>
          <w:p>
            <w:pPr>
              <w:spacing w:after="0"/>
              <w:rPr>
                <w:sz w:val="20"/>
                <w:szCs w:val="20"/>
                <w:color w:val="auto"/>
              </w:rPr>
            </w:pPr>
            <w:r>
              <w:rPr>
                <w:rFonts w:ascii="Times New Roman" w:cs="Times New Roman" w:eastAsia="Times New Roman" w:hAnsi="Times New Roman"/>
                <w:sz w:val="17"/>
                <w:szCs w:val="17"/>
                <w:color w:val="auto"/>
              </w:rPr>
              <w:t>Ms. Ohlgart</w:t>
            </w:r>
          </w:p>
        </w:tc>
        <w:tc>
          <w:tcPr>
            <w:tcW w:w="80" w:type="dxa"/>
            <w:vAlign w:val="bottom"/>
            <w:tcBorders>
              <w:bottom w:val="single" w:sz="8" w:color="CDE9F6"/>
            </w:tcBorders>
            <w:shd w:val="clear" w:color="auto" w:fill="CDE9F6"/>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CDE9F6"/>
            </w:tcBorders>
            <w:gridSpan w:val="2"/>
            <w:shd w:val="clear" w:color="auto" w:fill="CDE9F6"/>
          </w:tcPr>
          <w:p>
            <w:pPr>
              <w:jc w:val="right"/>
              <w:ind w:right="100"/>
              <w:spacing w:after="0"/>
              <w:rPr>
                <w:sz w:val="20"/>
                <w:szCs w:val="20"/>
                <w:color w:val="auto"/>
              </w:rPr>
            </w:pPr>
            <w:r>
              <w:rPr>
                <w:rFonts w:ascii="Times New Roman" w:cs="Times New Roman" w:eastAsia="Times New Roman" w:hAnsi="Times New Roman"/>
                <w:sz w:val="17"/>
                <w:szCs w:val="17"/>
                <w:color w:val="auto"/>
              </w:rPr>
              <w:t>450,000</w:t>
            </w:r>
          </w:p>
        </w:tc>
        <w:tc>
          <w:tcPr>
            <w:tcW w:w="120" w:type="dxa"/>
            <w:vAlign w:val="bottom"/>
            <w:tcBorders>
              <w:bottom w:val="single" w:sz="8" w:color="CDE9F6"/>
            </w:tcBorders>
            <w:shd w:val="clear" w:color="auto" w:fill="CDE9F6"/>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bottom w:val="single" w:sz="8" w:color="CDE9F6"/>
            </w:tcBorders>
            <w:shd w:val="clear" w:color="auto" w:fill="CDE9F6"/>
          </w:tcPr>
          <w:p>
            <w:pPr>
              <w:ind w:left="480"/>
              <w:spacing w:after="0"/>
              <w:rPr>
                <w:sz w:val="20"/>
                <w:szCs w:val="20"/>
                <w:color w:val="auto"/>
              </w:rPr>
            </w:pPr>
            <w:r>
              <w:rPr>
                <w:rFonts w:ascii="Times New Roman" w:cs="Times New Roman" w:eastAsia="Times New Roman" w:hAnsi="Times New Roman"/>
                <w:sz w:val="17"/>
                <w:szCs w:val="17"/>
                <w:color w:val="auto"/>
              </w:rPr>
              <w:t>480,000</w:t>
            </w:r>
          </w:p>
        </w:tc>
        <w:tc>
          <w:tcPr>
            <w:tcW w:w="80" w:type="dxa"/>
            <w:vAlign w:val="bottom"/>
            <w:tcBorders>
              <w:bottom w:val="single" w:sz="8" w:color="CDE9F6"/>
            </w:tcBorders>
            <w:shd w:val="clear" w:color="auto" w:fill="CDE9F6"/>
          </w:tcPr>
          <w:p>
            <w:pPr>
              <w:spacing w:after="0"/>
              <w:rPr>
                <w:sz w:val="22"/>
                <w:szCs w:val="22"/>
                <w:color w:val="auto"/>
              </w:rPr>
            </w:pPr>
          </w:p>
        </w:tc>
        <w:tc>
          <w:tcPr>
            <w:tcW w:w="1280" w:type="dxa"/>
            <w:vAlign w:val="bottom"/>
            <w:tcBorders>
              <w:bottom w:val="single" w:sz="8" w:color="CDE9F6"/>
            </w:tcBorders>
            <w:shd w:val="clear" w:color="auto" w:fill="CDE9F6"/>
          </w:tcPr>
          <w:p>
            <w:pPr>
              <w:jc w:val="right"/>
              <w:spacing w:after="0"/>
              <w:rPr>
                <w:sz w:val="20"/>
                <w:szCs w:val="20"/>
                <w:color w:val="auto"/>
              </w:rPr>
            </w:pPr>
            <w:r>
              <w:rPr>
                <w:rFonts w:ascii="Times New Roman" w:cs="Times New Roman" w:eastAsia="Times New Roman" w:hAnsi="Times New Roman"/>
                <w:sz w:val="17"/>
                <w:szCs w:val="17"/>
                <w:color w:val="auto"/>
              </w:rPr>
              <w:t>6.67%</w:t>
            </w:r>
          </w:p>
        </w:tc>
      </w:tr>
      <w:tr>
        <w:trPr>
          <w:trHeight w:val="275"/>
        </w:trPr>
        <w:tc>
          <w:tcPr>
            <w:tcW w:w="39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Mr. Jensen</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506,000</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Pr>
          <w:p>
            <w:pPr>
              <w:ind w:left="480"/>
              <w:spacing w:after="0"/>
              <w:rPr>
                <w:sz w:val="20"/>
                <w:szCs w:val="20"/>
                <w:color w:val="auto"/>
              </w:rPr>
            </w:pPr>
            <w:r>
              <w:rPr>
                <w:rFonts w:ascii="Times New Roman" w:cs="Times New Roman" w:eastAsia="Times New Roman" w:hAnsi="Times New Roman"/>
                <w:sz w:val="17"/>
                <w:szCs w:val="17"/>
                <w:color w:val="auto"/>
                <w:w w:val="95"/>
              </w:rPr>
              <w:t>506,000</w:t>
            </w:r>
            <w:r>
              <w:rPr>
                <w:rFonts w:ascii="Times New Roman" w:cs="Times New Roman" w:eastAsia="Times New Roman" w:hAnsi="Times New Roman"/>
                <w:sz w:val="20"/>
                <w:szCs w:val="20"/>
                <w:color w:val="auto"/>
                <w:w w:val="95"/>
                <w:vertAlign w:val="superscript"/>
              </w:rPr>
              <w:t>(1)</w:t>
            </w:r>
          </w:p>
        </w:tc>
        <w:tc>
          <w:tcPr>
            <w:tcW w:w="80" w:type="dxa"/>
            <w:vAlign w:val="bottom"/>
          </w:tcPr>
          <w:p>
            <w:pPr>
              <w:spacing w:after="0"/>
              <w:rPr>
                <w:sz w:val="23"/>
                <w:szCs w:val="23"/>
                <w:color w:val="auto"/>
              </w:rPr>
            </w:pPr>
          </w:p>
        </w:tc>
        <w:tc>
          <w:tcPr>
            <w:tcW w:w="128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rPr>
              <w:t>—</w:t>
            </w:r>
          </w:p>
        </w:tc>
      </w:tr>
      <w:tr>
        <w:trPr>
          <w:trHeight w:val="235"/>
        </w:trPr>
        <w:tc>
          <w:tcPr>
            <w:tcW w:w="3980" w:type="dxa"/>
            <w:vAlign w:val="bottom"/>
            <w:gridSpan w:val="2"/>
            <w:shd w:val="clear" w:color="auto" w:fill="CDE9F6"/>
          </w:tcPr>
          <w:p>
            <w:pPr>
              <w:spacing w:after="0"/>
              <w:rPr>
                <w:sz w:val="20"/>
                <w:szCs w:val="20"/>
                <w:color w:val="auto"/>
              </w:rPr>
            </w:pPr>
            <w:r>
              <w:rPr>
                <w:rFonts w:ascii="Times New Roman" w:cs="Times New Roman" w:eastAsia="Times New Roman" w:hAnsi="Times New Roman"/>
                <w:sz w:val="17"/>
                <w:szCs w:val="17"/>
                <w:color w:val="auto"/>
              </w:rPr>
              <w:t>Mr. Whittle</w:t>
            </w:r>
          </w:p>
        </w:tc>
        <w:tc>
          <w:tcPr>
            <w:tcW w:w="80" w:type="dxa"/>
            <w:vAlign w:val="bottom"/>
            <w:shd w:val="clear" w:color="auto" w:fill="CDE9F6"/>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DE9F6"/>
          </w:tcPr>
          <w:p>
            <w:pPr>
              <w:jc w:val="right"/>
              <w:ind w:right="100"/>
              <w:spacing w:after="0"/>
              <w:rPr>
                <w:sz w:val="20"/>
                <w:szCs w:val="20"/>
                <w:color w:val="auto"/>
              </w:rPr>
            </w:pPr>
            <w:r>
              <w:rPr>
                <w:rFonts w:ascii="Times New Roman" w:cs="Times New Roman" w:eastAsia="Times New Roman" w:hAnsi="Times New Roman"/>
                <w:sz w:val="17"/>
                <w:szCs w:val="17"/>
                <w:color w:val="auto"/>
              </w:rPr>
              <w:t>506,000</w:t>
            </w:r>
          </w:p>
        </w:tc>
        <w:tc>
          <w:tcPr>
            <w:tcW w:w="120" w:type="dxa"/>
            <w:vAlign w:val="bottom"/>
            <w:shd w:val="clear" w:color="auto" w:fill="CDE9F6"/>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CDE9F6"/>
          </w:tcPr>
          <w:p>
            <w:pPr>
              <w:ind w:left="480"/>
              <w:spacing w:after="0"/>
              <w:rPr>
                <w:sz w:val="20"/>
                <w:szCs w:val="20"/>
                <w:color w:val="auto"/>
              </w:rPr>
            </w:pPr>
            <w:r>
              <w:rPr>
                <w:rFonts w:ascii="Times New Roman" w:cs="Times New Roman" w:eastAsia="Times New Roman" w:hAnsi="Times New Roman"/>
                <w:sz w:val="17"/>
                <w:szCs w:val="17"/>
                <w:color w:val="auto"/>
              </w:rPr>
              <w:t>506,000</w:t>
            </w:r>
          </w:p>
        </w:tc>
        <w:tc>
          <w:tcPr>
            <w:tcW w:w="80" w:type="dxa"/>
            <w:vAlign w:val="bottom"/>
            <w:shd w:val="clear" w:color="auto" w:fill="CDE9F6"/>
          </w:tcPr>
          <w:p>
            <w:pPr>
              <w:spacing w:after="0"/>
              <w:rPr>
                <w:sz w:val="20"/>
                <w:szCs w:val="20"/>
                <w:color w:val="auto"/>
              </w:rPr>
            </w:pPr>
          </w:p>
        </w:tc>
        <w:tc>
          <w:tcPr>
            <w:tcW w:w="1280" w:type="dxa"/>
            <w:vAlign w:val="bottom"/>
            <w:shd w:val="clear" w:color="auto" w:fill="CDE9F6"/>
          </w:tcPr>
          <w:p>
            <w:pPr>
              <w:jc w:val="right"/>
              <w:ind w:right="76"/>
              <w:spacing w:after="0"/>
              <w:rPr>
                <w:sz w:val="20"/>
                <w:szCs w:val="20"/>
                <w:color w:val="auto"/>
              </w:rPr>
            </w:pPr>
            <w:r>
              <w:rPr>
                <w:rFonts w:ascii="Times New Roman" w:cs="Times New Roman" w:eastAsia="Times New Roman" w:hAnsi="Times New Roman"/>
                <w:sz w:val="17"/>
                <w:szCs w:val="17"/>
                <w:color w:val="auto"/>
              </w:rPr>
              <w:t>—</w:t>
            </w:r>
          </w:p>
        </w:tc>
      </w:tr>
      <w:tr>
        <w:trPr>
          <w:trHeight w:val="40"/>
        </w:trPr>
        <w:tc>
          <w:tcPr>
            <w:tcW w:w="3880" w:type="dxa"/>
            <w:vAlign w:val="bottom"/>
            <w:shd w:val="clear" w:color="auto" w:fill="CDE9F6"/>
          </w:tcPr>
          <w:p>
            <w:pPr>
              <w:spacing w:after="0"/>
              <w:rPr>
                <w:sz w:val="3"/>
                <w:szCs w:val="3"/>
                <w:color w:val="auto"/>
              </w:rPr>
            </w:pPr>
          </w:p>
        </w:tc>
        <w:tc>
          <w:tcPr>
            <w:tcW w:w="100" w:type="dxa"/>
            <w:vAlign w:val="bottom"/>
            <w:shd w:val="clear" w:color="auto" w:fill="CDE9F6"/>
          </w:tcPr>
          <w:p>
            <w:pPr>
              <w:spacing w:after="0"/>
              <w:rPr>
                <w:sz w:val="3"/>
                <w:szCs w:val="3"/>
                <w:color w:val="auto"/>
              </w:rPr>
            </w:pPr>
          </w:p>
        </w:tc>
        <w:tc>
          <w:tcPr>
            <w:tcW w:w="80" w:type="dxa"/>
            <w:vAlign w:val="bottom"/>
            <w:shd w:val="clear" w:color="auto" w:fill="CDE9F6"/>
          </w:tcPr>
          <w:p>
            <w:pPr>
              <w:spacing w:after="0"/>
              <w:rPr>
                <w:sz w:val="3"/>
                <w:szCs w:val="3"/>
                <w:color w:val="auto"/>
              </w:rPr>
            </w:pPr>
          </w:p>
        </w:tc>
        <w:tc>
          <w:tcPr>
            <w:tcW w:w="1040" w:type="dxa"/>
            <w:vAlign w:val="bottom"/>
            <w:shd w:val="clear" w:color="auto" w:fill="CDE9F6"/>
          </w:tcPr>
          <w:p>
            <w:pPr>
              <w:spacing w:after="0"/>
              <w:rPr>
                <w:sz w:val="3"/>
                <w:szCs w:val="3"/>
                <w:color w:val="auto"/>
              </w:rPr>
            </w:pPr>
          </w:p>
        </w:tc>
        <w:tc>
          <w:tcPr>
            <w:tcW w:w="100" w:type="dxa"/>
            <w:vAlign w:val="bottom"/>
            <w:shd w:val="clear" w:color="auto" w:fill="CDE9F6"/>
          </w:tcPr>
          <w:p>
            <w:pPr>
              <w:spacing w:after="0"/>
              <w:rPr>
                <w:sz w:val="3"/>
                <w:szCs w:val="3"/>
                <w:color w:val="auto"/>
              </w:rPr>
            </w:pPr>
          </w:p>
        </w:tc>
        <w:tc>
          <w:tcPr>
            <w:tcW w:w="120" w:type="dxa"/>
            <w:vAlign w:val="bottom"/>
            <w:shd w:val="clear" w:color="auto" w:fill="CDE9F6"/>
          </w:tcPr>
          <w:p>
            <w:pPr>
              <w:spacing w:after="0"/>
              <w:rPr>
                <w:sz w:val="3"/>
                <w:szCs w:val="3"/>
                <w:color w:val="auto"/>
              </w:rPr>
            </w:pPr>
          </w:p>
        </w:tc>
        <w:tc>
          <w:tcPr>
            <w:tcW w:w="1180" w:type="dxa"/>
            <w:vAlign w:val="bottom"/>
            <w:shd w:val="clear" w:color="auto" w:fill="CDE9F6"/>
          </w:tcPr>
          <w:p>
            <w:pPr>
              <w:spacing w:after="0"/>
              <w:rPr>
                <w:sz w:val="3"/>
                <w:szCs w:val="3"/>
                <w:color w:val="auto"/>
              </w:rPr>
            </w:pPr>
          </w:p>
        </w:tc>
        <w:tc>
          <w:tcPr>
            <w:tcW w:w="80" w:type="dxa"/>
            <w:vAlign w:val="bottom"/>
            <w:shd w:val="clear" w:color="auto" w:fill="CDE9F6"/>
          </w:tcPr>
          <w:p>
            <w:pPr>
              <w:spacing w:after="0"/>
              <w:rPr>
                <w:sz w:val="3"/>
                <w:szCs w:val="3"/>
                <w:color w:val="auto"/>
              </w:rPr>
            </w:pPr>
          </w:p>
        </w:tc>
        <w:tc>
          <w:tcPr>
            <w:tcW w:w="1280" w:type="dxa"/>
            <w:vAlign w:val="bottom"/>
            <w:shd w:val="clear" w:color="auto" w:fill="CDE9F6"/>
          </w:tcPr>
          <w:p>
            <w:pPr>
              <w:spacing w:after="0"/>
              <w:rPr>
                <w:sz w:val="3"/>
                <w:szCs w:val="3"/>
                <w:color w:val="auto"/>
              </w:rPr>
            </w:pPr>
          </w:p>
        </w:tc>
      </w:tr>
    </w:tbl>
    <w:p>
      <w:pPr>
        <w:spacing w:after="0" w:line="3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________________________</w:t>
      </w:r>
    </w:p>
    <w:p>
      <w:pPr>
        <w:spacing w:after="0" w:line="100" w:lineRule="exact"/>
        <w:rPr>
          <w:sz w:val="20"/>
          <w:szCs w:val="20"/>
          <w:color w:val="auto"/>
        </w:rPr>
      </w:pPr>
    </w:p>
    <w:p>
      <w:pPr>
        <w:jc w:val="both"/>
        <w:ind w:left="920" w:right="859" w:hanging="346"/>
        <w:spacing w:after="0" w:line="276" w:lineRule="auto"/>
        <w:tabs>
          <w:tab w:leader="none" w:pos="905"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base salary reflects Mr. Jensen’s base salary as our Chief Financial Officer until his resignation on May 15, 2025. Mr. Jensen receives $50,000 annually (paid quarterly) in connection with his services on our Strategic Advisory Council following his resignation as our Chief Financial Officer.</w:t>
      </w:r>
    </w:p>
    <w:p>
      <w:pPr>
        <w:spacing w:after="0" w:line="94" w:lineRule="exact"/>
        <w:rPr>
          <w:sz w:val="20"/>
          <w:szCs w:val="20"/>
          <w:color w:val="auto"/>
        </w:rPr>
      </w:pPr>
    </w:p>
    <w:p>
      <w:pPr>
        <w:ind w:left="580" w:right="639" w:firstLine="349"/>
        <w:spacing w:after="0" w:line="272" w:lineRule="auto"/>
        <w:rPr>
          <w:sz w:val="20"/>
          <w:szCs w:val="20"/>
          <w:color w:val="auto"/>
        </w:rPr>
      </w:pPr>
      <w:r>
        <w:rPr>
          <w:rFonts w:ascii="Times New Roman" w:cs="Times New Roman" w:eastAsia="Times New Roman" w:hAnsi="Times New Roman"/>
          <w:sz w:val="17"/>
          <w:szCs w:val="17"/>
          <w:b w:val="1"/>
          <w:bCs w:val="1"/>
          <w:i w:val="1"/>
          <w:iCs w:val="1"/>
          <w:color w:val="auto"/>
        </w:rPr>
        <w:t xml:space="preserve">Variable Pay. </w:t>
      </w:r>
      <w:r>
        <w:rPr>
          <w:rFonts w:ascii="Times New Roman" w:cs="Times New Roman" w:eastAsia="Times New Roman" w:hAnsi="Times New Roman"/>
          <w:sz w:val="17"/>
          <w:szCs w:val="17"/>
          <w:color w:val="auto"/>
        </w:rPr>
        <w:t>We determine the executive’s actual level of variable compensation in accordance with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terms of the Bonus Program approved by the Human Resources Committee for the year. In developing the framework, we seek to set total cash compensation (i.e., base salary plus variable pay) to meet our goal of ensuring that our cash compensation levels are competitive and to enable us to retain and motivate our NEOs.</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2" w:name="page43"/>
    <w:bookmarkEnd w:id="42"/>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580" w:right="619" w:firstLine="349"/>
        <w:spacing w:after="0" w:line="276" w:lineRule="auto"/>
        <w:rPr>
          <w:sz w:val="20"/>
          <w:szCs w:val="20"/>
          <w:color w:val="auto"/>
        </w:rPr>
      </w:pPr>
      <w:r>
        <w:rPr>
          <w:rFonts w:ascii="Times New Roman" w:cs="Times New Roman" w:eastAsia="Times New Roman" w:hAnsi="Times New Roman"/>
          <w:sz w:val="17"/>
          <w:szCs w:val="17"/>
          <w:color w:val="auto"/>
        </w:rPr>
        <w:t>In January 2025, the Human Resources Committee set the 2025 target bonus opportunities of Mr. Ken Xie, Mr. Michael Xie, Mr. Jensen, and Mr. Whittle as further described below. Ms. Ohlgart’s 2025 target bonus opportunity was set in May 2025 in connection with her appointment as our Chief Financial Officer.</w:t>
      </w:r>
    </w:p>
    <w:p>
      <w:pPr>
        <w:spacing w:after="0" w:line="16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7"/>
          <w:szCs w:val="17"/>
          <w:b w:val="1"/>
          <w:bCs w:val="1"/>
          <w:i w:val="1"/>
          <w:iCs w:val="1"/>
          <w:color w:val="auto"/>
        </w:rPr>
        <w:t>Target Bonus Opportunities</w:t>
      </w:r>
    </w:p>
    <w:p>
      <w:pPr>
        <w:spacing w:after="0" w:line="17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7"/>
              </w:rPr>
              <w:t>2024 Target Bonus</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2025 Target Bonus</w:t>
            </w:r>
          </w:p>
        </w:tc>
        <w:tc>
          <w:tcPr>
            <w:tcW w:w="0" w:type="dxa"/>
            <w:vAlign w:val="bottom"/>
          </w:tcPr>
          <w:p>
            <w:pPr>
              <w:spacing w:after="0"/>
              <w:rPr>
                <w:sz w:val="1"/>
                <w:szCs w:val="1"/>
                <w:color w:val="auto"/>
              </w:rPr>
            </w:pPr>
          </w:p>
        </w:tc>
      </w:tr>
      <w:tr>
        <w:trPr>
          <w:trHeight w:val="144"/>
        </w:trPr>
        <w:tc>
          <w:tcPr>
            <w:tcW w:w="53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40" w:type="dxa"/>
            <w:vAlign w:val="bottom"/>
            <w:gridSpan w:val="2"/>
          </w:tcPr>
          <w:p>
            <w:pPr>
              <w:jc w:val="center"/>
              <w:ind w:right="140"/>
              <w:spacing w:after="0" w:line="144" w:lineRule="exact"/>
              <w:rPr>
                <w:sz w:val="20"/>
                <w:szCs w:val="20"/>
                <w:color w:val="auto"/>
              </w:rPr>
            </w:pPr>
            <w:r>
              <w:rPr>
                <w:rFonts w:ascii="Times New Roman" w:cs="Times New Roman" w:eastAsia="Times New Roman" w:hAnsi="Times New Roman"/>
                <w:sz w:val="14"/>
                <w:szCs w:val="14"/>
                <w:b w:val="1"/>
                <w:bCs w:val="1"/>
                <w:color w:val="auto"/>
                <w:w w:val="98"/>
              </w:rPr>
              <w:t>Opportunity</w:t>
            </w:r>
          </w:p>
        </w:tc>
        <w:tc>
          <w:tcPr>
            <w:tcW w:w="126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w w:val="98"/>
              </w:rPr>
              <w:t>Opportunity</w:t>
            </w:r>
          </w:p>
        </w:tc>
        <w:tc>
          <w:tcPr>
            <w:tcW w:w="0" w:type="dxa"/>
            <w:vAlign w:val="bottom"/>
          </w:tcPr>
          <w:p>
            <w:pPr>
              <w:spacing w:after="0"/>
              <w:rPr>
                <w:sz w:val="1"/>
                <w:szCs w:val="1"/>
                <w:color w:val="auto"/>
              </w:rPr>
            </w:pPr>
          </w:p>
        </w:tc>
      </w:tr>
      <w:tr>
        <w:trPr>
          <w:trHeight w:val="184"/>
        </w:trPr>
        <w:tc>
          <w:tcPr>
            <w:tcW w:w="5360" w:type="dxa"/>
            <w:vAlign w:val="bottom"/>
            <w:gridSpan w:val="2"/>
            <w:vMerge w:val="continue"/>
          </w:tcPr>
          <w:p>
            <w:pPr>
              <w:spacing w:after="0"/>
              <w:rPr>
                <w:sz w:val="16"/>
                <w:szCs w:val="16"/>
                <w:color w:val="auto"/>
              </w:rPr>
            </w:pP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 of Salary)</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 of Salary)</w:t>
            </w:r>
          </w:p>
        </w:tc>
        <w:tc>
          <w:tcPr>
            <w:tcW w:w="0" w:type="dxa"/>
            <w:vAlign w:val="bottom"/>
          </w:tcPr>
          <w:p>
            <w:pPr>
              <w:spacing w:after="0"/>
              <w:rPr>
                <w:sz w:val="1"/>
                <w:szCs w:val="1"/>
                <w:color w:val="auto"/>
              </w:rPr>
            </w:pPr>
          </w:p>
        </w:tc>
      </w:tr>
      <w:tr>
        <w:trPr>
          <w:trHeight w:val="23"/>
        </w:trPr>
        <w:tc>
          <w:tcPr>
            <w:tcW w:w="5260" w:type="dxa"/>
            <w:vAlign w:val="bottom"/>
            <w:tcBorders>
              <w:bottom w:val="single" w:sz="8" w:color="auto"/>
            </w:tcBorders>
          </w:tcPr>
          <w:p>
            <w:pPr>
              <w:spacing w:after="0"/>
              <w:rPr>
                <w:sz w:val="2"/>
                <w:szCs w:val="2"/>
                <w:color w:val="auto"/>
              </w:rPr>
            </w:pPr>
          </w:p>
        </w:tc>
        <w:tc>
          <w:tcPr>
            <w:tcW w:w="100" w:type="dxa"/>
            <w:vAlign w:val="bottom"/>
            <w:tcBorders>
              <w:bottom w:val="single" w:sz="8" w:color="CDE9F6"/>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DE9F6"/>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5"/>
        </w:trPr>
        <w:tc>
          <w:tcPr>
            <w:tcW w:w="5260" w:type="dxa"/>
            <w:vAlign w:val="bottom"/>
            <w:tcBorders>
              <w:bottom w:val="single" w:sz="8" w:color="CDE9F6"/>
            </w:tcBorders>
            <w:shd w:val="clear" w:color="auto" w:fill="CDE9F6"/>
          </w:tcPr>
          <w:p>
            <w:pPr>
              <w:spacing w:after="0"/>
              <w:rPr>
                <w:sz w:val="20"/>
                <w:szCs w:val="20"/>
                <w:color w:val="auto"/>
              </w:rPr>
            </w:pPr>
            <w:r>
              <w:rPr>
                <w:rFonts w:ascii="Times New Roman" w:cs="Times New Roman" w:eastAsia="Times New Roman" w:hAnsi="Times New Roman"/>
                <w:sz w:val="17"/>
                <w:szCs w:val="17"/>
                <w:color w:val="auto"/>
              </w:rPr>
              <w:t>Mr. Ken Xie</w:t>
            </w:r>
          </w:p>
        </w:tc>
        <w:tc>
          <w:tcPr>
            <w:tcW w:w="100" w:type="dxa"/>
            <w:vAlign w:val="bottom"/>
            <w:tcBorders>
              <w:bottom w:val="single" w:sz="8" w:color="CDE9F6"/>
            </w:tcBorders>
            <w:shd w:val="clear" w:color="auto" w:fill="CDE9F6"/>
          </w:tcPr>
          <w:p>
            <w:pPr>
              <w:spacing w:after="0"/>
              <w:rPr>
                <w:sz w:val="20"/>
                <w:szCs w:val="20"/>
                <w:color w:val="auto"/>
              </w:rPr>
            </w:pPr>
          </w:p>
        </w:tc>
        <w:tc>
          <w:tcPr>
            <w:tcW w:w="1140" w:type="dxa"/>
            <w:vAlign w:val="bottom"/>
            <w:tcBorders>
              <w:bottom w:val="single" w:sz="8" w:color="CDE9F6"/>
            </w:tcBorders>
            <w:shd w:val="clear" w:color="auto" w:fill="CDE9F6"/>
          </w:tcPr>
          <w:p>
            <w:pPr>
              <w:jc w:val="right"/>
              <w:spacing w:after="0"/>
              <w:rPr>
                <w:sz w:val="20"/>
                <w:szCs w:val="20"/>
                <w:color w:val="auto"/>
              </w:rPr>
            </w:pPr>
            <w:r>
              <w:rPr>
                <w:rFonts w:ascii="Times New Roman" w:cs="Times New Roman" w:eastAsia="Times New Roman" w:hAnsi="Times New Roman"/>
                <w:sz w:val="17"/>
                <w:szCs w:val="17"/>
                <w:color w:val="auto"/>
              </w:rPr>
              <w:t>120%</w:t>
            </w:r>
          </w:p>
        </w:tc>
        <w:tc>
          <w:tcPr>
            <w:tcW w:w="100" w:type="dxa"/>
            <w:vAlign w:val="bottom"/>
            <w:tcBorders>
              <w:bottom w:val="single" w:sz="8" w:color="CDE9F6"/>
            </w:tcBorders>
            <w:shd w:val="clear" w:color="auto" w:fill="CDE9F6"/>
          </w:tcPr>
          <w:p>
            <w:pPr>
              <w:spacing w:after="0"/>
              <w:rPr>
                <w:sz w:val="20"/>
                <w:szCs w:val="20"/>
                <w:color w:val="auto"/>
              </w:rPr>
            </w:pPr>
          </w:p>
        </w:tc>
        <w:tc>
          <w:tcPr>
            <w:tcW w:w="1260" w:type="dxa"/>
            <w:vAlign w:val="bottom"/>
            <w:tcBorders>
              <w:bottom w:val="single" w:sz="8" w:color="CDE9F6"/>
            </w:tcBorders>
            <w:shd w:val="clear" w:color="auto" w:fill="CDE9F6"/>
          </w:tcPr>
          <w:p>
            <w:pPr>
              <w:jc w:val="right"/>
              <w:spacing w:after="0"/>
              <w:rPr>
                <w:sz w:val="20"/>
                <w:szCs w:val="20"/>
                <w:color w:val="auto"/>
              </w:rPr>
            </w:pPr>
            <w:r>
              <w:rPr>
                <w:rFonts w:ascii="Times New Roman" w:cs="Times New Roman" w:eastAsia="Times New Roman" w:hAnsi="Times New Roman"/>
                <w:sz w:val="17"/>
                <w:szCs w:val="17"/>
                <w:color w:val="auto"/>
              </w:rPr>
              <w:t>120%</w:t>
            </w:r>
          </w:p>
        </w:tc>
        <w:tc>
          <w:tcPr>
            <w:tcW w:w="0" w:type="dxa"/>
            <w:vAlign w:val="bottom"/>
          </w:tcPr>
          <w:p>
            <w:pPr>
              <w:spacing w:after="0"/>
              <w:rPr>
                <w:sz w:val="1"/>
                <w:szCs w:val="1"/>
                <w:color w:val="auto"/>
              </w:rPr>
            </w:pPr>
          </w:p>
        </w:tc>
      </w:tr>
      <w:tr>
        <w:trPr>
          <w:trHeight w:val="235"/>
        </w:trPr>
        <w:tc>
          <w:tcPr>
            <w:tcW w:w="53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Mr. Michael Xie</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w:t>
            </w:r>
          </w:p>
        </w:tc>
        <w:tc>
          <w:tcPr>
            <w:tcW w:w="1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w:t>
            </w:r>
          </w:p>
        </w:tc>
        <w:tc>
          <w:tcPr>
            <w:tcW w:w="0" w:type="dxa"/>
            <w:vAlign w:val="bottom"/>
          </w:tcPr>
          <w:p>
            <w:pPr>
              <w:spacing w:after="0"/>
              <w:rPr>
                <w:sz w:val="1"/>
                <w:szCs w:val="1"/>
                <w:color w:val="auto"/>
              </w:rPr>
            </w:pPr>
          </w:p>
        </w:tc>
      </w:tr>
      <w:tr>
        <w:trPr>
          <w:trHeight w:val="40"/>
        </w:trPr>
        <w:tc>
          <w:tcPr>
            <w:tcW w:w="5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5"/>
        </w:trPr>
        <w:tc>
          <w:tcPr>
            <w:tcW w:w="5360" w:type="dxa"/>
            <w:vAlign w:val="bottom"/>
            <w:tcBorders>
              <w:bottom w:val="single" w:sz="8" w:color="CDE9F6"/>
            </w:tcBorders>
            <w:gridSpan w:val="2"/>
            <w:shd w:val="clear" w:color="auto" w:fill="CDE9F6"/>
          </w:tcPr>
          <w:p>
            <w:pPr>
              <w:spacing w:after="0"/>
              <w:rPr>
                <w:sz w:val="20"/>
                <w:szCs w:val="20"/>
                <w:color w:val="auto"/>
              </w:rPr>
            </w:pPr>
            <w:r>
              <w:rPr>
                <w:rFonts w:ascii="Times New Roman" w:cs="Times New Roman" w:eastAsia="Times New Roman" w:hAnsi="Times New Roman"/>
                <w:sz w:val="17"/>
                <w:szCs w:val="17"/>
                <w:color w:val="auto"/>
              </w:rPr>
              <w:t>Ms. Ohlgart</w:t>
            </w:r>
          </w:p>
        </w:tc>
        <w:tc>
          <w:tcPr>
            <w:tcW w:w="1240" w:type="dxa"/>
            <w:vAlign w:val="bottom"/>
            <w:tcBorders>
              <w:bottom w:val="single" w:sz="8" w:color="CDE9F6"/>
            </w:tcBorders>
            <w:gridSpan w:val="2"/>
            <w:shd w:val="clear" w:color="auto" w:fill="CDE9F6"/>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bottom w:val="single" w:sz="8" w:color="CDE9F6"/>
            </w:tcBorders>
            <w:shd w:val="clear" w:color="auto" w:fill="CDE9F6"/>
          </w:tcPr>
          <w:p>
            <w:pPr>
              <w:jc w:val="right"/>
              <w:spacing w:after="0"/>
              <w:rPr>
                <w:sz w:val="20"/>
                <w:szCs w:val="20"/>
                <w:color w:val="auto"/>
              </w:rPr>
            </w:pPr>
            <w:r>
              <w:rPr>
                <w:rFonts w:ascii="Times New Roman" w:cs="Times New Roman" w:eastAsia="Times New Roman" w:hAnsi="Times New Roman"/>
                <w:sz w:val="17"/>
                <w:szCs w:val="17"/>
                <w:color w:val="auto"/>
              </w:rPr>
              <w:t>80%</w:t>
            </w:r>
          </w:p>
        </w:tc>
        <w:tc>
          <w:tcPr>
            <w:tcW w:w="0" w:type="dxa"/>
            <w:vAlign w:val="bottom"/>
          </w:tcPr>
          <w:p>
            <w:pPr>
              <w:spacing w:after="0"/>
              <w:rPr>
                <w:sz w:val="1"/>
                <w:szCs w:val="1"/>
                <w:color w:val="auto"/>
              </w:rPr>
            </w:pPr>
          </w:p>
        </w:tc>
      </w:tr>
      <w:tr>
        <w:trPr>
          <w:trHeight w:val="235"/>
        </w:trPr>
        <w:tc>
          <w:tcPr>
            <w:tcW w:w="53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Mr. Jensen</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w:t>
            </w:r>
          </w:p>
        </w:tc>
        <w:tc>
          <w:tcPr>
            <w:tcW w:w="100" w:type="dxa"/>
            <w:vAlign w:val="bottom"/>
          </w:tcPr>
          <w:p>
            <w:pPr>
              <w:spacing w:after="0"/>
              <w:rPr>
                <w:sz w:val="20"/>
                <w:szCs w:val="20"/>
                <w:color w:val="auto"/>
              </w:rPr>
            </w:pPr>
          </w:p>
        </w:tc>
        <w:tc>
          <w:tcPr>
            <w:tcW w:w="1260" w:type="dxa"/>
            <w:vAlign w:val="bottom"/>
          </w:tcPr>
          <w:p>
            <w:pPr>
              <w:jc w:val="right"/>
              <w:ind w:right="79"/>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40"/>
        </w:trPr>
        <w:tc>
          <w:tcPr>
            <w:tcW w:w="5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5"/>
        </w:trPr>
        <w:tc>
          <w:tcPr>
            <w:tcW w:w="5360" w:type="dxa"/>
            <w:vAlign w:val="bottom"/>
            <w:gridSpan w:val="2"/>
            <w:shd w:val="clear" w:color="auto" w:fill="CDE9F6"/>
          </w:tcPr>
          <w:p>
            <w:pPr>
              <w:spacing w:after="0"/>
              <w:rPr>
                <w:sz w:val="20"/>
                <w:szCs w:val="20"/>
                <w:color w:val="auto"/>
              </w:rPr>
            </w:pPr>
            <w:r>
              <w:rPr>
                <w:rFonts w:ascii="Times New Roman" w:cs="Times New Roman" w:eastAsia="Times New Roman" w:hAnsi="Times New Roman"/>
                <w:sz w:val="17"/>
                <w:szCs w:val="17"/>
                <w:color w:val="auto"/>
              </w:rPr>
              <w:t>Mr. Whittle</w:t>
            </w:r>
          </w:p>
        </w:tc>
        <w:tc>
          <w:tcPr>
            <w:tcW w:w="1140" w:type="dxa"/>
            <w:vAlign w:val="bottom"/>
            <w:shd w:val="clear" w:color="auto" w:fill="CDE9F6"/>
          </w:tcPr>
          <w:p>
            <w:pPr>
              <w:jc w:val="right"/>
              <w:spacing w:after="0"/>
              <w:rPr>
                <w:sz w:val="20"/>
                <w:szCs w:val="20"/>
                <w:color w:val="auto"/>
              </w:rPr>
            </w:pPr>
            <w:r>
              <w:rPr>
                <w:rFonts w:ascii="Times New Roman" w:cs="Times New Roman" w:eastAsia="Times New Roman" w:hAnsi="Times New Roman"/>
                <w:sz w:val="17"/>
                <w:szCs w:val="17"/>
                <w:color w:val="auto"/>
              </w:rPr>
              <w:t>90%</w:t>
            </w:r>
          </w:p>
        </w:tc>
        <w:tc>
          <w:tcPr>
            <w:tcW w:w="100" w:type="dxa"/>
            <w:vAlign w:val="bottom"/>
            <w:shd w:val="clear" w:color="auto" w:fill="CDE9F6"/>
          </w:tcPr>
          <w:p>
            <w:pPr>
              <w:spacing w:after="0"/>
              <w:rPr>
                <w:sz w:val="20"/>
                <w:szCs w:val="20"/>
                <w:color w:val="auto"/>
              </w:rPr>
            </w:pPr>
          </w:p>
        </w:tc>
        <w:tc>
          <w:tcPr>
            <w:tcW w:w="1260" w:type="dxa"/>
            <w:vAlign w:val="bottom"/>
            <w:shd w:val="clear" w:color="auto" w:fill="CDE9F6"/>
          </w:tcPr>
          <w:p>
            <w:pPr>
              <w:jc w:val="right"/>
              <w:spacing w:after="0"/>
              <w:rPr>
                <w:sz w:val="20"/>
                <w:szCs w:val="20"/>
                <w:color w:val="auto"/>
              </w:rPr>
            </w:pPr>
            <w:r>
              <w:rPr>
                <w:rFonts w:ascii="Times New Roman" w:cs="Times New Roman" w:eastAsia="Times New Roman" w:hAnsi="Times New Roman"/>
                <w:sz w:val="17"/>
                <w:szCs w:val="17"/>
                <w:color w:val="auto"/>
              </w:rPr>
              <w:t>90%</w:t>
            </w:r>
          </w:p>
        </w:tc>
        <w:tc>
          <w:tcPr>
            <w:tcW w:w="0" w:type="dxa"/>
            <w:vAlign w:val="bottom"/>
          </w:tcPr>
          <w:p>
            <w:pPr>
              <w:spacing w:after="0"/>
              <w:rPr>
                <w:sz w:val="1"/>
                <w:szCs w:val="1"/>
                <w:color w:val="auto"/>
              </w:rPr>
            </w:pPr>
          </w:p>
        </w:tc>
      </w:tr>
      <w:tr>
        <w:trPr>
          <w:trHeight w:val="40"/>
        </w:trPr>
        <w:tc>
          <w:tcPr>
            <w:tcW w:w="5260" w:type="dxa"/>
            <w:vAlign w:val="bottom"/>
            <w:shd w:val="clear" w:color="auto" w:fill="CDE9F6"/>
          </w:tcPr>
          <w:p>
            <w:pPr>
              <w:spacing w:after="0"/>
              <w:rPr>
                <w:sz w:val="3"/>
                <w:szCs w:val="3"/>
                <w:color w:val="auto"/>
              </w:rPr>
            </w:pPr>
          </w:p>
        </w:tc>
        <w:tc>
          <w:tcPr>
            <w:tcW w:w="100" w:type="dxa"/>
            <w:vAlign w:val="bottom"/>
            <w:shd w:val="clear" w:color="auto" w:fill="CDE9F6"/>
          </w:tcPr>
          <w:p>
            <w:pPr>
              <w:spacing w:after="0"/>
              <w:rPr>
                <w:sz w:val="3"/>
                <w:szCs w:val="3"/>
                <w:color w:val="auto"/>
              </w:rPr>
            </w:pPr>
          </w:p>
        </w:tc>
        <w:tc>
          <w:tcPr>
            <w:tcW w:w="1140" w:type="dxa"/>
            <w:vAlign w:val="bottom"/>
            <w:shd w:val="clear" w:color="auto" w:fill="CDE9F6"/>
          </w:tcPr>
          <w:p>
            <w:pPr>
              <w:spacing w:after="0"/>
              <w:rPr>
                <w:sz w:val="3"/>
                <w:szCs w:val="3"/>
                <w:color w:val="auto"/>
              </w:rPr>
            </w:pPr>
          </w:p>
        </w:tc>
        <w:tc>
          <w:tcPr>
            <w:tcW w:w="100" w:type="dxa"/>
            <w:vAlign w:val="bottom"/>
            <w:shd w:val="clear" w:color="auto" w:fill="CDE9F6"/>
          </w:tcPr>
          <w:p>
            <w:pPr>
              <w:spacing w:after="0"/>
              <w:rPr>
                <w:sz w:val="3"/>
                <w:szCs w:val="3"/>
                <w:color w:val="auto"/>
              </w:rPr>
            </w:pPr>
          </w:p>
        </w:tc>
        <w:tc>
          <w:tcPr>
            <w:tcW w:w="1260" w:type="dxa"/>
            <w:vAlign w:val="bottom"/>
            <w:shd w:val="clear" w:color="auto" w:fill="CDE9F6"/>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18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7"/>
          <w:szCs w:val="17"/>
          <w:b w:val="1"/>
          <w:bCs w:val="1"/>
          <w:i w:val="1"/>
          <w:iCs w:val="1"/>
          <w:color w:val="auto"/>
        </w:rPr>
        <w:t>2025 Bonus Program</w:t>
      </w:r>
    </w:p>
    <w:p>
      <w:pPr>
        <w:spacing w:after="0" w:line="149" w:lineRule="exact"/>
        <w:rPr>
          <w:sz w:val="20"/>
          <w:szCs w:val="20"/>
          <w:color w:val="auto"/>
        </w:rPr>
      </w:pPr>
    </w:p>
    <w:p>
      <w:pPr>
        <w:ind w:left="580" w:right="599" w:firstLine="349"/>
        <w:spacing w:after="0" w:line="260" w:lineRule="auto"/>
        <w:rPr>
          <w:sz w:val="20"/>
          <w:szCs w:val="20"/>
          <w:color w:val="auto"/>
        </w:rPr>
      </w:pPr>
      <w:r>
        <w:rPr>
          <w:rFonts w:ascii="Times New Roman" w:cs="Times New Roman" w:eastAsia="Times New Roman" w:hAnsi="Times New Roman"/>
          <w:sz w:val="17"/>
          <w:szCs w:val="17"/>
          <w:color w:val="auto"/>
        </w:rPr>
        <w:t>In 2025, the Human Resources Committee based the Bonus Program funding on achievement of revenue, billings, and operating income targets, as set forth in more detail below, with 35% of the bonus pool funding based on revenue achievement, 35% of the bonus pool funding based on billings achievement, and 30% of the bonus pool funding based on operating income achievement. The Human Resources Committee weighted the Bonus Program funding more heavily toward achieving revenue and billings over operating income because it believed that, at this stage, a continued focus on growing revenue would help drive our long-term success and result in greater opportunity for profit in the future and enhanced stockholder value. However, because we believe it is important for our executives to monitor expenses closely as well, the Human Resources Committee also based a portion of the bonus pool funding on our operating income performance. Operating income for purposes of the Bonus Program is not calculated in accordance with U.S. generally accepted accounting principles (“GAAP”) but rather is defined as net income plus income taxes, stock-based compensation, interest income and foreign exchange currency gains or losses and other adjustments to GAAP income as defined in our non-GAAP definition for external reporting purposes. For purposes of the Bonus Program, revenue is calculated in accordance with GAAP.</w:t>
      </w:r>
    </w:p>
    <w:p>
      <w:pPr>
        <w:spacing w:after="0" w:line="113" w:lineRule="exact"/>
        <w:rPr>
          <w:sz w:val="20"/>
          <w:szCs w:val="20"/>
          <w:color w:val="auto"/>
        </w:rPr>
      </w:pPr>
    </w:p>
    <w:p>
      <w:pPr>
        <w:ind w:left="580" w:right="659" w:firstLine="349"/>
        <w:spacing w:after="0" w:line="267" w:lineRule="auto"/>
        <w:rPr>
          <w:sz w:val="20"/>
          <w:szCs w:val="20"/>
          <w:color w:val="auto"/>
        </w:rPr>
      </w:pPr>
      <w:r>
        <w:rPr>
          <w:rFonts w:ascii="Times New Roman" w:cs="Times New Roman" w:eastAsia="Times New Roman" w:hAnsi="Times New Roman"/>
          <w:sz w:val="17"/>
          <w:szCs w:val="17"/>
          <w:color w:val="auto"/>
        </w:rPr>
        <w:t>For purposes of the Bonus Program, a minimum performance level (based on a percentage of the revenue, billings and operating income target levels) had to be met before funding could occur. For 2025, threshold (i.e., the minimum) performance level was 90% of the revenue, billings, and operating income target. Once the threshold performance level is surpassed, the funding of the bonus payments for our NEOs was to increase on a graduated basis for each of the revenue, billings and operating income portion as follows:</w:t>
      </w:r>
    </w:p>
    <w:p>
      <w:pPr>
        <w:spacing w:after="0" w:line="10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1560" w:type="dxa"/>
            <w:vAlign w:val="bottom"/>
          </w:tcPr>
          <w:p>
            <w:pPr>
              <w:spacing w:after="0"/>
              <w:rPr>
                <w:sz w:val="13"/>
                <w:szCs w:val="13"/>
                <w:color w:val="auto"/>
              </w:rPr>
            </w:pPr>
          </w:p>
        </w:tc>
        <w:tc>
          <w:tcPr>
            <w:tcW w:w="2080" w:type="dxa"/>
            <w:vAlign w:val="bottom"/>
            <w:gridSpan w:val="4"/>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Revenue (35% of Overall Bonus</w:t>
            </w:r>
          </w:p>
        </w:tc>
        <w:tc>
          <w:tcPr>
            <w:tcW w:w="210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Billings (35% of Overall Bonus</w:t>
            </w:r>
          </w:p>
        </w:tc>
        <w:tc>
          <w:tcPr>
            <w:tcW w:w="2120" w:type="dxa"/>
            <w:vAlign w:val="bottom"/>
            <w:gridSpan w:val="3"/>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Operating Income (30% of</w:t>
            </w:r>
          </w:p>
        </w:tc>
        <w:tc>
          <w:tcPr>
            <w:tcW w:w="0" w:type="dxa"/>
            <w:vAlign w:val="bottom"/>
          </w:tcPr>
          <w:p>
            <w:pPr>
              <w:spacing w:after="0"/>
              <w:rPr>
                <w:sz w:val="1"/>
                <w:szCs w:val="1"/>
                <w:color w:val="auto"/>
              </w:rPr>
            </w:pPr>
          </w:p>
        </w:tc>
      </w:tr>
      <w:tr>
        <w:trPr>
          <w:trHeight w:val="184"/>
        </w:trPr>
        <w:tc>
          <w:tcPr>
            <w:tcW w:w="1560" w:type="dxa"/>
            <w:vAlign w:val="bottom"/>
          </w:tcPr>
          <w:p>
            <w:pPr>
              <w:spacing w:after="0"/>
              <w:rPr>
                <w:sz w:val="16"/>
                <w:szCs w:val="16"/>
                <w:color w:val="auto"/>
              </w:rPr>
            </w:pPr>
          </w:p>
        </w:tc>
        <w:tc>
          <w:tcPr>
            <w:tcW w:w="208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Program)</w:t>
            </w:r>
          </w:p>
        </w:tc>
        <w:tc>
          <w:tcPr>
            <w:tcW w:w="2100" w:type="dxa"/>
            <w:vAlign w:val="bottom"/>
            <w:gridSpan w:val="4"/>
          </w:tcPr>
          <w:p>
            <w:pPr>
              <w:ind w:left="720"/>
              <w:spacing w:after="0"/>
              <w:rPr>
                <w:sz w:val="20"/>
                <w:szCs w:val="20"/>
                <w:color w:val="auto"/>
              </w:rPr>
            </w:pPr>
            <w:r>
              <w:rPr>
                <w:rFonts w:ascii="Times New Roman" w:cs="Times New Roman" w:eastAsia="Times New Roman" w:hAnsi="Times New Roman"/>
                <w:sz w:val="14"/>
                <w:szCs w:val="14"/>
                <w:b w:val="1"/>
                <w:bCs w:val="1"/>
                <w:color w:val="auto"/>
              </w:rPr>
              <w:t>Program)</w:t>
            </w:r>
          </w:p>
        </w:tc>
        <w:tc>
          <w:tcPr>
            <w:tcW w:w="2120" w:type="dxa"/>
            <w:vAlign w:val="bottom"/>
            <w:gridSpan w:val="3"/>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Overall Bonus Program)</w:t>
            </w:r>
          </w:p>
        </w:tc>
        <w:tc>
          <w:tcPr>
            <w:tcW w:w="0" w:type="dxa"/>
            <w:vAlign w:val="bottom"/>
          </w:tcPr>
          <w:p>
            <w:pPr>
              <w:spacing w:after="0"/>
              <w:rPr>
                <w:sz w:val="1"/>
                <w:szCs w:val="1"/>
                <w:color w:val="auto"/>
              </w:rPr>
            </w:pPr>
          </w:p>
        </w:tc>
      </w:tr>
      <w:tr>
        <w:trPr>
          <w:trHeight w:val="23"/>
        </w:trPr>
        <w:tc>
          <w:tcPr>
            <w:tcW w:w="1560" w:type="dxa"/>
            <w:vAlign w:val="bottom"/>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vMerge w:val="restart"/>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vMerge w:val="restart"/>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3"/>
        </w:trPr>
        <w:tc>
          <w:tcPr>
            <w:tcW w:w="1560" w:type="dxa"/>
            <w:vAlign w:val="bottom"/>
          </w:tcPr>
          <w:p>
            <w:pPr>
              <w:spacing w:after="0"/>
              <w:rPr>
                <w:sz w:val="9"/>
                <w:szCs w:val="9"/>
                <w:color w:val="auto"/>
              </w:rPr>
            </w:pPr>
          </w:p>
        </w:tc>
        <w:tc>
          <w:tcPr>
            <w:tcW w:w="1040" w:type="dxa"/>
            <w:vAlign w:val="bottom"/>
            <w:gridSpan w:val="2"/>
          </w:tcPr>
          <w:p>
            <w:pPr>
              <w:jc w:val="center"/>
              <w:ind w:right="140"/>
              <w:spacing w:after="0" w:line="113" w:lineRule="exact"/>
              <w:rPr>
                <w:sz w:val="20"/>
                <w:szCs w:val="20"/>
                <w:color w:val="auto"/>
              </w:rPr>
            </w:pPr>
            <w:r>
              <w:rPr>
                <w:rFonts w:ascii="Times New Roman" w:cs="Times New Roman" w:eastAsia="Times New Roman" w:hAnsi="Times New Roman"/>
                <w:sz w:val="13"/>
                <w:szCs w:val="13"/>
                <w:b w:val="1"/>
                <w:bCs w:val="1"/>
                <w:color w:val="auto"/>
              </w:rPr>
              <w:t>Performance</w:t>
            </w:r>
          </w:p>
        </w:tc>
        <w:tc>
          <w:tcPr>
            <w:tcW w:w="960" w:type="dxa"/>
            <w:vAlign w:val="bottom"/>
          </w:tcPr>
          <w:p>
            <w:pPr>
              <w:jc w:val="center"/>
              <w:spacing w:after="0" w:line="113" w:lineRule="exact"/>
              <w:rPr>
                <w:sz w:val="20"/>
                <w:szCs w:val="20"/>
                <w:color w:val="auto"/>
              </w:rPr>
            </w:pPr>
            <w:r>
              <w:rPr>
                <w:rFonts w:ascii="Times New Roman" w:cs="Times New Roman" w:eastAsia="Times New Roman" w:hAnsi="Times New Roman"/>
                <w:sz w:val="13"/>
                <w:szCs w:val="13"/>
                <w:b w:val="1"/>
                <w:bCs w:val="1"/>
                <w:color w:val="auto"/>
              </w:rPr>
              <w:t>Bonus Funding</w:t>
            </w:r>
          </w:p>
        </w:tc>
        <w:tc>
          <w:tcPr>
            <w:tcW w:w="80" w:type="dxa"/>
            <w:vAlign w:val="bottom"/>
            <w:vMerge w:val="continue"/>
          </w:tcPr>
          <w:p>
            <w:pPr>
              <w:spacing w:after="0"/>
              <w:rPr>
                <w:sz w:val="9"/>
                <w:szCs w:val="9"/>
                <w:color w:val="auto"/>
              </w:rPr>
            </w:pPr>
          </w:p>
        </w:tc>
        <w:tc>
          <w:tcPr>
            <w:tcW w:w="1060" w:type="dxa"/>
            <w:vAlign w:val="bottom"/>
            <w:gridSpan w:val="2"/>
          </w:tcPr>
          <w:p>
            <w:pPr>
              <w:ind w:left="80"/>
              <w:spacing w:after="0" w:line="113" w:lineRule="exact"/>
              <w:rPr>
                <w:sz w:val="20"/>
                <w:szCs w:val="20"/>
                <w:color w:val="auto"/>
              </w:rPr>
            </w:pPr>
            <w:r>
              <w:rPr>
                <w:rFonts w:ascii="Times New Roman" w:cs="Times New Roman" w:eastAsia="Times New Roman" w:hAnsi="Times New Roman"/>
                <w:sz w:val="13"/>
                <w:szCs w:val="13"/>
                <w:b w:val="1"/>
                <w:bCs w:val="1"/>
                <w:color w:val="auto"/>
              </w:rPr>
              <w:t>Performance</w:t>
            </w:r>
          </w:p>
        </w:tc>
        <w:tc>
          <w:tcPr>
            <w:tcW w:w="960" w:type="dxa"/>
            <w:vAlign w:val="bottom"/>
          </w:tcPr>
          <w:p>
            <w:pPr>
              <w:jc w:val="center"/>
              <w:spacing w:after="0" w:line="113" w:lineRule="exact"/>
              <w:rPr>
                <w:sz w:val="20"/>
                <w:szCs w:val="20"/>
                <w:color w:val="auto"/>
              </w:rPr>
            </w:pPr>
            <w:r>
              <w:rPr>
                <w:rFonts w:ascii="Times New Roman" w:cs="Times New Roman" w:eastAsia="Times New Roman" w:hAnsi="Times New Roman"/>
                <w:sz w:val="13"/>
                <w:szCs w:val="13"/>
                <w:b w:val="1"/>
                <w:bCs w:val="1"/>
                <w:color w:val="auto"/>
              </w:rPr>
              <w:t>Bonus Funding</w:t>
            </w:r>
          </w:p>
        </w:tc>
        <w:tc>
          <w:tcPr>
            <w:tcW w:w="80" w:type="dxa"/>
            <w:vAlign w:val="bottom"/>
            <w:vMerge w:val="continue"/>
          </w:tcPr>
          <w:p>
            <w:pPr>
              <w:spacing w:after="0"/>
              <w:rPr>
                <w:sz w:val="9"/>
                <w:szCs w:val="9"/>
                <w:color w:val="auto"/>
              </w:rPr>
            </w:pPr>
          </w:p>
        </w:tc>
        <w:tc>
          <w:tcPr>
            <w:tcW w:w="1060" w:type="dxa"/>
            <w:vAlign w:val="bottom"/>
            <w:gridSpan w:val="2"/>
          </w:tcPr>
          <w:p>
            <w:pPr>
              <w:jc w:val="center"/>
              <w:ind w:right="120"/>
              <w:spacing w:after="0" w:line="113" w:lineRule="exact"/>
              <w:rPr>
                <w:sz w:val="20"/>
                <w:szCs w:val="20"/>
                <w:color w:val="auto"/>
              </w:rPr>
            </w:pPr>
            <w:r>
              <w:rPr>
                <w:rFonts w:ascii="Times New Roman" w:cs="Times New Roman" w:eastAsia="Times New Roman" w:hAnsi="Times New Roman"/>
                <w:sz w:val="13"/>
                <w:szCs w:val="13"/>
                <w:b w:val="1"/>
                <w:bCs w:val="1"/>
                <w:color w:val="auto"/>
              </w:rPr>
              <w:t>Performance</w:t>
            </w:r>
          </w:p>
        </w:tc>
        <w:tc>
          <w:tcPr>
            <w:tcW w:w="1060" w:type="dxa"/>
            <w:vAlign w:val="bottom"/>
          </w:tcPr>
          <w:p>
            <w:pPr>
              <w:jc w:val="right"/>
              <w:ind w:right="21"/>
              <w:spacing w:after="0" w:line="113" w:lineRule="exact"/>
              <w:rPr>
                <w:sz w:val="20"/>
                <w:szCs w:val="20"/>
                <w:color w:val="auto"/>
              </w:rPr>
            </w:pPr>
            <w:r>
              <w:rPr>
                <w:rFonts w:ascii="Times New Roman" w:cs="Times New Roman" w:eastAsia="Times New Roman" w:hAnsi="Times New Roman"/>
                <w:sz w:val="13"/>
                <w:szCs w:val="13"/>
                <w:b w:val="1"/>
                <w:bCs w:val="1"/>
                <w:color w:val="auto"/>
              </w:rPr>
              <w:t>Bonus Funding</w:t>
            </w:r>
          </w:p>
        </w:tc>
        <w:tc>
          <w:tcPr>
            <w:tcW w:w="0" w:type="dxa"/>
            <w:vAlign w:val="bottom"/>
          </w:tcPr>
          <w:p>
            <w:pPr>
              <w:spacing w:after="0"/>
              <w:rPr>
                <w:sz w:val="1"/>
                <w:szCs w:val="1"/>
                <w:color w:val="auto"/>
              </w:rPr>
            </w:pPr>
          </w:p>
        </w:tc>
      </w:tr>
      <w:tr>
        <w:trPr>
          <w:trHeight w:val="184"/>
        </w:trPr>
        <w:tc>
          <w:tcPr>
            <w:tcW w:w="1560" w:type="dxa"/>
            <w:vAlign w:val="bottom"/>
          </w:tcPr>
          <w:p>
            <w:pPr>
              <w:spacing w:after="0"/>
              <w:rPr>
                <w:sz w:val="16"/>
                <w:szCs w:val="16"/>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 Target)</w:t>
            </w: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7"/>
              </w:rPr>
              <w:t>(% of Target)</w:t>
            </w:r>
          </w:p>
        </w:tc>
        <w:tc>
          <w:tcPr>
            <w:tcW w:w="10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 Target)</w:t>
            </w: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7"/>
              </w:rPr>
              <w:t>(% of Target)</w:t>
            </w:r>
          </w:p>
        </w:tc>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 Target)</w:t>
            </w:r>
          </w:p>
        </w:tc>
        <w:tc>
          <w:tcPr>
            <w:tcW w:w="1060" w:type="dxa"/>
            <w:vAlign w:val="bottom"/>
          </w:tcPr>
          <w:p>
            <w:pPr>
              <w:jc w:val="right"/>
              <w:ind w:right="61"/>
              <w:spacing w:after="0"/>
              <w:rPr>
                <w:sz w:val="20"/>
                <w:szCs w:val="20"/>
                <w:color w:val="auto"/>
              </w:rPr>
            </w:pPr>
            <w:r>
              <w:rPr>
                <w:rFonts w:ascii="Times New Roman" w:cs="Times New Roman" w:eastAsia="Times New Roman" w:hAnsi="Times New Roman"/>
                <w:sz w:val="14"/>
                <w:szCs w:val="14"/>
                <w:b w:val="1"/>
                <w:bCs w:val="1"/>
                <w:color w:val="auto"/>
              </w:rPr>
              <w:t>(% of Target)</w:t>
            </w:r>
          </w:p>
        </w:tc>
        <w:tc>
          <w:tcPr>
            <w:tcW w:w="0" w:type="dxa"/>
            <w:vAlign w:val="bottom"/>
          </w:tcPr>
          <w:p>
            <w:pPr>
              <w:spacing w:after="0"/>
              <w:rPr>
                <w:sz w:val="1"/>
                <w:szCs w:val="1"/>
                <w:color w:val="auto"/>
              </w:rPr>
            </w:pPr>
          </w:p>
        </w:tc>
      </w:tr>
      <w:tr>
        <w:trPr>
          <w:trHeight w:val="23"/>
        </w:trPr>
        <w:tc>
          <w:tcPr>
            <w:tcW w:w="1560" w:type="dxa"/>
            <w:vAlign w:val="bottom"/>
            <w:tcBorders>
              <w:bottom w:val="single" w:sz="8" w:color="CDE9F6"/>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DE9F6"/>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DE9F6"/>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DE9F6"/>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DE9F6"/>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DE9F6"/>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5"/>
        </w:trPr>
        <w:tc>
          <w:tcPr>
            <w:tcW w:w="1560" w:type="dxa"/>
            <w:vAlign w:val="bottom"/>
            <w:tcBorders>
              <w:bottom w:val="single" w:sz="8" w:color="CDE9F6"/>
            </w:tcBorders>
            <w:shd w:val="clear" w:color="auto" w:fill="CDE9F6"/>
          </w:tcPr>
          <w:p>
            <w:pPr>
              <w:spacing w:after="0"/>
              <w:rPr>
                <w:sz w:val="20"/>
                <w:szCs w:val="20"/>
                <w:color w:val="auto"/>
              </w:rPr>
            </w:pPr>
            <w:r>
              <w:rPr>
                <w:rFonts w:ascii="Times New Roman" w:cs="Times New Roman" w:eastAsia="Times New Roman" w:hAnsi="Times New Roman"/>
                <w:sz w:val="17"/>
                <w:szCs w:val="17"/>
                <w:b w:val="1"/>
                <w:bCs w:val="1"/>
                <w:color w:val="auto"/>
              </w:rPr>
              <w:t>Threshold</w:t>
            </w:r>
          </w:p>
        </w:tc>
        <w:tc>
          <w:tcPr>
            <w:tcW w:w="940" w:type="dxa"/>
            <w:vAlign w:val="bottom"/>
            <w:tcBorders>
              <w:bottom w:val="single" w:sz="8" w:color="CDE9F6"/>
            </w:tcBorders>
            <w:shd w:val="clear" w:color="auto" w:fill="CDE9F6"/>
          </w:tcPr>
          <w:p>
            <w:pPr>
              <w:jc w:val="right"/>
              <w:spacing w:after="0"/>
              <w:rPr>
                <w:sz w:val="20"/>
                <w:szCs w:val="20"/>
                <w:color w:val="auto"/>
              </w:rPr>
            </w:pPr>
            <w:r>
              <w:rPr>
                <w:rFonts w:ascii="Times New Roman" w:cs="Times New Roman" w:eastAsia="Times New Roman" w:hAnsi="Times New Roman"/>
                <w:sz w:val="17"/>
                <w:szCs w:val="17"/>
                <w:color w:val="auto"/>
              </w:rPr>
              <w:t>90%</w:t>
            </w:r>
          </w:p>
        </w:tc>
        <w:tc>
          <w:tcPr>
            <w:tcW w:w="100" w:type="dxa"/>
            <w:vAlign w:val="bottom"/>
            <w:tcBorders>
              <w:bottom w:val="single" w:sz="8" w:color="CDE9F6"/>
            </w:tcBorders>
            <w:shd w:val="clear" w:color="auto" w:fill="CDE9F6"/>
          </w:tcPr>
          <w:p>
            <w:pPr>
              <w:spacing w:after="0"/>
              <w:rPr>
                <w:sz w:val="20"/>
                <w:szCs w:val="20"/>
                <w:color w:val="auto"/>
              </w:rPr>
            </w:pPr>
          </w:p>
        </w:tc>
        <w:tc>
          <w:tcPr>
            <w:tcW w:w="960" w:type="dxa"/>
            <w:vAlign w:val="bottom"/>
            <w:tcBorders>
              <w:bottom w:val="single" w:sz="8" w:color="CDE9F6"/>
            </w:tcBorders>
            <w:shd w:val="clear" w:color="auto" w:fill="CDE9F6"/>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80" w:type="dxa"/>
            <w:vAlign w:val="bottom"/>
            <w:tcBorders>
              <w:bottom w:val="single" w:sz="8" w:color="CDE9F6"/>
            </w:tcBorders>
            <w:shd w:val="clear" w:color="auto" w:fill="CDE9F6"/>
          </w:tcPr>
          <w:p>
            <w:pPr>
              <w:spacing w:after="0"/>
              <w:rPr>
                <w:sz w:val="20"/>
                <w:szCs w:val="20"/>
                <w:color w:val="auto"/>
              </w:rPr>
            </w:pPr>
          </w:p>
        </w:tc>
        <w:tc>
          <w:tcPr>
            <w:tcW w:w="960" w:type="dxa"/>
            <w:vAlign w:val="bottom"/>
            <w:tcBorders>
              <w:bottom w:val="single" w:sz="8" w:color="CDE9F6"/>
            </w:tcBorders>
            <w:shd w:val="clear" w:color="auto" w:fill="CDE9F6"/>
          </w:tcPr>
          <w:p>
            <w:pPr>
              <w:jc w:val="right"/>
              <w:spacing w:after="0"/>
              <w:rPr>
                <w:sz w:val="20"/>
                <w:szCs w:val="20"/>
                <w:color w:val="auto"/>
              </w:rPr>
            </w:pPr>
            <w:r>
              <w:rPr>
                <w:rFonts w:ascii="Times New Roman" w:cs="Times New Roman" w:eastAsia="Times New Roman" w:hAnsi="Times New Roman"/>
                <w:sz w:val="17"/>
                <w:szCs w:val="17"/>
                <w:color w:val="auto"/>
              </w:rPr>
              <w:t>90%</w:t>
            </w:r>
          </w:p>
        </w:tc>
        <w:tc>
          <w:tcPr>
            <w:tcW w:w="100" w:type="dxa"/>
            <w:vAlign w:val="bottom"/>
            <w:tcBorders>
              <w:bottom w:val="single" w:sz="8" w:color="CDE9F6"/>
            </w:tcBorders>
            <w:shd w:val="clear" w:color="auto" w:fill="CDE9F6"/>
          </w:tcPr>
          <w:p>
            <w:pPr>
              <w:spacing w:after="0"/>
              <w:rPr>
                <w:sz w:val="20"/>
                <w:szCs w:val="20"/>
                <w:color w:val="auto"/>
              </w:rPr>
            </w:pPr>
          </w:p>
        </w:tc>
        <w:tc>
          <w:tcPr>
            <w:tcW w:w="960" w:type="dxa"/>
            <w:vAlign w:val="bottom"/>
            <w:tcBorders>
              <w:bottom w:val="single" w:sz="8" w:color="CDE9F6"/>
            </w:tcBorders>
            <w:shd w:val="clear" w:color="auto" w:fill="CDE9F6"/>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80" w:type="dxa"/>
            <w:vAlign w:val="bottom"/>
            <w:tcBorders>
              <w:bottom w:val="single" w:sz="8" w:color="CDE9F6"/>
            </w:tcBorders>
            <w:shd w:val="clear" w:color="auto" w:fill="CDE9F6"/>
          </w:tcPr>
          <w:p>
            <w:pPr>
              <w:spacing w:after="0"/>
              <w:rPr>
                <w:sz w:val="20"/>
                <w:szCs w:val="20"/>
                <w:color w:val="auto"/>
              </w:rPr>
            </w:pPr>
          </w:p>
        </w:tc>
        <w:tc>
          <w:tcPr>
            <w:tcW w:w="960" w:type="dxa"/>
            <w:vAlign w:val="bottom"/>
            <w:tcBorders>
              <w:bottom w:val="single" w:sz="8" w:color="CDE9F6"/>
            </w:tcBorders>
            <w:shd w:val="clear" w:color="auto" w:fill="CDE9F6"/>
          </w:tcPr>
          <w:p>
            <w:pPr>
              <w:jc w:val="right"/>
              <w:spacing w:after="0"/>
              <w:rPr>
                <w:sz w:val="20"/>
                <w:szCs w:val="20"/>
                <w:color w:val="auto"/>
              </w:rPr>
            </w:pPr>
            <w:r>
              <w:rPr>
                <w:rFonts w:ascii="Times New Roman" w:cs="Times New Roman" w:eastAsia="Times New Roman" w:hAnsi="Times New Roman"/>
                <w:sz w:val="17"/>
                <w:szCs w:val="17"/>
                <w:color w:val="auto"/>
              </w:rPr>
              <w:t>90%</w:t>
            </w:r>
          </w:p>
        </w:tc>
        <w:tc>
          <w:tcPr>
            <w:tcW w:w="100" w:type="dxa"/>
            <w:vAlign w:val="bottom"/>
            <w:tcBorders>
              <w:bottom w:val="single" w:sz="8" w:color="CDE9F6"/>
            </w:tcBorders>
            <w:shd w:val="clear" w:color="auto" w:fill="CDE9F6"/>
          </w:tcPr>
          <w:p>
            <w:pPr>
              <w:spacing w:after="0"/>
              <w:rPr>
                <w:sz w:val="20"/>
                <w:szCs w:val="20"/>
                <w:color w:val="auto"/>
              </w:rPr>
            </w:pPr>
          </w:p>
        </w:tc>
        <w:tc>
          <w:tcPr>
            <w:tcW w:w="1060" w:type="dxa"/>
            <w:vAlign w:val="bottom"/>
            <w:tcBorders>
              <w:bottom w:val="single" w:sz="8" w:color="CDE9F6"/>
            </w:tcBorders>
            <w:shd w:val="clear" w:color="auto" w:fill="CDE9F6"/>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0" w:type="dxa"/>
            <w:vAlign w:val="bottom"/>
          </w:tcPr>
          <w:p>
            <w:pPr>
              <w:spacing w:after="0"/>
              <w:rPr>
                <w:sz w:val="1"/>
                <w:szCs w:val="1"/>
                <w:color w:val="auto"/>
              </w:rPr>
            </w:pPr>
          </w:p>
        </w:tc>
      </w:tr>
      <w:tr>
        <w:trPr>
          <w:trHeight w:val="235"/>
        </w:trPr>
        <w:tc>
          <w:tcPr>
            <w:tcW w:w="15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Target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40"/>
        </w:trPr>
        <w:tc>
          <w:tcPr>
            <w:tcW w:w="15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5"/>
        </w:trPr>
        <w:tc>
          <w:tcPr>
            <w:tcW w:w="1560" w:type="dxa"/>
            <w:vAlign w:val="bottom"/>
            <w:shd w:val="clear" w:color="auto" w:fill="CDE9F6"/>
          </w:tcPr>
          <w:p>
            <w:pPr>
              <w:spacing w:after="0"/>
              <w:rPr>
                <w:sz w:val="20"/>
                <w:szCs w:val="20"/>
                <w:color w:val="auto"/>
              </w:rPr>
            </w:pPr>
            <w:r>
              <w:rPr>
                <w:rFonts w:ascii="Times New Roman" w:cs="Times New Roman" w:eastAsia="Times New Roman" w:hAnsi="Times New Roman"/>
                <w:sz w:val="17"/>
                <w:szCs w:val="17"/>
                <w:b w:val="1"/>
                <w:bCs w:val="1"/>
                <w:color w:val="auto"/>
              </w:rPr>
              <w:t>Max</w:t>
            </w:r>
          </w:p>
        </w:tc>
        <w:tc>
          <w:tcPr>
            <w:tcW w:w="940" w:type="dxa"/>
            <w:vAlign w:val="bottom"/>
            <w:shd w:val="clear" w:color="auto" w:fill="CDE9F6"/>
          </w:tcPr>
          <w:p>
            <w:pPr>
              <w:jc w:val="right"/>
              <w:spacing w:after="0"/>
              <w:rPr>
                <w:sz w:val="20"/>
                <w:szCs w:val="20"/>
                <w:color w:val="auto"/>
              </w:rPr>
            </w:pPr>
            <w:r>
              <w:rPr>
                <w:rFonts w:ascii="Times New Roman" w:cs="Times New Roman" w:eastAsia="Times New Roman" w:hAnsi="Times New Roman"/>
                <w:sz w:val="17"/>
                <w:szCs w:val="17"/>
                <w:color w:val="auto"/>
              </w:rPr>
              <w:t>140%</w:t>
            </w:r>
          </w:p>
        </w:tc>
        <w:tc>
          <w:tcPr>
            <w:tcW w:w="100" w:type="dxa"/>
            <w:vAlign w:val="bottom"/>
            <w:shd w:val="clear" w:color="auto" w:fill="CDE9F6"/>
          </w:tcPr>
          <w:p>
            <w:pPr>
              <w:spacing w:after="0"/>
              <w:rPr>
                <w:sz w:val="20"/>
                <w:szCs w:val="20"/>
                <w:color w:val="auto"/>
              </w:rPr>
            </w:pPr>
          </w:p>
        </w:tc>
        <w:tc>
          <w:tcPr>
            <w:tcW w:w="960" w:type="dxa"/>
            <w:vAlign w:val="bottom"/>
            <w:shd w:val="clear" w:color="auto" w:fill="CDE9F6"/>
          </w:tcPr>
          <w:p>
            <w:pPr>
              <w:jc w:val="right"/>
              <w:spacing w:after="0"/>
              <w:rPr>
                <w:sz w:val="20"/>
                <w:szCs w:val="20"/>
                <w:color w:val="auto"/>
              </w:rPr>
            </w:pPr>
            <w:r>
              <w:rPr>
                <w:rFonts w:ascii="Times New Roman" w:cs="Times New Roman" w:eastAsia="Times New Roman" w:hAnsi="Times New Roman"/>
                <w:sz w:val="17"/>
                <w:szCs w:val="17"/>
                <w:color w:val="auto"/>
              </w:rPr>
              <w:t>140%</w:t>
            </w:r>
          </w:p>
        </w:tc>
        <w:tc>
          <w:tcPr>
            <w:tcW w:w="80" w:type="dxa"/>
            <w:vAlign w:val="bottom"/>
            <w:shd w:val="clear" w:color="auto" w:fill="CDE9F6"/>
          </w:tcPr>
          <w:p>
            <w:pPr>
              <w:spacing w:after="0"/>
              <w:rPr>
                <w:sz w:val="20"/>
                <w:szCs w:val="20"/>
                <w:color w:val="auto"/>
              </w:rPr>
            </w:pPr>
          </w:p>
        </w:tc>
        <w:tc>
          <w:tcPr>
            <w:tcW w:w="960" w:type="dxa"/>
            <w:vAlign w:val="bottom"/>
            <w:shd w:val="clear" w:color="auto" w:fill="CDE9F6"/>
          </w:tcPr>
          <w:p>
            <w:pPr>
              <w:jc w:val="right"/>
              <w:spacing w:after="0"/>
              <w:rPr>
                <w:sz w:val="20"/>
                <w:szCs w:val="20"/>
                <w:color w:val="auto"/>
              </w:rPr>
            </w:pPr>
            <w:r>
              <w:rPr>
                <w:rFonts w:ascii="Times New Roman" w:cs="Times New Roman" w:eastAsia="Times New Roman" w:hAnsi="Times New Roman"/>
                <w:sz w:val="17"/>
                <w:szCs w:val="17"/>
                <w:color w:val="auto"/>
              </w:rPr>
              <w:t>140%</w:t>
            </w:r>
          </w:p>
        </w:tc>
        <w:tc>
          <w:tcPr>
            <w:tcW w:w="100" w:type="dxa"/>
            <w:vAlign w:val="bottom"/>
            <w:shd w:val="clear" w:color="auto" w:fill="CDE9F6"/>
          </w:tcPr>
          <w:p>
            <w:pPr>
              <w:spacing w:after="0"/>
              <w:rPr>
                <w:sz w:val="20"/>
                <w:szCs w:val="20"/>
                <w:color w:val="auto"/>
              </w:rPr>
            </w:pPr>
          </w:p>
        </w:tc>
        <w:tc>
          <w:tcPr>
            <w:tcW w:w="960" w:type="dxa"/>
            <w:vAlign w:val="bottom"/>
            <w:shd w:val="clear" w:color="auto" w:fill="CDE9F6"/>
          </w:tcPr>
          <w:p>
            <w:pPr>
              <w:jc w:val="right"/>
              <w:spacing w:after="0"/>
              <w:rPr>
                <w:sz w:val="20"/>
                <w:szCs w:val="20"/>
                <w:color w:val="auto"/>
              </w:rPr>
            </w:pPr>
            <w:r>
              <w:rPr>
                <w:rFonts w:ascii="Times New Roman" w:cs="Times New Roman" w:eastAsia="Times New Roman" w:hAnsi="Times New Roman"/>
                <w:sz w:val="17"/>
                <w:szCs w:val="17"/>
                <w:color w:val="auto"/>
              </w:rPr>
              <w:t>140%</w:t>
            </w:r>
          </w:p>
        </w:tc>
        <w:tc>
          <w:tcPr>
            <w:tcW w:w="80" w:type="dxa"/>
            <w:vAlign w:val="bottom"/>
            <w:shd w:val="clear" w:color="auto" w:fill="CDE9F6"/>
          </w:tcPr>
          <w:p>
            <w:pPr>
              <w:spacing w:after="0"/>
              <w:rPr>
                <w:sz w:val="20"/>
                <w:szCs w:val="20"/>
                <w:color w:val="auto"/>
              </w:rPr>
            </w:pPr>
          </w:p>
        </w:tc>
        <w:tc>
          <w:tcPr>
            <w:tcW w:w="960" w:type="dxa"/>
            <w:vAlign w:val="bottom"/>
            <w:shd w:val="clear" w:color="auto" w:fill="CDE9F6"/>
          </w:tcPr>
          <w:p>
            <w:pPr>
              <w:jc w:val="right"/>
              <w:spacing w:after="0"/>
              <w:rPr>
                <w:sz w:val="20"/>
                <w:szCs w:val="20"/>
                <w:color w:val="auto"/>
              </w:rPr>
            </w:pPr>
            <w:r>
              <w:rPr>
                <w:rFonts w:ascii="Times New Roman" w:cs="Times New Roman" w:eastAsia="Times New Roman" w:hAnsi="Times New Roman"/>
                <w:sz w:val="17"/>
                <w:szCs w:val="17"/>
                <w:color w:val="auto"/>
              </w:rPr>
              <w:t>140%</w:t>
            </w:r>
          </w:p>
        </w:tc>
        <w:tc>
          <w:tcPr>
            <w:tcW w:w="100" w:type="dxa"/>
            <w:vAlign w:val="bottom"/>
            <w:shd w:val="clear" w:color="auto" w:fill="CDE9F6"/>
          </w:tcPr>
          <w:p>
            <w:pPr>
              <w:spacing w:after="0"/>
              <w:rPr>
                <w:sz w:val="20"/>
                <w:szCs w:val="20"/>
                <w:color w:val="auto"/>
              </w:rPr>
            </w:pPr>
          </w:p>
        </w:tc>
        <w:tc>
          <w:tcPr>
            <w:tcW w:w="1060" w:type="dxa"/>
            <w:vAlign w:val="bottom"/>
            <w:shd w:val="clear" w:color="auto" w:fill="CDE9F6"/>
          </w:tcPr>
          <w:p>
            <w:pPr>
              <w:jc w:val="right"/>
              <w:spacing w:after="0"/>
              <w:rPr>
                <w:sz w:val="20"/>
                <w:szCs w:val="20"/>
                <w:color w:val="auto"/>
              </w:rPr>
            </w:pPr>
            <w:r>
              <w:rPr>
                <w:rFonts w:ascii="Times New Roman" w:cs="Times New Roman" w:eastAsia="Times New Roman" w:hAnsi="Times New Roman"/>
                <w:sz w:val="17"/>
                <w:szCs w:val="17"/>
                <w:color w:val="auto"/>
              </w:rPr>
              <w:t>140%</w:t>
            </w:r>
          </w:p>
        </w:tc>
        <w:tc>
          <w:tcPr>
            <w:tcW w:w="0" w:type="dxa"/>
            <w:vAlign w:val="bottom"/>
          </w:tcPr>
          <w:p>
            <w:pPr>
              <w:spacing w:after="0"/>
              <w:rPr>
                <w:sz w:val="1"/>
                <w:szCs w:val="1"/>
                <w:color w:val="auto"/>
              </w:rPr>
            </w:pPr>
          </w:p>
        </w:tc>
      </w:tr>
      <w:tr>
        <w:trPr>
          <w:trHeight w:val="40"/>
        </w:trPr>
        <w:tc>
          <w:tcPr>
            <w:tcW w:w="1560" w:type="dxa"/>
            <w:vAlign w:val="bottom"/>
            <w:shd w:val="clear" w:color="auto" w:fill="CDE9F6"/>
          </w:tcPr>
          <w:p>
            <w:pPr>
              <w:spacing w:after="0"/>
              <w:rPr>
                <w:sz w:val="3"/>
                <w:szCs w:val="3"/>
                <w:color w:val="auto"/>
              </w:rPr>
            </w:pPr>
          </w:p>
        </w:tc>
        <w:tc>
          <w:tcPr>
            <w:tcW w:w="940" w:type="dxa"/>
            <w:vAlign w:val="bottom"/>
            <w:shd w:val="clear" w:color="auto" w:fill="CDE9F6"/>
          </w:tcPr>
          <w:p>
            <w:pPr>
              <w:spacing w:after="0"/>
              <w:rPr>
                <w:sz w:val="3"/>
                <w:szCs w:val="3"/>
                <w:color w:val="auto"/>
              </w:rPr>
            </w:pPr>
          </w:p>
        </w:tc>
        <w:tc>
          <w:tcPr>
            <w:tcW w:w="100" w:type="dxa"/>
            <w:vAlign w:val="bottom"/>
            <w:shd w:val="clear" w:color="auto" w:fill="CDE9F6"/>
          </w:tcPr>
          <w:p>
            <w:pPr>
              <w:spacing w:after="0"/>
              <w:rPr>
                <w:sz w:val="3"/>
                <w:szCs w:val="3"/>
                <w:color w:val="auto"/>
              </w:rPr>
            </w:pPr>
          </w:p>
        </w:tc>
        <w:tc>
          <w:tcPr>
            <w:tcW w:w="960" w:type="dxa"/>
            <w:vAlign w:val="bottom"/>
            <w:shd w:val="clear" w:color="auto" w:fill="CDE9F6"/>
          </w:tcPr>
          <w:p>
            <w:pPr>
              <w:spacing w:after="0"/>
              <w:rPr>
                <w:sz w:val="3"/>
                <w:szCs w:val="3"/>
                <w:color w:val="auto"/>
              </w:rPr>
            </w:pPr>
          </w:p>
        </w:tc>
        <w:tc>
          <w:tcPr>
            <w:tcW w:w="80" w:type="dxa"/>
            <w:vAlign w:val="bottom"/>
            <w:shd w:val="clear" w:color="auto" w:fill="CDE9F6"/>
          </w:tcPr>
          <w:p>
            <w:pPr>
              <w:spacing w:after="0"/>
              <w:rPr>
                <w:sz w:val="3"/>
                <w:szCs w:val="3"/>
                <w:color w:val="auto"/>
              </w:rPr>
            </w:pPr>
          </w:p>
        </w:tc>
        <w:tc>
          <w:tcPr>
            <w:tcW w:w="960" w:type="dxa"/>
            <w:vAlign w:val="bottom"/>
            <w:shd w:val="clear" w:color="auto" w:fill="CDE9F6"/>
          </w:tcPr>
          <w:p>
            <w:pPr>
              <w:spacing w:after="0"/>
              <w:rPr>
                <w:sz w:val="3"/>
                <w:szCs w:val="3"/>
                <w:color w:val="auto"/>
              </w:rPr>
            </w:pPr>
          </w:p>
        </w:tc>
        <w:tc>
          <w:tcPr>
            <w:tcW w:w="100" w:type="dxa"/>
            <w:vAlign w:val="bottom"/>
            <w:shd w:val="clear" w:color="auto" w:fill="CDE9F6"/>
          </w:tcPr>
          <w:p>
            <w:pPr>
              <w:spacing w:after="0"/>
              <w:rPr>
                <w:sz w:val="3"/>
                <w:szCs w:val="3"/>
                <w:color w:val="auto"/>
              </w:rPr>
            </w:pPr>
          </w:p>
        </w:tc>
        <w:tc>
          <w:tcPr>
            <w:tcW w:w="960" w:type="dxa"/>
            <w:vAlign w:val="bottom"/>
            <w:shd w:val="clear" w:color="auto" w:fill="CDE9F6"/>
          </w:tcPr>
          <w:p>
            <w:pPr>
              <w:spacing w:after="0"/>
              <w:rPr>
                <w:sz w:val="3"/>
                <w:szCs w:val="3"/>
                <w:color w:val="auto"/>
              </w:rPr>
            </w:pPr>
          </w:p>
        </w:tc>
        <w:tc>
          <w:tcPr>
            <w:tcW w:w="80" w:type="dxa"/>
            <w:vAlign w:val="bottom"/>
            <w:shd w:val="clear" w:color="auto" w:fill="CDE9F6"/>
          </w:tcPr>
          <w:p>
            <w:pPr>
              <w:spacing w:after="0"/>
              <w:rPr>
                <w:sz w:val="3"/>
                <w:szCs w:val="3"/>
                <w:color w:val="auto"/>
              </w:rPr>
            </w:pPr>
          </w:p>
        </w:tc>
        <w:tc>
          <w:tcPr>
            <w:tcW w:w="960" w:type="dxa"/>
            <w:vAlign w:val="bottom"/>
            <w:shd w:val="clear" w:color="auto" w:fill="CDE9F6"/>
          </w:tcPr>
          <w:p>
            <w:pPr>
              <w:spacing w:after="0"/>
              <w:rPr>
                <w:sz w:val="3"/>
                <w:szCs w:val="3"/>
                <w:color w:val="auto"/>
              </w:rPr>
            </w:pPr>
          </w:p>
        </w:tc>
        <w:tc>
          <w:tcPr>
            <w:tcW w:w="100" w:type="dxa"/>
            <w:vAlign w:val="bottom"/>
            <w:shd w:val="clear" w:color="auto" w:fill="CDE9F6"/>
          </w:tcPr>
          <w:p>
            <w:pPr>
              <w:spacing w:after="0"/>
              <w:rPr>
                <w:sz w:val="3"/>
                <w:szCs w:val="3"/>
                <w:color w:val="auto"/>
              </w:rPr>
            </w:pPr>
          </w:p>
        </w:tc>
        <w:tc>
          <w:tcPr>
            <w:tcW w:w="1060" w:type="dxa"/>
            <w:vAlign w:val="bottom"/>
            <w:shd w:val="clear" w:color="auto" w:fill="CDE9F6"/>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3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________________________</w:t>
      </w:r>
    </w:p>
    <w:p>
      <w:pPr>
        <w:spacing w:after="0" w:line="100" w:lineRule="exact"/>
        <w:rPr>
          <w:sz w:val="20"/>
          <w:szCs w:val="20"/>
          <w:color w:val="auto"/>
        </w:rPr>
      </w:pPr>
    </w:p>
    <w:p>
      <w:pPr>
        <w:ind w:left="920" w:right="819" w:hanging="346"/>
        <w:spacing w:after="0" w:line="296" w:lineRule="auto"/>
        <w:tabs>
          <w:tab w:leader="none" w:pos="905"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NEOs are ineligible for bonus payments at or below 90%; performance levels must surpass 90% for our NEOs to be eligible to receive bonus payments pursuant to the Bonus Program.</w:t>
      </w:r>
    </w:p>
    <w:p>
      <w:pPr>
        <w:spacing w:after="0" w:line="81" w:lineRule="exact"/>
        <w:rPr>
          <w:sz w:val="20"/>
          <w:szCs w:val="20"/>
          <w:color w:val="auto"/>
        </w:rPr>
      </w:pPr>
    </w:p>
    <w:p>
      <w:pPr>
        <w:ind w:left="580" w:right="639" w:firstLine="349"/>
        <w:spacing w:after="0" w:line="267" w:lineRule="auto"/>
        <w:rPr>
          <w:sz w:val="20"/>
          <w:szCs w:val="20"/>
          <w:color w:val="auto"/>
        </w:rPr>
      </w:pPr>
      <w:r>
        <w:rPr>
          <w:rFonts w:ascii="Times New Roman" w:cs="Times New Roman" w:eastAsia="Times New Roman" w:hAnsi="Times New Roman"/>
          <w:sz w:val="17"/>
          <w:szCs w:val="17"/>
          <w:color w:val="auto"/>
        </w:rPr>
        <w:t>Bonus payments were calculated and awarded quarterly. Bonus payments were based on unaudited, preliminary revenue, billings and operating income results. Adjustments based on actual revenue, billings and operating income results may be made in subsequent quarters at the Human Resources Committee’s discretion. No bonuses are paid to our NEOs under the Bonus Program if our financial results are below our guidance such that we determine to pre-announce our financial results.</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3" w:name="page44"/>
    <w:bookmarkEnd w:id="43"/>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7"/>
          <w:szCs w:val="17"/>
          <w:b w:val="1"/>
          <w:bCs w:val="1"/>
          <w:i w:val="1"/>
          <w:iCs w:val="1"/>
          <w:color w:val="auto"/>
        </w:rPr>
        <w:t>2025 Bonus Results</w:t>
      </w:r>
    </w:p>
    <w:p>
      <w:pPr>
        <w:spacing w:after="0" w:line="149" w:lineRule="exact"/>
        <w:rPr>
          <w:sz w:val="20"/>
          <w:szCs w:val="20"/>
          <w:color w:val="auto"/>
        </w:rPr>
      </w:pPr>
    </w:p>
    <w:p>
      <w:pPr>
        <w:ind w:left="580" w:right="699" w:firstLine="349"/>
        <w:spacing w:after="0" w:line="270" w:lineRule="auto"/>
        <w:rPr>
          <w:sz w:val="20"/>
          <w:szCs w:val="20"/>
          <w:color w:val="auto"/>
        </w:rPr>
      </w:pPr>
      <w:r>
        <w:rPr>
          <w:rFonts w:ascii="Times New Roman" w:cs="Times New Roman" w:eastAsia="Times New Roman" w:hAnsi="Times New Roman"/>
          <w:sz w:val="17"/>
          <w:szCs w:val="17"/>
          <w:color w:val="auto"/>
        </w:rPr>
        <w:t>For 2025 quarterly and annual targets, we achieved between 99% and 101% for revenue, between 100% and 102% for billings and between 104% and 114% of operating income targets. The following charts set forth both the target levels for our revenue, billings, and operating income performance, the revenue, billings and operating income levels actually achieved, and the percentages of those targets actually achieved.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1013460</wp:posOffset>
            </wp:positionH>
            <wp:positionV relativeFrom="paragraph">
              <wp:posOffset>76835</wp:posOffset>
            </wp:positionV>
            <wp:extent cx="3693160" cy="558927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693160" cy="5589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4" w:name="page45"/>
    <w:bookmarkEnd w:id="44"/>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1013460</wp:posOffset>
            </wp:positionH>
            <wp:positionV relativeFrom="paragraph">
              <wp:posOffset>103505</wp:posOffset>
            </wp:positionV>
            <wp:extent cx="3693160" cy="27533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693160" cy="2753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7"/>
          <w:szCs w:val="17"/>
          <w:color w:val="auto"/>
        </w:rPr>
        <w:t>Based on our results for 2025, and certain adjustments made for individual performance made by our</w:t>
      </w:r>
    </w:p>
    <w:p>
      <w:pPr>
        <w:spacing w:after="0" w:line="3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Human Resources Committee, our NEOs earned the following aggregate bonuses during 2025:</w:t>
      </w:r>
    </w:p>
    <w:p>
      <w:pPr>
        <w:spacing w:after="0" w:line="14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65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jc w:val="right"/>
              <w:ind w:right="58"/>
              <w:spacing w:after="0"/>
              <w:rPr>
                <w:sz w:val="20"/>
                <w:szCs w:val="20"/>
                <w:color w:val="auto"/>
              </w:rPr>
            </w:pPr>
            <w:r>
              <w:rPr>
                <w:rFonts w:ascii="Times New Roman" w:cs="Times New Roman" w:eastAsia="Times New Roman" w:hAnsi="Times New Roman"/>
                <w:sz w:val="14"/>
                <w:szCs w:val="14"/>
                <w:b w:val="1"/>
                <w:bCs w:val="1"/>
                <w:color w:val="auto"/>
                <w:w w:val="97"/>
              </w:rPr>
              <w:t>Bonus Earned in</w:t>
            </w:r>
          </w:p>
        </w:tc>
        <w:tc>
          <w:tcPr>
            <w:tcW w:w="0" w:type="dxa"/>
            <w:vAlign w:val="bottom"/>
          </w:tcPr>
          <w:p>
            <w:pPr>
              <w:spacing w:after="0"/>
              <w:rPr>
                <w:sz w:val="1"/>
                <w:szCs w:val="1"/>
                <w:color w:val="auto"/>
              </w:rPr>
            </w:pPr>
          </w:p>
        </w:tc>
      </w:tr>
      <w:tr>
        <w:trPr>
          <w:trHeight w:val="184"/>
        </w:trPr>
        <w:tc>
          <w:tcPr>
            <w:tcW w:w="65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ind w:right="398"/>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3"/>
        </w:trPr>
        <w:tc>
          <w:tcPr>
            <w:tcW w:w="6520" w:type="dxa"/>
            <w:vAlign w:val="bottom"/>
            <w:tcBorders>
              <w:bottom w:val="single" w:sz="8" w:color="auto"/>
            </w:tcBorders>
          </w:tcPr>
          <w:p>
            <w:pPr>
              <w:spacing w:after="0"/>
              <w:rPr>
                <w:sz w:val="2"/>
                <w:szCs w:val="2"/>
                <w:color w:val="auto"/>
              </w:rPr>
            </w:pPr>
          </w:p>
        </w:tc>
        <w:tc>
          <w:tcPr>
            <w:tcW w:w="100" w:type="dxa"/>
            <w:vAlign w:val="bottom"/>
            <w:tcBorders>
              <w:bottom w:val="single" w:sz="8" w:color="CDE9F6"/>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5"/>
        </w:trPr>
        <w:tc>
          <w:tcPr>
            <w:tcW w:w="6520" w:type="dxa"/>
            <w:vAlign w:val="bottom"/>
            <w:tcBorders>
              <w:bottom w:val="single" w:sz="8" w:color="CDE9F6"/>
            </w:tcBorders>
            <w:shd w:val="clear" w:color="auto" w:fill="CDE9F6"/>
          </w:tcPr>
          <w:p>
            <w:pPr>
              <w:spacing w:after="0"/>
              <w:rPr>
                <w:sz w:val="20"/>
                <w:szCs w:val="20"/>
                <w:color w:val="auto"/>
              </w:rPr>
            </w:pPr>
            <w:r>
              <w:rPr>
                <w:rFonts w:ascii="Times New Roman" w:cs="Times New Roman" w:eastAsia="Times New Roman" w:hAnsi="Times New Roman"/>
                <w:sz w:val="17"/>
                <w:szCs w:val="17"/>
                <w:color w:val="auto"/>
              </w:rPr>
              <w:t>Mr. Ken Xie</w:t>
            </w:r>
          </w:p>
        </w:tc>
        <w:tc>
          <w:tcPr>
            <w:tcW w:w="100" w:type="dxa"/>
            <w:vAlign w:val="bottom"/>
            <w:tcBorders>
              <w:bottom w:val="single" w:sz="8" w:color="CDE9F6"/>
            </w:tcBorders>
            <w:shd w:val="clear" w:color="auto" w:fill="CDE9F6"/>
          </w:tcPr>
          <w:p>
            <w:pPr>
              <w:spacing w:after="0"/>
              <w:rPr>
                <w:sz w:val="20"/>
                <w:szCs w:val="20"/>
                <w:color w:val="auto"/>
              </w:rPr>
            </w:pPr>
          </w:p>
        </w:tc>
        <w:tc>
          <w:tcPr>
            <w:tcW w:w="100" w:type="dxa"/>
            <w:vAlign w:val="bottom"/>
            <w:tcBorders>
              <w:bottom w:val="single" w:sz="8" w:color="CDE9F6"/>
            </w:tcBorders>
            <w:shd w:val="clear" w:color="auto" w:fill="CDE9F6"/>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CDE9F6"/>
            </w:tcBorders>
            <w:shd w:val="clear" w:color="auto" w:fill="CDE9F6"/>
          </w:tcPr>
          <w:p>
            <w:pPr>
              <w:jc w:val="right"/>
              <w:spacing w:after="0"/>
              <w:rPr>
                <w:sz w:val="20"/>
                <w:szCs w:val="20"/>
                <w:color w:val="auto"/>
              </w:rPr>
            </w:pPr>
            <w:r>
              <w:rPr>
                <w:rFonts w:ascii="Times New Roman" w:cs="Times New Roman" w:eastAsia="Times New Roman" w:hAnsi="Times New Roman"/>
                <w:sz w:val="17"/>
                <w:szCs w:val="17"/>
                <w:color w:val="auto"/>
              </w:rPr>
              <w:t>705,937</w:t>
            </w:r>
          </w:p>
        </w:tc>
        <w:tc>
          <w:tcPr>
            <w:tcW w:w="0" w:type="dxa"/>
            <w:vAlign w:val="bottom"/>
          </w:tcPr>
          <w:p>
            <w:pPr>
              <w:spacing w:after="0"/>
              <w:rPr>
                <w:sz w:val="1"/>
                <w:szCs w:val="1"/>
                <w:color w:val="auto"/>
              </w:rPr>
            </w:pPr>
          </w:p>
        </w:tc>
      </w:tr>
      <w:tr>
        <w:trPr>
          <w:trHeight w:val="235"/>
        </w:trPr>
        <w:tc>
          <w:tcPr>
            <w:tcW w:w="6520" w:type="dxa"/>
            <w:vAlign w:val="bottom"/>
          </w:tcPr>
          <w:p>
            <w:pPr>
              <w:spacing w:after="0"/>
              <w:rPr>
                <w:sz w:val="20"/>
                <w:szCs w:val="20"/>
                <w:color w:val="auto"/>
              </w:rPr>
            </w:pPr>
            <w:r>
              <w:rPr>
                <w:rFonts w:ascii="Times New Roman" w:cs="Times New Roman" w:eastAsia="Times New Roman" w:hAnsi="Times New Roman"/>
                <w:sz w:val="17"/>
                <w:szCs w:val="17"/>
                <w:color w:val="auto"/>
              </w:rPr>
              <w:t>Mr. Michael Xie</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328,876</w:t>
            </w:r>
          </w:p>
        </w:tc>
        <w:tc>
          <w:tcPr>
            <w:tcW w:w="0" w:type="dxa"/>
            <w:vAlign w:val="bottom"/>
          </w:tcPr>
          <w:p>
            <w:pPr>
              <w:spacing w:after="0"/>
              <w:rPr>
                <w:sz w:val="1"/>
                <w:szCs w:val="1"/>
                <w:color w:val="auto"/>
              </w:rPr>
            </w:pPr>
          </w:p>
        </w:tc>
      </w:tr>
      <w:tr>
        <w:trPr>
          <w:trHeight w:val="40"/>
        </w:trPr>
        <w:tc>
          <w:tcPr>
            <w:tcW w:w="6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5"/>
        </w:trPr>
        <w:tc>
          <w:tcPr>
            <w:tcW w:w="6520" w:type="dxa"/>
            <w:vAlign w:val="bottom"/>
            <w:tcBorders>
              <w:bottom w:val="single" w:sz="8" w:color="CDE9F6"/>
            </w:tcBorders>
            <w:shd w:val="clear" w:color="auto" w:fill="CDE9F6"/>
          </w:tcPr>
          <w:p>
            <w:pPr>
              <w:spacing w:after="0"/>
              <w:rPr>
                <w:sz w:val="20"/>
                <w:szCs w:val="20"/>
                <w:color w:val="auto"/>
              </w:rPr>
            </w:pPr>
            <w:r>
              <w:rPr>
                <w:rFonts w:ascii="Times New Roman" w:cs="Times New Roman" w:eastAsia="Times New Roman" w:hAnsi="Times New Roman"/>
                <w:sz w:val="17"/>
                <w:szCs w:val="17"/>
                <w:color w:val="auto"/>
              </w:rPr>
              <w:t>Ms. Ohlgart</w:t>
            </w:r>
          </w:p>
        </w:tc>
        <w:tc>
          <w:tcPr>
            <w:tcW w:w="200" w:type="dxa"/>
            <w:vAlign w:val="bottom"/>
            <w:tcBorders>
              <w:bottom w:val="single" w:sz="8" w:color="CDE9F6"/>
            </w:tcBorders>
            <w:gridSpan w:val="2"/>
            <w:shd w:val="clear" w:color="auto" w:fill="CDE9F6"/>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bottom w:val="single" w:sz="8" w:color="CDE9F6"/>
            </w:tcBorders>
            <w:shd w:val="clear" w:color="auto" w:fill="CDE9F6"/>
          </w:tcPr>
          <w:p>
            <w:pPr>
              <w:jc w:val="right"/>
              <w:spacing w:after="0"/>
              <w:rPr>
                <w:sz w:val="20"/>
                <w:szCs w:val="20"/>
                <w:color w:val="auto"/>
              </w:rPr>
            </w:pPr>
            <w:r>
              <w:rPr>
                <w:rFonts w:ascii="Times New Roman" w:cs="Times New Roman" w:eastAsia="Times New Roman" w:hAnsi="Times New Roman"/>
                <w:sz w:val="17"/>
                <w:szCs w:val="17"/>
                <w:color w:val="auto"/>
              </w:rPr>
              <w:t>298,651</w:t>
            </w:r>
          </w:p>
        </w:tc>
        <w:tc>
          <w:tcPr>
            <w:tcW w:w="0" w:type="dxa"/>
            <w:vAlign w:val="bottom"/>
          </w:tcPr>
          <w:p>
            <w:pPr>
              <w:spacing w:after="0"/>
              <w:rPr>
                <w:sz w:val="1"/>
                <w:szCs w:val="1"/>
                <w:color w:val="auto"/>
              </w:rPr>
            </w:pPr>
          </w:p>
        </w:tc>
      </w:tr>
      <w:tr>
        <w:trPr>
          <w:trHeight w:val="235"/>
        </w:trPr>
        <w:tc>
          <w:tcPr>
            <w:tcW w:w="6520" w:type="dxa"/>
            <w:vAlign w:val="bottom"/>
          </w:tcPr>
          <w:p>
            <w:pPr>
              <w:spacing w:after="0"/>
              <w:rPr>
                <w:sz w:val="20"/>
                <w:szCs w:val="20"/>
                <w:color w:val="auto"/>
              </w:rPr>
            </w:pPr>
            <w:r>
              <w:rPr>
                <w:rFonts w:ascii="Times New Roman" w:cs="Times New Roman" w:eastAsia="Times New Roman" w:hAnsi="Times New Roman"/>
                <w:sz w:val="17"/>
                <w:szCs w:val="17"/>
                <w:color w:val="auto"/>
              </w:rPr>
              <w:t>Mr. Jensen</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254,686</w:t>
            </w:r>
          </w:p>
        </w:tc>
        <w:tc>
          <w:tcPr>
            <w:tcW w:w="0" w:type="dxa"/>
            <w:vAlign w:val="bottom"/>
          </w:tcPr>
          <w:p>
            <w:pPr>
              <w:spacing w:after="0"/>
              <w:rPr>
                <w:sz w:val="1"/>
                <w:szCs w:val="1"/>
                <w:color w:val="auto"/>
              </w:rPr>
            </w:pPr>
          </w:p>
        </w:tc>
      </w:tr>
      <w:tr>
        <w:trPr>
          <w:trHeight w:val="40"/>
        </w:trPr>
        <w:tc>
          <w:tcPr>
            <w:tcW w:w="6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5"/>
        </w:trPr>
        <w:tc>
          <w:tcPr>
            <w:tcW w:w="6520" w:type="dxa"/>
            <w:vAlign w:val="bottom"/>
            <w:shd w:val="clear" w:color="auto" w:fill="CDE9F6"/>
          </w:tcPr>
          <w:p>
            <w:pPr>
              <w:spacing w:after="0"/>
              <w:rPr>
                <w:sz w:val="20"/>
                <w:szCs w:val="20"/>
                <w:color w:val="auto"/>
              </w:rPr>
            </w:pPr>
            <w:r>
              <w:rPr>
                <w:rFonts w:ascii="Times New Roman" w:cs="Times New Roman" w:eastAsia="Times New Roman" w:hAnsi="Times New Roman"/>
                <w:sz w:val="17"/>
                <w:szCs w:val="17"/>
                <w:color w:val="auto"/>
              </w:rPr>
              <w:t>Mr. Whittle</w:t>
            </w:r>
          </w:p>
        </w:tc>
        <w:tc>
          <w:tcPr>
            <w:tcW w:w="200" w:type="dxa"/>
            <w:vAlign w:val="bottom"/>
            <w:gridSpan w:val="2"/>
            <w:shd w:val="clear" w:color="auto" w:fill="CDE9F6"/>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shd w:val="clear" w:color="auto" w:fill="CDE9F6"/>
          </w:tcPr>
          <w:p>
            <w:pPr>
              <w:jc w:val="right"/>
              <w:spacing w:after="0"/>
              <w:rPr>
                <w:sz w:val="20"/>
                <w:szCs w:val="20"/>
                <w:color w:val="auto"/>
              </w:rPr>
            </w:pPr>
            <w:r>
              <w:rPr>
                <w:rFonts w:ascii="Times New Roman" w:cs="Times New Roman" w:eastAsia="Times New Roman" w:hAnsi="Times New Roman"/>
                <w:sz w:val="17"/>
                <w:szCs w:val="17"/>
                <w:color w:val="auto"/>
              </w:rPr>
              <w:t>447,000</w:t>
            </w:r>
          </w:p>
        </w:tc>
        <w:tc>
          <w:tcPr>
            <w:tcW w:w="0" w:type="dxa"/>
            <w:vAlign w:val="bottom"/>
          </w:tcPr>
          <w:p>
            <w:pPr>
              <w:spacing w:after="0"/>
              <w:rPr>
                <w:sz w:val="1"/>
                <w:szCs w:val="1"/>
                <w:color w:val="auto"/>
              </w:rPr>
            </w:pPr>
          </w:p>
        </w:tc>
      </w:tr>
      <w:tr>
        <w:trPr>
          <w:trHeight w:val="40"/>
        </w:trPr>
        <w:tc>
          <w:tcPr>
            <w:tcW w:w="6520" w:type="dxa"/>
            <w:vAlign w:val="bottom"/>
            <w:shd w:val="clear" w:color="auto" w:fill="CDE9F6"/>
          </w:tcPr>
          <w:p>
            <w:pPr>
              <w:spacing w:after="0"/>
              <w:rPr>
                <w:sz w:val="3"/>
                <w:szCs w:val="3"/>
                <w:color w:val="auto"/>
              </w:rPr>
            </w:pPr>
          </w:p>
        </w:tc>
        <w:tc>
          <w:tcPr>
            <w:tcW w:w="100" w:type="dxa"/>
            <w:vAlign w:val="bottom"/>
            <w:shd w:val="clear" w:color="auto" w:fill="CDE9F6"/>
          </w:tcPr>
          <w:p>
            <w:pPr>
              <w:spacing w:after="0"/>
              <w:rPr>
                <w:sz w:val="3"/>
                <w:szCs w:val="3"/>
                <w:color w:val="auto"/>
              </w:rPr>
            </w:pPr>
          </w:p>
        </w:tc>
        <w:tc>
          <w:tcPr>
            <w:tcW w:w="100" w:type="dxa"/>
            <w:vAlign w:val="bottom"/>
            <w:shd w:val="clear" w:color="auto" w:fill="CDE9F6"/>
          </w:tcPr>
          <w:p>
            <w:pPr>
              <w:spacing w:after="0"/>
              <w:rPr>
                <w:sz w:val="3"/>
                <w:szCs w:val="3"/>
                <w:color w:val="auto"/>
              </w:rPr>
            </w:pPr>
          </w:p>
        </w:tc>
        <w:tc>
          <w:tcPr>
            <w:tcW w:w="1140" w:type="dxa"/>
            <w:vAlign w:val="bottom"/>
            <w:shd w:val="clear" w:color="auto" w:fill="CDE9F6"/>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18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7"/>
          <w:szCs w:val="17"/>
          <w:b w:val="1"/>
          <w:bCs w:val="1"/>
          <w:i w:val="1"/>
          <w:iCs w:val="1"/>
          <w:color w:val="auto"/>
        </w:rPr>
        <w:t>Equity-Based Awards</w:t>
      </w:r>
    </w:p>
    <w:p>
      <w:pPr>
        <w:spacing w:after="0" w:line="162" w:lineRule="exact"/>
        <w:rPr>
          <w:sz w:val="20"/>
          <w:szCs w:val="20"/>
          <w:color w:val="auto"/>
        </w:rPr>
      </w:pPr>
    </w:p>
    <w:p>
      <w:pPr>
        <w:ind w:left="580" w:right="619" w:firstLine="349"/>
        <w:spacing w:after="0" w:line="261" w:lineRule="auto"/>
        <w:rPr>
          <w:sz w:val="20"/>
          <w:szCs w:val="20"/>
          <w:color w:val="auto"/>
        </w:rPr>
      </w:pPr>
      <w:r>
        <w:rPr>
          <w:rFonts w:ascii="Times New Roman" w:cs="Times New Roman" w:eastAsia="Times New Roman" w:hAnsi="Times New Roman"/>
          <w:sz w:val="17"/>
          <w:szCs w:val="17"/>
          <w:color w:val="auto"/>
        </w:rPr>
        <w:t>We grant annual long-term incentive equity awards with multi-year vesting requirements to incentivize and reward our NEOs for long-term corporate performance based on the value of our common stock and, thereby, to align the interests of our NEOs with those of our stockholders. In addition, the Human Resources Committee grants RSUs and PSUs in order to (i) create a stronger and more visible link between executive pay and Fortinet’s stock price performance, (ii) further align our executives’ interests with those of our stockholders,</w:t>
      </w:r>
    </w:p>
    <w:p>
      <w:pPr>
        <w:spacing w:after="0" w:line="3" w:lineRule="exact"/>
        <w:rPr>
          <w:sz w:val="20"/>
          <w:szCs w:val="20"/>
          <w:color w:val="auto"/>
        </w:rPr>
      </w:pPr>
    </w:p>
    <w:p>
      <w:pPr>
        <w:ind w:left="580" w:right="599" w:hanging="6"/>
        <w:spacing w:after="0" w:line="274" w:lineRule="auto"/>
        <w:tabs>
          <w:tab w:leader="none" w:pos="886"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better incentivize and retain our senior executives and (iv) maintain a long-term incentive program that is competitive with practices among companies in our compensation peer group.</w:t>
      </w:r>
    </w:p>
    <w:p>
      <w:pPr>
        <w:spacing w:after="0" w:line="86" w:lineRule="exact"/>
        <w:rPr>
          <w:sz w:val="20"/>
          <w:szCs w:val="20"/>
          <w:color w:val="auto"/>
        </w:rPr>
      </w:pPr>
    </w:p>
    <w:p>
      <w:pPr>
        <w:ind w:left="580" w:right="599" w:firstLine="349"/>
        <w:spacing w:after="0" w:line="276" w:lineRule="auto"/>
        <w:rPr>
          <w:sz w:val="20"/>
          <w:szCs w:val="20"/>
          <w:color w:val="auto"/>
        </w:rPr>
      </w:pPr>
      <w:r>
        <w:rPr>
          <w:rFonts w:ascii="Times New Roman" w:cs="Times New Roman" w:eastAsia="Times New Roman" w:hAnsi="Times New Roman"/>
          <w:sz w:val="17"/>
          <w:szCs w:val="17"/>
          <w:color w:val="auto"/>
        </w:rPr>
        <w:t>In granting RSUs and PSUs to our NEOs in 2025, the Human Resources Committee exercised its judgment and considered, among other things, the role and contribution of the NEO, the value of unvested stock options and RSUs already held by the NEO and Compensia’s data and analysis.</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5" w:name="page46"/>
    <w:bookmarkEnd w:id="45"/>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580" w:right="1219" w:firstLine="349"/>
        <w:spacing w:after="0" w:line="296" w:lineRule="auto"/>
        <w:rPr>
          <w:sz w:val="20"/>
          <w:szCs w:val="20"/>
          <w:color w:val="auto"/>
        </w:rPr>
      </w:pPr>
      <w:r>
        <w:rPr>
          <w:rFonts w:ascii="Times New Roman" w:cs="Times New Roman" w:eastAsia="Times New Roman" w:hAnsi="Times New Roman"/>
          <w:sz w:val="17"/>
          <w:szCs w:val="17"/>
          <w:color w:val="auto"/>
        </w:rPr>
        <w:t>In January 2025 (or as otherwise specified below), the Human Resources Committee approved the following awards to our NEOs, as further described below:</w:t>
      </w:r>
    </w:p>
    <w:p>
      <w:pPr>
        <w:spacing w:after="0" w:line="97"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1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Number of RSUs</w:t>
            </w:r>
          </w:p>
        </w:tc>
        <w:tc>
          <w:tcPr>
            <w:tcW w:w="11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9"/>
              </w:rPr>
              <w:t>Number of PSUs</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w w:val="94"/>
              </w:rPr>
              <w:t>Total Grant Date</w:t>
            </w:r>
          </w:p>
        </w:tc>
        <w:tc>
          <w:tcPr>
            <w:tcW w:w="0" w:type="dxa"/>
            <w:vAlign w:val="bottom"/>
          </w:tcPr>
          <w:p>
            <w:pPr>
              <w:spacing w:after="0"/>
              <w:rPr>
                <w:sz w:val="1"/>
                <w:szCs w:val="1"/>
                <w:color w:val="auto"/>
              </w:rPr>
            </w:pPr>
          </w:p>
        </w:tc>
      </w:tr>
      <w:tr>
        <w:trPr>
          <w:trHeight w:val="184"/>
        </w:trPr>
        <w:tc>
          <w:tcPr>
            <w:tcW w:w="4140" w:type="dxa"/>
            <w:vAlign w:val="bottom"/>
            <w:gridSpan w:val="2"/>
            <w:vMerge w:val="continue"/>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1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9"/>
              </w:rPr>
              <w:t>(at target)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3"/>
        </w:trPr>
        <w:tc>
          <w:tcPr>
            <w:tcW w:w="4020" w:type="dxa"/>
            <w:vAlign w:val="bottom"/>
            <w:tcBorders>
              <w:bottom w:val="single" w:sz="8" w:color="auto"/>
            </w:tcBorders>
          </w:tcPr>
          <w:p>
            <w:pPr>
              <w:spacing w:after="0"/>
              <w:rPr>
                <w:sz w:val="2"/>
                <w:szCs w:val="2"/>
                <w:color w:val="auto"/>
              </w:rPr>
            </w:pPr>
          </w:p>
        </w:tc>
        <w:tc>
          <w:tcPr>
            <w:tcW w:w="120" w:type="dxa"/>
            <w:vAlign w:val="bottom"/>
            <w:tcBorders>
              <w:bottom w:val="single" w:sz="8" w:color="CDE9F6"/>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DE9F6"/>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 w:type="dxa"/>
            <w:vAlign w:val="bottom"/>
            <w:tcBorders>
              <w:bottom w:val="single" w:sz="8" w:color="CDE9F6"/>
            </w:tcBorders>
          </w:tcPr>
          <w:p>
            <w:pPr>
              <w:spacing w:after="0"/>
              <w:rPr>
                <w:sz w:val="2"/>
                <w:szCs w:val="2"/>
                <w:color w:val="auto"/>
              </w:rPr>
            </w:pPr>
          </w:p>
        </w:tc>
        <w:tc>
          <w:tcPr>
            <w:tcW w:w="60" w:type="dxa"/>
            <w:vAlign w:val="bottom"/>
            <w:tcBorders>
              <w:bottom w:val="single" w:sz="8" w:color="CDE9F6"/>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5"/>
        </w:trPr>
        <w:tc>
          <w:tcPr>
            <w:tcW w:w="4020" w:type="dxa"/>
            <w:vAlign w:val="bottom"/>
            <w:tcBorders>
              <w:bottom w:val="single" w:sz="8" w:color="CDE9F6"/>
            </w:tcBorders>
            <w:shd w:val="clear" w:color="auto" w:fill="CDE9F6"/>
          </w:tcPr>
          <w:p>
            <w:pPr>
              <w:spacing w:after="0"/>
              <w:rPr>
                <w:sz w:val="20"/>
                <w:szCs w:val="20"/>
                <w:color w:val="auto"/>
              </w:rPr>
            </w:pPr>
            <w:r>
              <w:rPr>
                <w:rFonts w:ascii="Times New Roman" w:cs="Times New Roman" w:eastAsia="Times New Roman" w:hAnsi="Times New Roman"/>
                <w:sz w:val="17"/>
                <w:szCs w:val="17"/>
                <w:color w:val="auto"/>
              </w:rPr>
              <w:t>Mr. Ken Xie</w:t>
            </w:r>
          </w:p>
        </w:tc>
        <w:tc>
          <w:tcPr>
            <w:tcW w:w="120" w:type="dxa"/>
            <w:vAlign w:val="bottom"/>
            <w:tcBorders>
              <w:bottom w:val="single" w:sz="8" w:color="CDE9F6"/>
            </w:tcBorders>
            <w:shd w:val="clear" w:color="auto" w:fill="CDE9F6"/>
          </w:tcPr>
          <w:p>
            <w:pPr>
              <w:spacing w:after="0"/>
              <w:rPr>
                <w:sz w:val="20"/>
                <w:szCs w:val="20"/>
                <w:color w:val="auto"/>
              </w:rPr>
            </w:pPr>
          </w:p>
        </w:tc>
        <w:tc>
          <w:tcPr>
            <w:tcW w:w="1140" w:type="dxa"/>
            <w:vAlign w:val="bottom"/>
            <w:tcBorders>
              <w:bottom w:val="single" w:sz="8" w:color="CDE9F6"/>
            </w:tcBorders>
            <w:shd w:val="clear" w:color="auto" w:fill="CDE9F6"/>
          </w:tcPr>
          <w:p>
            <w:pPr>
              <w:jc w:val="right"/>
              <w:spacing w:after="0"/>
              <w:rPr>
                <w:sz w:val="20"/>
                <w:szCs w:val="20"/>
                <w:color w:val="auto"/>
              </w:rPr>
            </w:pPr>
            <w:r>
              <w:rPr>
                <w:rFonts w:ascii="Times New Roman" w:cs="Times New Roman" w:eastAsia="Times New Roman" w:hAnsi="Times New Roman"/>
                <w:sz w:val="17"/>
                <w:szCs w:val="17"/>
                <w:color w:val="auto"/>
              </w:rPr>
              <w:t>36,405</w:t>
            </w:r>
          </w:p>
        </w:tc>
        <w:tc>
          <w:tcPr>
            <w:tcW w:w="100" w:type="dxa"/>
            <w:vAlign w:val="bottom"/>
            <w:tcBorders>
              <w:bottom w:val="single" w:sz="8" w:color="CDE9F6"/>
            </w:tcBorders>
            <w:shd w:val="clear" w:color="auto" w:fill="CDE9F6"/>
          </w:tcPr>
          <w:p>
            <w:pPr>
              <w:spacing w:after="0"/>
              <w:rPr>
                <w:sz w:val="20"/>
                <w:szCs w:val="20"/>
                <w:color w:val="auto"/>
              </w:rPr>
            </w:pPr>
          </w:p>
        </w:tc>
        <w:tc>
          <w:tcPr>
            <w:tcW w:w="1140" w:type="dxa"/>
            <w:vAlign w:val="bottom"/>
            <w:tcBorders>
              <w:bottom w:val="single" w:sz="8" w:color="CDE9F6"/>
            </w:tcBorders>
            <w:shd w:val="clear" w:color="auto" w:fill="CDE9F6"/>
          </w:tcPr>
          <w:p>
            <w:pPr>
              <w:jc w:val="right"/>
              <w:spacing w:after="0"/>
              <w:rPr>
                <w:sz w:val="20"/>
                <w:szCs w:val="20"/>
                <w:color w:val="auto"/>
              </w:rPr>
            </w:pPr>
            <w:r>
              <w:rPr>
                <w:rFonts w:ascii="Times New Roman" w:cs="Times New Roman" w:eastAsia="Times New Roman" w:hAnsi="Times New Roman"/>
                <w:sz w:val="17"/>
                <w:szCs w:val="17"/>
                <w:color w:val="auto"/>
              </w:rPr>
              <w:t>36,405</w:t>
            </w:r>
          </w:p>
        </w:tc>
        <w:tc>
          <w:tcPr>
            <w:tcW w:w="40" w:type="dxa"/>
            <w:vAlign w:val="bottom"/>
            <w:tcBorders>
              <w:bottom w:val="single" w:sz="8" w:color="CDE9F6"/>
            </w:tcBorders>
            <w:shd w:val="clear" w:color="auto" w:fill="CDE9F6"/>
          </w:tcPr>
          <w:p>
            <w:pPr>
              <w:spacing w:after="0"/>
              <w:rPr>
                <w:sz w:val="20"/>
                <w:szCs w:val="20"/>
                <w:color w:val="auto"/>
              </w:rPr>
            </w:pPr>
          </w:p>
        </w:tc>
        <w:tc>
          <w:tcPr>
            <w:tcW w:w="60" w:type="dxa"/>
            <w:vAlign w:val="bottom"/>
            <w:tcBorders>
              <w:bottom w:val="single" w:sz="8" w:color="CDE9F6"/>
            </w:tcBorders>
            <w:shd w:val="clear" w:color="auto" w:fill="CDE9F6"/>
          </w:tcPr>
          <w:p>
            <w:pPr>
              <w:spacing w:after="0"/>
              <w:rPr>
                <w:sz w:val="20"/>
                <w:szCs w:val="20"/>
                <w:color w:val="auto"/>
              </w:rPr>
            </w:pPr>
          </w:p>
        </w:tc>
        <w:tc>
          <w:tcPr>
            <w:tcW w:w="100" w:type="dxa"/>
            <w:vAlign w:val="bottom"/>
            <w:tcBorders>
              <w:bottom w:val="single" w:sz="8" w:color="CDE9F6"/>
            </w:tcBorders>
            <w:shd w:val="clear" w:color="auto" w:fill="CDE9F6"/>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CDE9F6"/>
            </w:tcBorders>
            <w:shd w:val="clear" w:color="auto" w:fill="CDE9F6"/>
          </w:tcPr>
          <w:p>
            <w:pPr>
              <w:jc w:val="right"/>
              <w:spacing w:after="0"/>
              <w:rPr>
                <w:sz w:val="20"/>
                <w:szCs w:val="20"/>
                <w:color w:val="auto"/>
              </w:rPr>
            </w:pPr>
            <w:r>
              <w:rPr>
                <w:rFonts w:ascii="Times New Roman" w:cs="Times New Roman" w:eastAsia="Times New Roman" w:hAnsi="Times New Roman"/>
                <w:sz w:val="17"/>
                <w:szCs w:val="17"/>
                <w:color w:val="auto"/>
              </w:rPr>
              <w:t>10,155,102</w:t>
            </w:r>
          </w:p>
        </w:tc>
        <w:tc>
          <w:tcPr>
            <w:tcW w:w="0" w:type="dxa"/>
            <w:vAlign w:val="bottom"/>
          </w:tcPr>
          <w:p>
            <w:pPr>
              <w:spacing w:after="0"/>
              <w:rPr>
                <w:sz w:val="1"/>
                <w:szCs w:val="1"/>
                <w:color w:val="auto"/>
              </w:rPr>
            </w:pPr>
          </w:p>
        </w:tc>
      </w:tr>
      <w:tr>
        <w:trPr>
          <w:trHeight w:val="235"/>
        </w:trPr>
        <w:tc>
          <w:tcPr>
            <w:tcW w:w="41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Mr. Michael Xie</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20,802</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20,802</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5,802,680</w:t>
            </w:r>
          </w:p>
        </w:tc>
        <w:tc>
          <w:tcPr>
            <w:tcW w:w="0" w:type="dxa"/>
            <w:vAlign w:val="bottom"/>
          </w:tcPr>
          <w:p>
            <w:pPr>
              <w:spacing w:after="0"/>
              <w:rPr>
                <w:sz w:val="1"/>
                <w:szCs w:val="1"/>
                <w:color w:val="auto"/>
              </w:rPr>
            </w:pPr>
          </w:p>
        </w:tc>
      </w:tr>
      <w:tr>
        <w:trPr>
          <w:trHeight w:val="40"/>
        </w:trPr>
        <w:tc>
          <w:tcPr>
            <w:tcW w:w="4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5"/>
        </w:trPr>
        <w:tc>
          <w:tcPr>
            <w:tcW w:w="4140" w:type="dxa"/>
            <w:vAlign w:val="bottom"/>
            <w:tcBorders>
              <w:bottom w:val="single" w:sz="8" w:color="CDE9F6"/>
            </w:tcBorders>
            <w:gridSpan w:val="2"/>
            <w:shd w:val="clear" w:color="auto" w:fill="CDE9F6"/>
          </w:tcPr>
          <w:p>
            <w:pPr>
              <w:spacing w:after="0"/>
              <w:rPr>
                <w:sz w:val="20"/>
                <w:szCs w:val="20"/>
                <w:color w:val="auto"/>
              </w:rPr>
            </w:pPr>
            <w:r>
              <w:rPr>
                <w:rFonts w:ascii="Times New Roman" w:cs="Times New Roman" w:eastAsia="Times New Roman" w:hAnsi="Times New Roman"/>
                <w:sz w:val="17"/>
                <w:szCs w:val="17"/>
                <w:color w:val="auto"/>
              </w:rPr>
              <w:t>Ms. Ohlgart</w:t>
            </w:r>
          </w:p>
        </w:tc>
        <w:tc>
          <w:tcPr>
            <w:tcW w:w="1240" w:type="dxa"/>
            <w:vAlign w:val="bottom"/>
            <w:tcBorders>
              <w:bottom w:val="single" w:sz="8" w:color="CDE9F6"/>
            </w:tcBorders>
            <w:gridSpan w:val="2"/>
            <w:shd w:val="clear" w:color="auto" w:fill="CDE9F6"/>
          </w:tcPr>
          <w:p>
            <w:pPr>
              <w:jc w:val="right"/>
              <w:ind w:right="100"/>
              <w:spacing w:after="0"/>
              <w:rPr>
                <w:sz w:val="20"/>
                <w:szCs w:val="20"/>
                <w:color w:val="auto"/>
              </w:rPr>
            </w:pPr>
            <w:r>
              <w:rPr>
                <w:rFonts w:ascii="Times New Roman" w:cs="Times New Roman" w:eastAsia="Times New Roman" w:hAnsi="Times New Roman"/>
                <w:sz w:val="17"/>
                <w:szCs w:val="17"/>
                <w:color w:val="auto"/>
              </w:rPr>
              <w:t>10,401</w:t>
            </w:r>
          </w:p>
        </w:tc>
        <w:tc>
          <w:tcPr>
            <w:tcW w:w="1180" w:type="dxa"/>
            <w:vAlign w:val="bottom"/>
            <w:tcBorders>
              <w:bottom w:val="single" w:sz="8" w:color="CDE9F6"/>
            </w:tcBorders>
            <w:gridSpan w:val="2"/>
            <w:shd w:val="clear" w:color="auto" w:fill="CDE9F6"/>
          </w:tcPr>
          <w:p>
            <w:pPr>
              <w:jc w:val="right"/>
              <w:ind w:right="40"/>
              <w:spacing w:after="0"/>
              <w:rPr>
                <w:sz w:val="20"/>
                <w:szCs w:val="20"/>
                <w:color w:val="auto"/>
              </w:rPr>
            </w:pPr>
            <w:r>
              <w:rPr>
                <w:rFonts w:ascii="Times New Roman" w:cs="Times New Roman" w:eastAsia="Times New Roman" w:hAnsi="Times New Roman"/>
                <w:sz w:val="17"/>
                <w:szCs w:val="17"/>
                <w:color w:val="auto"/>
              </w:rPr>
              <w:t>10,401</w:t>
            </w:r>
          </w:p>
        </w:tc>
        <w:tc>
          <w:tcPr>
            <w:tcW w:w="160" w:type="dxa"/>
            <w:vAlign w:val="bottom"/>
            <w:tcBorders>
              <w:bottom w:val="single" w:sz="8" w:color="CDE9F6"/>
            </w:tcBorders>
            <w:gridSpan w:val="2"/>
            <w:shd w:val="clear" w:color="auto" w:fill="CDE9F6"/>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bottom w:val="single" w:sz="8" w:color="CDE9F6"/>
            </w:tcBorders>
            <w:shd w:val="clear" w:color="auto" w:fill="CDE9F6"/>
          </w:tcPr>
          <w:p>
            <w:pPr>
              <w:jc w:val="right"/>
              <w:spacing w:after="0"/>
              <w:rPr>
                <w:sz w:val="20"/>
                <w:szCs w:val="20"/>
                <w:color w:val="auto"/>
              </w:rPr>
            </w:pPr>
            <w:r>
              <w:rPr>
                <w:rFonts w:ascii="Times New Roman" w:cs="Times New Roman" w:eastAsia="Times New Roman" w:hAnsi="Times New Roman"/>
                <w:sz w:val="17"/>
                <w:szCs w:val="17"/>
                <w:color w:val="auto"/>
              </w:rPr>
              <w:t>2,901,340</w:t>
            </w:r>
          </w:p>
        </w:tc>
        <w:tc>
          <w:tcPr>
            <w:tcW w:w="0" w:type="dxa"/>
            <w:vAlign w:val="bottom"/>
          </w:tcPr>
          <w:p>
            <w:pPr>
              <w:spacing w:after="0"/>
              <w:rPr>
                <w:sz w:val="1"/>
                <w:szCs w:val="1"/>
                <w:color w:val="auto"/>
              </w:rPr>
            </w:pPr>
          </w:p>
        </w:tc>
      </w:tr>
      <w:tr>
        <w:trPr>
          <w:trHeight w:val="235"/>
        </w:trPr>
        <w:tc>
          <w:tcPr>
            <w:tcW w:w="41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Ms. Ohlgart*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4,810</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4,810</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748,888</w:t>
            </w:r>
          </w:p>
        </w:tc>
        <w:tc>
          <w:tcPr>
            <w:tcW w:w="0" w:type="dxa"/>
            <w:vAlign w:val="bottom"/>
          </w:tcPr>
          <w:p>
            <w:pPr>
              <w:spacing w:after="0"/>
              <w:rPr>
                <w:sz w:val="1"/>
                <w:szCs w:val="1"/>
                <w:color w:val="auto"/>
              </w:rPr>
            </w:pPr>
          </w:p>
        </w:tc>
      </w:tr>
      <w:tr>
        <w:trPr>
          <w:trHeight w:val="40"/>
        </w:trPr>
        <w:tc>
          <w:tcPr>
            <w:tcW w:w="4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5"/>
        </w:trPr>
        <w:tc>
          <w:tcPr>
            <w:tcW w:w="4140" w:type="dxa"/>
            <w:vAlign w:val="bottom"/>
            <w:tcBorders>
              <w:bottom w:val="single" w:sz="8" w:color="CDE9F6"/>
            </w:tcBorders>
            <w:gridSpan w:val="2"/>
            <w:shd w:val="clear" w:color="auto" w:fill="CDE9F6"/>
          </w:tcPr>
          <w:p>
            <w:pPr>
              <w:spacing w:after="0"/>
              <w:rPr>
                <w:sz w:val="20"/>
                <w:szCs w:val="20"/>
                <w:color w:val="auto"/>
              </w:rPr>
            </w:pPr>
            <w:r>
              <w:rPr>
                <w:rFonts w:ascii="Times New Roman" w:cs="Times New Roman" w:eastAsia="Times New Roman" w:hAnsi="Times New Roman"/>
                <w:sz w:val="17"/>
                <w:szCs w:val="17"/>
                <w:color w:val="auto"/>
              </w:rPr>
              <w:t>Mr. Jensen</w:t>
            </w:r>
          </w:p>
        </w:tc>
        <w:tc>
          <w:tcPr>
            <w:tcW w:w="1240" w:type="dxa"/>
            <w:vAlign w:val="bottom"/>
            <w:tcBorders>
              <w:bottom w:val="single" w:sz="8" w:color="CDE9F6"/>
            </w:tcBorders>
            <w:gridSpan w:val="2"/>
            <w:shd w:val="clear" w:color="auto" w:fill="CDE9F6"/>
          </w:tcPr>
          <w:p>
            <w:pPr>
              <w:jc w:val="right"/>
              <w:ind w:right="100"/>
              <w:spacing w:after="0"/>
              <w:rPr>
                <w:sz w:val="20"/>
                <w:szCs w:val="20"/>
                <w:color w:val="auto"/>
              </w:rPr>
            </w:pPr>
            <w:r>
              <w:rPr>
                <w:rFonts w:ascii="Times New Roman" w:cs="Times New Roman" w:eastAsia="Times New Roman" w:hAnsi="Times New Roman"/>
                <w:sz w:val="17"/>
                <w:szCs w:val="17"/>
                <w:color w:val="auto"/>
              </w:rPr>
              <w:t>18,202</w:t>
            </w:r>
          </w:p>
        </w:tc>
        <w:tc>
          <w:tcPr>
            <w:tcW w:w="1180" w:type="dxa"/>
            <w:vAlign w:val="bottom"/>
            <w:tcBorders>
              <w:bottom w:val="single" w:sz="8" w:color="CDE9F6"/>
            </w:tcBorders>
            <w:gridSpan w:val="2"/>
            <w:shd w:val="clear" w:color="auto" w:fill="CDE9F6"/>
          </w:tcPr>
          <w:p>
            <w:pPr>
              <w:jc w:val="right"/>
              <w:ind w:right="40"/>
              <w:spacing w:after="0"/>
              <w:rPr>
                <w:sz w:val="20"/>
                <w:szCs w:val="20"/>
                <w:color w:val="auto"/>
              </w:rPr>
            </w:pPr>
            <w:r>
              <w:rPr>
                <w:rFonts w:ascii="Times New Roman" w:cs="Times New Roman" w:eastAsia="Times New Roman" w:hAnsi="Times New Roman"/>
                <w:sz w:val="17"/>
                <w:szCs w:val="17"/>
                <w:color w:val="auto"/>
              </w:rPr>
              <w:t>18,202</w:t>
            </w:r>
          </w:p>
        </w:tc>
        <w:tc>
          <w:tcPr>
            <w:tcW w:w="160" w:type="dxa"/>
            <w:vAlign w:val="bottom"/>
            <w:tcBorders>
              <w:bottom w:val="single" w:sz="8" w:color="CDE9F6"/>
            </w:tcBorders>
            <w:gridSpan w:val="2"/>
            <w:shd w:val="clear" w:color="auto" w:fill="CDE9F6"/>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bottom w:val="single" w:sz="8" w:color="CDE9F6"/>
            </w:tcBorders>
            <w:shd w:val="clear" w:color="auto" w:fill="CDE9F6"/>
          </w:tcPr>
          <w:p>
            <w:pPr>
              <w:jc w:val="right"/>
              <w:spacing w:after="0"/>
              <w:rPr>
                <w:sz w:val="20"/>
                <w:szCs w:val="20"/>
                <w:color w:val="auto"/>
              </w:rPr>
            </w:pPr>
            <w:r>
              <w:rPr>
                <w:rFonts w:ascii="Times New Roman" w:cs="Times New Roman" w:eastAsia="Times New Roman" w:hAnsi="Times New Roman"/>
                <w:sz w:val="17"/>
                <w:szCs w:val="17"/>
                <w:color w:val="auto"/>
              </w:rPr>
              <w:t>5,077,415</w:t>
            </w:r>
          </w:p>
        </w:tc>
        <w:tc>
          <w:tcPr>
            <w:tcW w:w="0" w:type="dxa"/>
            <w:vAlign w:val="bottom"/>
          </w:tcPr>
          <w:p>
            <w:pPr>
              <w:spacing w:after="0"/>
              <w:rPr>
                <w:sz w:val="1"/>
                <w:szCs w:val="1"/>
                <w:color w:val="auto"/>
              </w:rPr>
            </w:pPr>
          </w:p>
        </w:tc>
      </w:tr>
      <w:tr>
        <w:trPr>
          <w:trHeight w:val="235"/>
        </w:trPr>
        <w:tc>
          <w:tcPr>
            <w:tcW w:w="41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Mr. Jensen**</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588</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46,881</w:t>
            </w:r>
          </w:p>
        </w:tc>
        <w:tc>
          <w:tcPr>
            <w:tcW w:w="0" w:type="dxa"/>
            <w:vAlign w:val="bottom"/>
          </w:tcPr>
          <w:p>
            <w:pPr>
              <w:spacing w:after="0"/>
              <w:rPr>
                <w:sz w:val="1"/>
                <w:szCs w:val="1"/>
                <w:color w:val="auto"/>
              </w:rPr>
            </w:pPr>
          </w:p>
        </w:tc>
      </w:tr>
      <w:tr>
        <w:trPr>
          <w:trHeight w:val="40"/>
        </w:trPr>
        <w:tc>
          <w:tcPr>
            <w:tcW w:w="4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5"/>
        </w:trPr>
        <w:tc>
          <w:tcPr>
            <w:tcW w:w="4140" w:type="dxa"/>
            <w:vAlign w:val="bottom"/>
            <w:gridSpan w:val="2"/>
            <w:shd w:val="clear" w:color="auto" w:fill="CDE9F6"/>
          </w:tcPr>
          <w:p>
            <w:pPr>
              <w:spacing w:after="0"/>
              <w:rPr>
                <w:sz w:val="20"/>
                <w:szCs w:val="20"/>
                <w:color w:val="auto"/>
              </w:rPr>
            </w:pPr>
            <w:r>
              <w:rPr>
                <w:rFonts w:ascii="Times New Roman" w:cs="Times New Roman" w:eastAsia="Times New Roman" w:hAnsi="Times New Roman"/>
                <w:sz w:val="17"/>
                <w:szCs w:val="17"/>
                <w:color w:val="auto"/>
              </w:rPr>
              <w:t>Mr. Whittle</w:t>
            </w:r>
          </w:p>
        </w:tc>
        <w:tc>
          <w:tcPr>
            <w:tcW w:w="1240" w:type="dxa"/>
            <w:vAlign w:val="bottom"/>
            <w:gridSpan w:val="2"/>
            <w:shd w:val="clear" w:color="auto" w:fill="CDE9F6"/>
          </w:tcPr>
          <w:p>
            <w:pPr>
              <w:jc w:val="right"/>
              <w:ind w:right="100"/>
              <w:spacing w:after="0"/>
              <w:rPr>
                <w:sz w:val="20"/>
                <w:szCs w:val="20"/>
                <w:color w:val="auto"/>
              </w:rPr>
            </w:pPr>
            <w:r>
              <w:rPr>
                <w:rFonts w:ascii="Times New Roman" w:cs="Times New Roman" w:eastAsia="Times New Roman" w:hAnsi="Times New Roman"/>
                <w:sz w:val="17"/>
                <w:szCs w:val="17"/>
                <w:color w:val="auto"/>
              </w:rPr>
              <w:t>18,202</w:t>
            </w:r>
          </w:p>
        </w:tc>
        <w:tc>
          <w:tcPr>
            <w:tcW w:w="1180" w:type="dxa"/>
            <w:vAlign w:val="bottom"/>
            <w:gridSpan w:val="2"/>
            <w:shd w:val="clear" w:color="auto" w:fill="CDE9F6"/>
          </w:tcPr>
          <w:p>
            <w:pPr>
              <w:jc w:val="right"/>
              <w:ind w:right="40"/>
              <w:spacing w:after="0"/>
              <w:rPr>
                <w:sz w:val="20"/>
                <w:szCs w:val="20"/>
                <w:color w:val="auto"/>
              </w:rPr>
            </w:pPr>
            <w:r>
              <w:rPr>
                <w:rFonts w:ascii="Times New Roman" w:cs="Times New Roman" w:eastAsia="Times New Roman" w:hAnsi="Times New Roman"/>
                <w:sz w:val="17"/>
                <w:szCs w:val="17"/>
                <w:color w:val="auto"/>
              </w:rPr>
              <w:t>18,202</w:t>
            </w:r>
          </w:p>
        </w:tc>
        <w:tc>
          <w:tcPr>
            <w:tcW w:w="160" w:type="dxa"/>
            <w:vAlign w:val="bottom"/>
            <w:gridSpan w:val="2"/>
            <w:shd w:val="clear" w:color="auto" w:fill="CDE9F6"/>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shd w:val="clear" w:color="auto" w:fill="CDE9F6"/>
          </w:tcPr>
          <w:p>
            <w:pPr>
              <w:jc w:val="right"/>
              <w:spacing w:after="0"/>
              <w:rPr>
                <w:sz w:val="20"/>
                <w:szCs w:val="20"/>
                <w:color w:val="auto"/>
              </w:rPr>
            </w:pPr>
            <w:r>
              <w:rPr>
                <w:rFonts w:ascii="Times New Roman" w:cs="Times New Roman" w:eastAsia="Times New Roman" w:hAnsi="Times New Roman"/>
                <w:sz w:val="17"/>
                <w:szCs w:val="17"/>
                <w:color w:val="auto"/>
              </w:rPr>
              <w:t>5,077,415</w:t>
            </w:r>
          </w:p>
        </w:tc>
        <w:tc>
          <w:tcPr>
            <w:tcW w:w="0" w:type="dxa"/>
            <w:vAlign w:val="bottom"/>
          </w:tcPr>
          <w:p>
            <w:pPr>
              <w:spacing w:after="0"/>
              <w:rPr>
                <w:sz w:val="1"/>
                <w:szCs w:val="1"/>
                <w:color w:val="auto"/>
              </w:rPr>
            </w:pPr>
          </w:p>
        </w:tc>
      </w:tr>
      <w:tr>
        <w:trPr>
          <w:trHeight w:val="40"/>
        </w:trPr>
        <w:tc>
          <w:tcPr>
            <w:tcW w:w="4020" w:type="dxa"/>
            <w:vAlign w:val="bottom"/>
            <w:shd w:val="clear" w:color="auto" w:fill="CDE9F6"/>
          </w:tcPr>
          <w:p>
            <w:pPr>
              <w:spacing w:after="0"/>
              <w:rPr>
                <w:sz w:val="3"/>
                <w:szCs w:val="3"/>
                <w:color w:val="auto"/>
              </w:rPr>
            </w:pPr>
          </w:p>
        </w:tc>
        <w:tc>
          <w:tcPr>
            <w:tcW w:w="120" w:type="dxa"/>
            <w:vAlign w:val="bottom"/>
            <w:shd w:val="clear" w:color="auto" w:fill="CDE9F6"/>
          </w:tcPr>
          <w:p>
            <w:pPr>
              <w:spacing w:after="0"/>
              <w:rPr>
                <w:sz w:val="3"/>
                <w:szCs w:val="3"/>
                <w:color w:val="auto"/>
              </w:rPr>
            </w:pPr>
          </w:p>
        </w:tc>
        <w:tc>
          <w:tcPr>
            <w:tcW w:w="1140" w:type="dxa"/>
            <w:vAlign w:val="bottom"/>
            <w:shd w:val="clear" w:color="auto" w:fill="CDE9F6"/>
          </w:tcPr>
          <w:p>
            <w:pPr>
              <w:spacing w:after="0"/>
              <w:rPr>
                <w:sz w:val="3"/>
                <w:szCs w:val="3"/>
                <w:color w:val="auto"/>
              </w:rPr>
            </w:pPr>
          </w:p>
        </w:tc>
        <w:tc>
          <w:tcPr>
            <w:tcW w:w="100" w:type="dxa"/>
            <w:vAlign w:val="bottom"/>
            <w:shd w:val="clear" w:color="auto" w:fill="CDE9F6"/>
          </w:tcPr>
          <w:p>
            <w:pPr>
              <w:spacing w:after="0"/>
              <w:rPr>
                <w:sz w:val="3"/>
                <w:szCs w:val="3"/>
                <w:color w:val="auto"/>
              </w:rPr>
            </w:pPr>
          </w:p>
        </w:tc>
        <w:tc>
          <w:tcPr>
            <w:tcW w:w="1140" w:type="dxa"/>
            <w:vAlign w:val="bottom"/>
            <w:shd w:val="clear" w:color="auto" w:fill="CDE9F6"/>
          </w:tcPr>
          <w:p>
            <w:pPr>
              <w:spacing w:after="0"/>
              <w:rPr>
                <w:sz w:val="3"/>
                <w:szCs w:val="3"/>
                <w:color w:val="auto"/>
              </w:rPr>
            </w:pPr>
          </w:p>
        </w:tc>
        <w:tc>
          <w:tcPr>
            <w:tcW w:w="40" w:type="dxa"/>
            <w:vAlign w:val="bottom"/>
            <w:shd w:val="clear" w:color="auto" w:fill="CDE9F6"/>
          </w:tcPr>
          <w:p>
            <w:pPr>
              <w:spacing w:after="0"/>
              <w:rPr>
                <w:sz w:val="3"/>
                <w:szCs w:val="3"/>
                <w:color w:val="auto"/>
              </w:rPr>
            </w:pPr>
          </w:p>
        </w:tc>
        <w:tc>
          <w:tcPr>
            <w:tcW w:w="60" w:type="dxa"/>
            <w:vAlign w:val="bottom"/>
            <w:shd w:val="clear" w:color="auto" w:fill="CDE9F6"/>
          </w:tcPr>
          <w:p>
            <w:pPr>
              <w:spacing w:after="0"/>
              <w:rPr>
                <w:sz w:val="3"/>
                <w:szCs w:val="3"/>
                <w:color w:val="auto"/>
              </w:rPr>
            </w:pPr>
          </w:p>
        </w:tc>
        <w:tc>
          <w:tcPr>
            <w:tcW w:w="100" w:type="dxa"/>
            <w:vAlign w:val="bottom"/>
            <w:shd w:val="clear" w:color="auto" w:fill="CDE9F6"/>
          </w:tcPr>
          <w:p>
            <w:pPr>
              <w:spacing w:after="0"/>
              <w:rPr>
                <w:sz w:val="3"/>
                <w:szCs w:val="3"/>
                <w:color w:val="auto"/>
              </w:rPr>
            </w:pPr>
          </w:p>
        </w:tc>
        <w:tc>
          <w:tcPr>
            <w:tcW w:w="1140" w:type="dxa"/>
            <w:vAlign w:val="bottom"/>
            <w:shd w:val="clear" w:color="auto" w:fill="CDE9F6"/>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3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________________________</w:t>
      </w:r>
    </w:p>
    <w:p>
      <w:pPr>
        <w:spacing w:after="0" w:line="87" w:lineRule="exact"/>
        <w:rPr>
          <w:sz w:val="20"/>
          <w:szCs w:val="20"/>
          <w:color w:val="auto"/>
        </w:rPr>
      </w:pPr>
    </w:p>
    <w:p>
      <w:pPr>
        <w:ind w:left="920" w:right="879" w:hanging="346"/>
        <w:spacing w:after="0" w:line="296" w:lineRule="auto"/>
        <w:tabs>
          <w:tab w:leader="none" w:pos="881"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Granted in August 2025 in connection with Ms. Ohlgart’s appointment as our Chief Financial Officer in May 2025.</w:t>
      </w:r>
    </w:p>
    <w:p>
      <w:pPr>
        <w:spacing w:after="0" w:line="2" w:lineRule="exact"/>
        <w:rPr>
          <w:sz w:val="20"/>
          <w:szCs w:val="20"/>
          <w:color w:val="auto"/>
        </w:rPr>
      </w:pPr>
    </w:p>
    <w:p>
      <w:pPr>
        <w:ind w:left="920" w:right="679" w:hanging="346"/>
        <w:spacing w:after="0" w:line="296" w:lineRule="auto"/>
        <w:tabs>
          <w:tab w:leader="none" w:pos="876"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Granted in November 2025 in connection with Mr. Jensen’s role as member of Fortinet’s Strategic Advisor Council.</w:t>
      </w:r>
    </w:p>
    <w:p>
      <w:pPr>
        <w:spacing w:after="0" w:line="81" w:lineRule="exact"/>
        <w:rPr>
          <w:sz w:val="20"/>
          <w:szCs w:val="20"/>
          <w:color w:val="auto"/>
        </w:rPr>
      </w:pPr>
    </w:p>
    <w:p>
      <w:pPr>
        <w:ind w:left="580" w:right="599" w:firstLine="349"/>
        <w:spacing w:after="0" w:line="296" w:lineRule="auto"/>
        <w:rPr>
          <w:sz w:val="20"/>
          <w:szCs w:val="20"/>
          <w:color w:val="auto"/>
        </w:rPr>
      </w:pPr>
      <w:r>
        <w:rPr>
          <w:rFonts w:ascii="Times New Roman" w:cs="Times New Roman" w:eastAsia="Times New Roman" w:hAnsi="Times New Roman"/>
          <w:sz w:val="17"/>
          <w:szCs w:val="17"/>
          <w:color w:val="auto"/>
        </w:rPr>
        <w:t>Each of these RSU and PSU awards were granted in accordance with Fortinet’s Equity Award Grant Policy discussed in “</w:t>
      </w:r>
      <w:r>
        <w:rPr>
          <w:rFonts w:ascii="Times New Roman" w:cs="Times New Roman" w:eastAsia="Times New Roman" w:hAnsi="Times New Roman"/>
          <w:sz w:val="17"/>
          <w:szCs w:val="17"/>
          <w:i w:val="1"/>
          <w:iCs w:val="1"/>
          <w:color w:val="auto"/>
        </w:rPr>
        <w:t>— Timing of Equity Awards</w:t>
      </w:r>
      <w:r>
        <w:rPr>
          <w:rFonts w:ascii="Times New Roman" w:cs="Times New Roman" w:eastAsia="Times New Roman" w:hAnsi="Times New Roman"/>
          <w:sz w:val="17"/>
          <w:szCs w:val="17"/>
          <w:color w:val="auto"/>
        </w:rPr>
        <w:t>” below.</w:t>
      </w:r>
    </w:p>
    <w:p>
      <w:pPr>
        <w:spacing w:after="0" w:line="64" w:lineRule="exact"/>
        <w:rPr>
          <w:sz w:val="20"/>
          <w:szCs w:val="20"/>
          <w:color w:val="auto"/>
        </w:rPr>
      </w:pPr>
    </w:p>
    <w:p>
      <w:pPr>
        <w:ind w:left="580" w:right="759" w:firstLine="349"/>
        <w:spacing w:after="0" w:line="266" w:lineRule="auto"/>
        <w:rPr>
          <w:sz w:val="20"/>
          <w:szCs w:val="20"/>
          <w:color w:val="auto"/>
        </w:rPr>
      </w:pPr>
      <w:r>
        <w:rPr>
          <w:rFonts w:ascii="Times New Roman" w:cs="Times New Roman" w:eastAsia="Times New Roman" w:hAnsi="Times New Roman"/>
          <w:sz w:val="17"/>
          <w:szCs w:val="17"/>
          <w:b w:val="1"/>
          <w:bCs w:val="1"/>
          <w:i w:val="1"/>
          <w:iCs w:val="1"/>
          <w:color w:val="auto"/>
        </w:rPr>
        <w:t xml:space="preserve">2025 RSU Awards. </w:t>
      </w:r>
      <w:r>
        <w:rPr>
          <w:rFonts w:ascii="Times New Roman" w:cs="Times New Roman" w:eastAsia="Times New Roman" w:hAnsi="Times New Roman"/>
          <w:sz w:val="17"/>
          <w:szCs w:val="17"/>
          <w:color w:val="auto"/>
        </w:rPr>
        <w:t>In January 2025 and July 2025, the Human Resources Committee approved awards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of RSUs to our NEOs as set forth in the table above. These RSUs vest over four years, with 25% vesting one year from February 1, 2026 and the remainder vesting quarterly thereafter. In October 2025, the Human Resources Committee approved awards of RSUs to Mr. Jensen as set forth in the table above. This RSU vests on the one-year anniversary of August 5, 2026, the date of Mr. Jensen’s Fortinet Strategic Advisory Council Member Agreement.</w:t>
      </w:r>
    </w:p>
    <w:p>
      <w:pPr>
        <w:spacing w:after="0" w:line="102" w:lineRule="exact"/>
        <w:rPr>
          <w:sz w:val="20"/>
          <w:szCs w:val="20"/>
          <w:color w:val="auto"/>
        </w:rPr>
      </w:pPr>
    </w:p>
    <w:p>
      <w:pPr>
        <w:ind w:left="580" w:right="659" w:firstLine="349"/>
        <w:spacing w:after="0" w:line="267" w:lineRule="auto"/>
        <w:rPr>
          <w:sz w:val="20"/>
          <w:szCs w:val="20"/>
          <w:color w:val="auto"/>
        </w:rPr>
      </w:pPr>
      <w:r>
        <w:rPr>
          <w:rFonts w:ascii="Times New Roman" w:cs="Times New Roman" w:eastAsia="Times New Roman" w:hAnsi="Times New Roman"/>
          <w:sz w:val="17"/>
          <w:szCs w:val="17"/>
          <w:b w:val="1"/>
          <w:bCs w:val="1"/>
          <w:i w:val="1"/>
          <w:iCs w:val="1"/>
          <w:color w:val="auto"/>
        </w:rPr>
        <w:t xml:space="preserve">2025 PSU Awards. </w:t>
      </w:r>
      <w:r>
        <w:rPr>
          <w:rFonts w:ascii="Times New Roman" w:cs="Times New Roman" w:eastAsia="Times New Roman" w:hAnsi="Times New Roman"/>
          <w:sz w:val="17"/>
          <w:szCs w:val="17"/>
          <w:color w:val="auto"/>
        </w:rPr>
        <w:t>In January 2025, the Human Resources Committee approved awards of PSUs to our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NEOs, except for Ms. Ohlgart, as set forth in the table above (the “January PSUs”). Vesting of up to 200% of the target PSUs may be achieved upon maximum achievement of the performance metrics described below. Vesting of the PSUs will be earned based on the relative level of achievement of Fortinet’s TSR as compared to the TSR of the companies that comprise the S&amp;P 500 as of January 1, 2025 over the applicable performance period.</w:t>
      </w:r>
    </w:p>
    <w:p>
      <w:pPr>
        <w:spacing w:after="0" w:line="318" w:lineRule="exact"/>
        <w:rPr>
          <w:sz w:val="20"/>
          <w:szCs w:val="20"/>
          <w:color w:val="auto"/>
        </w:rPr>
      </w:pPr>
    </w:p>
    <w:p>
      <w:pPr>
        <w:ind w:left="580" w:right="619" w:firstLine="349"/>
        <w:spacing w:after="0" w:line="267" w:lineRule="auto"/>
        <w:rPr>
          <w:sz w:val="20"/>
          <w:szCs w:val="20"/>
          <w:color w:val="auto"/>
        </w:rPr>
      </w:pPr>
      <w:r>
        <w:rPr>
          <w:rFonts w:ascii="Times New Roman" w:cs="Times New Roman" w:eastAsia="Times New Roman" w:hAnsi="Times New Roman"/>
          <w:sz w:val="17"/>
          <w:szCs w:val="17"/>
          <w:color w:val="auto"/>
        </w:rPr>
        <w:t>In July 2025, the Human Resources Committee approved awards of PSUs to Ms. Ohlgart as set forth in the table above (the “July PSUs”). Vesting of up to 200% of the target PSUs may be achieved upon maximum achievement of the performance metrics described below. Vesting of the PSUs will be earned based on the relative level of achievement of Fortinet’s TSR as compared to the TSR of the companies that comprise the S&amp;P 500 as of April 1, 2025 over the applicable performance period.</w:t>
      </w:r>
    </w:p>
    <w:p>
      <w:pPr>
        <w:spacing w:after="0" w:line="91" w:lineRule="exact"/>
        <w:rPr>
          <w:sz w:val="20"/>
          <w:szCs w:val="20"/>
          <w:color w:val="auto"/>
        </w:rPr>
      </w:pPr>
    </w:p>
    <w:p>
      <w:pPr>
        <w:jc w:val="both"/>
        <w:ind w:left="580" w:right="659" w:firstLine="349"/>
        <w:spacing w:after="0" w:line="276" w:lineRule="auto"/>
        <w:rPr>
          <w:sz w:val="20"/>
          <w:szCs w:val="20"/>
          <w:color w:val="auto"/>
        </w:rPr>
      </w:pPr>
      <w:r>
        <w:rPr>
          <w:rFonts w:ascii="Times New Roman" w:cs="Times New Roman" w:eastAsia="Times New Roman" w:hAnsi="Times New Roman"/>
          <w:sz w:val="17"/>
          <w:szCs w:val="17"/>
          <w:color w:val="auto"/>
        </w:rPr>
        <w:t>The Human Resources Committee selected the S&amp;P 500 because it is a well-recognized, independent and external metric to measure the equity performance of a large cap company like Fortinet. Generally, TSR will be measured using the 30-consecutive trading day period at the beginning and end of each performance period.</w:t>
      </w:r>
    </w:p>
    <w:p>
      <w:pPr>
        <w:spacing w:after="0" w:line="9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7"/>
          <w:szCs w:val="17"/>
          <w:color w:val="auto"/>
        </w:rPr>
        <w:t>The January PSUs are split in four “tranches” and vest based on the following terms:</w:t>
      </w:r>
    </w:p>
    <w:p>
      <w:pPr>
        <w:spacing w:after="0" w:line="270" w:lineRule="exact"/>
        <w:rPr>
          <w:sz w:val="20"/>
          <w:szCs w:val="20"/>
          <w:color w:val="auto"/>
        </w:rPr>
      </w:pPr>
    </w:p>
    <w:tbl>
      <w:tblPr>
        <w:tblLayout w:type="fixed"/>
        <w:tblInd w:w="580" w:type="dxa"/>
        <w:tblCellMar>
          <w:top w:w="0" w:type="dxa"/>
          <w:left w:w="0" w:type="dxa"/>
          <w:bottom w:w="0" w:type="dxa"/>
          <w:right w:w="0" w:type="dxa"/>
        </w:tblCellMar>
      </w:tblPr>
      <w:tr>
        <w:trPr>
          <w:trHeight w:val="184"/>
        </w:trPr>
        <w:tc>
          <w:tcPr>
            <w:tcW w:w="66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Performance Period</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Overall Weighting</w:t>
            </w:r>
          </w:p>
        </w:tc>
      </w:tr>
      <w:tr>
        <w:trPr>
          <w:trHeight w:val="23"/>
        </w:trPr>
        <w:tc>
          <w:tcPr>
            <w:tcW w:w="6500" w:type="dxa"/>
            <w:vAlign w:val="bottom"/>
            <w:tcBorders>
              <w:bottom w:val="single" w:sz="8" w:color="auto"/>
            </w:tcBorders>
          </w:tcPr>
          <w:p>
            <w:pPr>
              <w:spacing w:after="0"/>
              <w:rPr>
                <w:sz w:val="2"/>
                <w:szCs w:val="2"/>
                <w:color w:val="auto"/>
              </w:rPr>
            </w:pPr>
          </w:p>
        </w:tc>
        <w:tc>
          <w:tcPr>
            <w:tcW w:w="100" w:type="dxa"/>
            <w:vAlign w:val="bottom"/>
            <w:tcBorders>
              <w:bottom w:val="single" w:sz="8" w:color="CDE9F6"/>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5"/>
        </w:trPr>
        <w:tc>
          <w:tcPr>
            <w:tcW w:w="6500" w:type="dxa"/>
            <w:vAlign w:val="bottom"/>
            <w:tcBorders>
              <w:bottom w:val="single" w:sz="8" w:color="CDE9F6"/>
            </w:tcBorders>
            <w:shd w:val="clear" w:color="auto" w:fill="CDE9F6"/>
          </w:tcPr>
          <w:p>
            <w:pPr>
              <w:spacing w:after="0"/>
              <w:rPr>
                <w:sz w:val="20"/>
                <w:szCs w:val="20"/>
                <w:color w:val="auto"/>
              </w:rPr>
            </w:pPr>
            <w:r>
              <w:rPr>
                <w:rFonts w:ascii="Times New Roman" w:cs="Times New Roman" w:eastAsia="Times New Roman" w:hAnsi="Times New Roman"/>
                <w:sz w:val="17"/>
                <w:szCs w:val="17"/>
                <w:color w:val="auto"/>
              </w:rPr>
              <w:t>Tranche 1: One-Year Performance Period: January 1, 2025 – December 31, 2025</w:t>
            </w:r>
          </w:p>
        </w:tc>
        <w:tc>
          <w:tcPr>
            <w:tcW w:w="100" w:type="dxa"/>
            <w:vAlign w:val="bottom"/>
            <w:tcBorders>
              <w:bottom w:val="single" w:sz="8" w:color="CDE9F6"/>
            </w:tcBorders>
            <w:shd w:val="clear" w:color="auto" w:fill="CDE9F6"/>
          </w:tcPr>
          <w:p>
            <w:pPr>
              <w:spacing w:after="0"/>
              <w:rPr>
                <w:sz w:val="20"/>
                <w:szCs w:val="20"/>
                <w:color w:val="auto"/>
              </w:rPr>
            </w:pPr>
          </w:p>
        </w:tc>
        <w:tc>
          <w:tcPr>
            <w:tcW w:w="1260" w:type="dxa"/>
            <w:vAlign w:val="bottom"/>
            <w:tcBorders>
              <w:bottom w:val="single" w:sz="8" w:color="CDE9F6"/>
            </w:tcBorders>
            <w:shd w:val="clear" w:color="auto" w:fill="CDE9F6"/>
          </w:tcPr>
          <w:p>
            <w:pPr>
              <w:jc w:val="right"/>
              <w:spacing w:after="0"/>
              <w:rPr>
                <w:sz w:val="20"/>
                <w:szCs w:val="20"/>
                <w:color w:val="auto"/>
              </w:rPr>
            </w:pPr>
            <w:r>
              <w:rPr>
                <w:rFonts w:ascii="Times New Roman" w:cs="Times New Roman" w:eastAsia="Times New Roman" w:hAnsi="Times New Roman"/>
                <w:sz w:val="17"/>
                <w:szCs w:val="17"/>
                <w:color w:val="auto"/>
              </w:rPr>
              <w:t>20%</w:t>
            </w:r>
          </w:p>
        </w:tc>
      </w:tr>
      <w:tr>
        <w:trPr>
          <w:trHeight w:val="235"/>
        </w:trPr>
        <w:tc>
          <w:tcPr>
            <w:tcW w:w="66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Tranche 2: Two-Year Performance Period: January 1, 2025 – December 31, 2026</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w:t>
            </w:r>
          </w:p>
        </w:tc>
      </w:tr>
      <w:tr>
        <w:trPr>
          <w:trHeight w:val="40"/>
        </w:trPr>
        <w:tc>
          <w:tcPr>
            <w:tcW w:w="6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55"/>
        </w:trPr>
        <w:tc>
          <w:tcPr>
            <w:tcW w:w="6600" w:type="dxa"/>
            <w:vAlign w:val="bottom"/>
            <w:tcBorders>
              <w:bottom w:val="single" w:sz="8" w:color="CDE9F6"/>
            </w:tcBorders>
            <w:gridSpan w:val="2"/>
            <w:shd w:val="clear" w:color="auto" w:fill="CDE9F6"/>
          </w:tcPr>
          <w:p>
            <w:pPr>
              <w:spacing w:after="0"/>
              <w:rPr>
                <w:sz w:val="20"/>
                <w:szCs w:val="20"/>
                <w:color w:val="auto"/>
              </w:rPr>
            </w:pPr>
            <w:r>
              <w:rPr>
                <w:rFonts w:ascii="Times New Roman" w:cs="Times New Roman" w:eastAsia="Times New Roman" w:hAnsi="Times New Roman"/>
                <w:sz w:val="17"/>
                <w:szCs w:val="17"/>
                <w:color w:val="auto"/>
              </w:rPr>
              <w:t>Tranche 3: Three-Year Performance Period: January 1, 2025 – December 31, 2027</w:t>
            </w:r>
          </w:p>
        </w:tc>
        <w:tc>
          <w:tcPr>
            <w:tcW w:w="1260" w:type="dxa"/>
            <w:vAlign w:val="bottom"/>
            <w:tcBorders>
              <w:bottom w:val="single" w:sz="8" w:color="CDE9F6"/>
            </w:tcBorders>
            <w:shd w:val="clear" w:color="auto" w:fill="CDE9F6"/>
          </w:tcPr>
          <w:p>
            <w:pPr>
              <w:jc w:val="right"/>
              <w:spacing w:after="0"/>
              <w:rPr>
                <w:sz w:val="20"/>
                <w:szCs w:val="20"/>
                <w:color w:val="auto"/>
              </w:rPr>
            </w:pPr>
            <w:r>
              <w:rPr>
                <w:rFonts w:ascii="Times New Roman" w:cs="Times New Roman" w:eastAsia="Times New Roman" w:hAnsi="Times New Roman"/>
                <w:sz w:val="17"/>
                <w:szCs w:val="17"/>
                <w:color w:val="auto"/>
              </w:rPr>
              <w:t>20%</w:t>
            </w:r>
          </w:p>
        </w:tc>
      </w:tr>
      <w:tr>
        <w:trPr>
          <w:trHeight w:val="235"/>
        </w:trPr>
        <w:tc>
          <w:tcPr>
            <w:tcW w:w="66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Tranche 4: Four-Year Performance Period: January 1, 2025 – December 31, 2028</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w:t>
            </w:r>
          </w:p>
        </w:tc>
      </w:tr>
      <w:tr>
        <w:trPr>
          <w:trHeight w:val="432"/>
        </w:trPr>
        <w:tc>
          <w:tcPr>
            <w:tcW w:w="6500" w:type="dxa"/>
            <w:vAlign w:val="bottom"/>
            <w:tcBorders>
              <w:bottom w:val="single" w:sz="8" w:color="auto"/>
            </w:tcBorders>
          </w:tcPr>
          <w:p>
            <w:pPr>
              <w:ind w:left="3840"/>
              <w:spacing w:after="0"/>
              <w:rPr>
                <w:sz w:val="20"/>
                <w:szCs w:val="20"/>
                <w:color w:val="auto"/>
              </w:rPr>
            </w:pPr>
            <w:r>
              <w:rPr>
                <w:rFonts w:ascii="Times New Roman" w:cs="Times New Roman" w:eastAsia="Times New Roman" w:hAnsi="Times New Roman"/>
                <w:sz w:val="17"/>
                <w:szCs w:val="17"/>
                <w:color w:val="auto"/>
              </w:rPr>
              <w:t>42</w:t>
            </w:r>
          </w:p>
        </w:tc>
        <w:tc>
          <w:tcPr>
            <w:tcW w:w="1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65" w:right="1440" w:bottom="1440" w:gutter="0" w:footer="0" w:header="0"/>
        </w:sectPr>
      </w:pPr>
    </w:p>
    <w:bookmarkStart w:id="46" w:name="page47"/>
    <w:bookmarkEnd w:id="46"/>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7"/>
          <w:szCs w:val="17"/>
          <w:color w:val="auto"/>
        </w:rPr>
        <w:t>The July PSUs are split in four “tranches” and vest based on the following terms:</w:t>
      </w:r>
    </w:p>
    <w:p>
      <w:pPr>
        <w:spacing w:after="0" w:line="283" w:lineRule="exact"/>
        <w:rPr>
          <w:sz w:val="20"/>
          <w:szCs w:val="20"/>
          <w:color w:val="auto"/>
        </w:rPr>
      </w:pPr>
    </w:p>
    <w:tbl>
      <w:tblPr>
        <w:tblLayout w:type="fixed"/>
        <w:tblInd w:w="580" w:type="dxa"/>
        <w:tblCellMar>
          <w:top w:w="0" w:type="dxa"/>
          <w:left w:w="0" w:type="dxa"/>
          <w:bottom w:w="0" w:type="dxa"/>
          <w:right w:w="0" w:type="dxa"/>
        </w:tblCellMar>
      </w:tblPr>
      <w:tr>
        <w:trPr>
          <w:trHeight w:val="184"/>
        </w:trPr>
        <w:tc>
          <w:tcPr>
            <w:tcW w:w="66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Performance Period</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Overall Weighting</w:t>
            </w:r>
          </w:p>
        </w:tc>
      </w:tr>
      <w:tr>
        <w:trPr>
          <w:trHeight w:val="23"/>
        </w:trPr>
        <w:tc>
          <w:tcPr>
            <w:tcW w:w="6500" w:type="dxa"/>
            <w:vAlign w:val="bottom"/>
            <w:tcBorders>
              <w:bottom w:val="single" w:sz="8" w:color="auto"/>
            </w:tcBorders>
          </w:tcPr>
          <w:p>
            <w:pPr>
              <w:spacing w:after="0"/>
              <w:rPr>
                <w:sz w:val="2"/>
                <w:szCs w:val="2"/>
                <w:color w:val="auto"/>
              </w:rPr>
            </w:pPr>
          </w:p>
        </w:tc>
        <w:tc>
          <w:tcPr>
            <w:tcW w:w="100" w:type="dxa"/>
            <w:vAlign w:val="bottom"/>
            <w:tcBorders>
              <w:bottom w:val="single" w:sz="8" w:color="CDE9F6"/>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5"/>
        </w:trPr>
        <w:tc>
          <w:tcPr>
            <w:tcW w:w="6500" w:type="dxa"/>
            <w:vAlign w:val="bottom"/>
            <w:tcBorders>
              <w:bottom w:val="single" w:sz="8" w:color="CDE9F6"/>
            </w:tcBorders>
            <w:shd w:val="clear" w:color="auto" w:fill="CDE9F6"/>
          </w:tcPr>
          <w:p>
            <w:pPr>
              <w:spacing w:after="0"/>
              <w:rPr>
                <w:sz w:val="20"/>
                <w:szCs w:val="20"/>
                <w:color w:val="auto"/>
              </w:rPr>
            </w:pPr>
            <w:r>
              <w:rPr>
                <w:rFonts w:ascii="Times New Roman" w:cs="Times New Roman" w:eastAsia="Times New Roman" w:hAnsi="Times New Roman"/>
                <w:sz w:val="17"/>
                <w:szCs w:val="17"/>
                <w:color w:val="auto"/>
              </w:rPr>
              <w:t>Tranche 1: One-Year Performance Period: April 1, 2025 – March 31, 2026</w:t>
            </w:r>
          </w:p>
        </w:tc>
        <w:tc>
          <w:tcPr>
            <w:tcW w:w="100" w:type="dxa"/>
            <w:vAlign w:val="bottom"/>
            <w:tcBorders>
              <w:bottom w:val="single" w:sz="8" w:color="CDE9F6"/>
            </w:tcBorders>
            <w:shd w:val="clear" w:color="auto" w:fill="CDE9F6"/>
          </w:tcPr>
          <w:p>
            <w:pPr>
              <w:spacing w:after="0"/>
              <w:rPr>
                <w:sz w:val="20"/>
                <w:szCs w:val="20"/>
                <w:color w:val="auto"/>
              </w:rPr>
            </w:pPr>
          </w:p>
        </w:tc>
        <w:tc>
          <w:tcPr>
            <w:tcW w:w="1260" w:type="dxa"/>
            <w:vAlign w:val="bottom"/>
            <w:tcBorders>
              <w:bottom w:val="single" w:sz="8" w:color="CDE9F6"/>
            </w:tcBorders>
            <w:shd w:val="clear" w:color="auto" w:fill="CDE9F6"/>
          </w:tcPr>
          <w:p>
            <w:pPr>
              <w:jc w:val="right"/>
              <w:spacing w:after="0"/>
              <w:rPr>
                <w:sz w:val="20"/>
                <w:szCs w:val="20"/>
                <w:color w:val="auto"/>
              </w:rPr>
            </w:pPr>
            <w:r>
              <w:rPr>
                <w:rFonts w:ascii="Times New Roman" w:cs="Times New Roman" w:eastAsia="Times New Roman" w:hAnsi="Times New Roman"/>
                <w:sz w:val="17"/>
                <w:szCs w:val="17"/>
                <w:color w:val="auto"/>
              </w:rPr>
              <w:t>20%</w:t>
            </w:r>
          </w:p>
        </w:tc>
      </w:tr>
      <w:tr>
        <w:trPr>
          <w:trHeight w:val="235"/>
        </w:trPr>
        <w:tc>
          <w:tcPr>
            <w:tcW w:w="66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Tranche 2: Two-Year Performance Period: April 1, 2025 – March 31, 2027</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w:t>
            </w:r>
          </w:p>
        </w:tc>
      </w:tr>
      <w:tr>
        <w:trPr>
          <w:trHeight w:val="40"/>
        </w:trPr>
        <w:tc>
          <w:tcPr>
            <w:tcW w:w="6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55"/>
        </w:trPr>
        <w:tc>
          <w:tcPr>
            <w:tcW w:w="6600" w:type="dxa"/>
            <w:vAlign w:val="bottom"/>
            <w:tcBorders>
              <w:bottom w:val="single" w:sz="8" w:color="CDE9F6"/>
            </w:tcBorders>
            <w:gridSpan w:val="2"/>
            <w:shd w:val="clear" w:color="auto" w:fill="CDE9F6"/>
          </w:tcPr>
          <w:p>
            <w:pPr>
              <w:spacing w:after="0"/>
              <w:rPr>
                <w:sz w:val="20"/>
                <w:szCs w:val="20"/>
                <w:color w:val="auto"/>
              </w:rPr>
            </w:pPr>
            <w:r>
              <w:rPr>
                <w:rFonts w:ascii="Times New Roman" w:cs="Times New Roman" w:eastAsia="Times New Roman" w:hAnsi="Times New Roman"/>
                <w:sz w:val="17"/>
                <w:szCs w:val="17"/>
                <w:color w:val="auto"/>
              </w:rPr>
              <w:t>Tranche 3: Three-Year Performance Period: April 1, 2025 – March 31, 2028</w:t>
            </w:r>
          </w:p>
        </w:tc>
        <w:tc>
          <w:tcPr>
            <w:tcW w:w="1260" w:type="dxa"/>
            <w:vAlign w:val="bottom"/>
            <w:tcBorders>
              <w:bottom w:val="single" w:sz="8" w:color="CDE9F6"/>
            </w:tcBorders>
            <w:shd w:val="clear" w:color="auto" w:fill="CDE9F6"/>
          </w:tcPr>
          <w:p>
            <w:pPr>
              <w:jc w:val="right"/>
              <w:spacing w:after="0"/>
              <w:rPr>
                <w:sz w:val="20"/>
                <w:szCs w:val="20"/>
                <w:color w:val="auto"/>
              </w:rPr>
            </w:pPr>
            <w:r>
              <w:rPr>
                <w:rFonts w:ascii="Times New Roman" w:cs="Times New Roman" w:eastAsia="Times New Roman" w:hAnsi="Times New Roman"/>
                <w:sz w:val="17"/>
                <w:szCs w:val="17"/>
                <w:color w:val="auto"/>
              </w:rPr>
              <w:t>20%</w:t>
            </w:r>
          </w:p>
        </w:tc>
      </w:tr>
      <w:tr>
        <w:trPr>
          <w:trHeight w:val="235"/>
        </w:trPr>
        <w:tc>
          <w:tcPr>
            <w:tcW w:w="66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Tranche 4: Four-Year Performance Period: April 1, 2025 – March 31, 2029</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w:t>
            </w:r>
          </w:p>
        </w:tc>
      </w:tr>
    </w:tbl>
    <w:p>
      <w:pPr>
        <w:spacing w:after="0" w:line="15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7"/>
          <w:szCs w:val="17"/>
          <w:color w:val="auto"/>
        </w:rPr>
        <w:t>The relative performance and award multiplier scale is as follows (applies to each performance period):</w:t>
      </w:r>
    </w:p>
    <w:p>
      <w:pPr>
        <w:spacing w:after="0" w:line="174"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6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Award</w:t>
            </w:r>
          </w:p>
        </w:tc>
        <w:tc>
          <w:tcPr>
            <w:tcW w:w="0" w:type="dxa"/>
            <w:vAlign w:val="bottom"/>
          </w:tcPr>
          <w:p>
            <w:pPr>
              <w:spacing w:after="0"/>
              <w:rPr>
                <w:sz w:val="1"/>
                <w:szCs w:val="1"/>
                <w:color w:val="auto"/>
              </w:rPr>
            </w:pPr>
          </w:p>
        </w:tc>
      </w:tr>
      <w:tr>
        <w:trPr>
          <w:trHeight w:val="144"/>
        </w:trPr>
        <w:tc>
          <w:tcPr>
            <w:tcW w:w="6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w w:val="97"/>
              </w:rPr>
              <w:t>Multiplier (PSU</w:t>
            </w:r>
          </w:p>
        </w:tc>
        <w:tc>
          <w:tcPr>
            <w:tcW w:w="0" w:type="dxa"/>
            <w:vAlign w:val="bottom"/>
          </w:tcPr>
          <w:p>
            <w:pPr>
              <w:spacing w:after="0"/>
              <w:rPr>
                <w:sz w:val="1"/>
                <w:szCs w:val="1"/>
                <w:color w:val="auto"/>
              </w:rPr>
            </w:pPr>
          </w:p>
        </w:tc>
      </w:tr>
      <w:tr>
        <w:trPr>
          <w:trHeight w:val="144"/>
        </w:trPr>
        <w:tc>
          <w:tcPr>
            <w:tcW w:w="66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Percentile Rank vs. S&amp;P 500 Companies</w:t>
            </w:r>
          </w:p>
        </w:tc>
        <w:tc>
          <w:tcPr>
            <w:tcW w:w="126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w w:val="98"/>
              </w:rPr>
              <w:t>Vesting as % of</w:t>
            </w:r>
          </w:p>
        </w:tc>
        <w:tc>
          <w:tcPr>
            <w:tcW w:w="0" w:type="dxa"/>
            <w:vAlign w:val="bottom"/>
          </w:tcPr>
          <w:p>
            <w:pPr>
              <w:spacing w:after="0"/>
              <w:rPr>
                <w:sz w:val="1"/>
                <w:szCs w:val="1"/>
                <w:color w:val="auto"/>
              </w:rPr>
            </w:pPr>
          </w:p>
        </w:tc>
      </w:tr>
      <w:tr>
        <w:trPr>
          <w:trHeight w:val="184"/>
        </w:trPr>
        <w:tc>
          <w:tcPr>
            <w:tcW w:w="6600" w:type="dxa"/>
            <w:vAlign w:val="bottom"/>
            <w:gridSpan w:val="2"/>
            <w:vMerge w:val="continue"/>
          </w:tcPr>
          <w:p>
            <w:pPr>
              <w:spacing w:after="0"/>
              <w:rPr>
                <w:sz w:val="16"/>
                <w:szCs w:val="16"/>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Target)</w:t>
            </w:r>
          </w:p>
        </w:tc>
        <w:tc>
          <w:tcPr>
            <w:tcW w:w="0" w:type="dxa"/>
            <w:vAlign w:val="bottom"/>
          </w:tcPr>
          <w:p>
            <w:pPr>
              <w:spacing w:after="0"/>
              <w:rPr>
                <w:sz w:val="1"/>
                <w:szCs w:val="1"/>
                <w:color w:val="auto"/>
              </w:rPr>
            </w:pPr>
          </w:p>
        </w:tc>
      </w:tr>
      <w:tr>
        <w:trPr>
          <w:trHeight w:val="23"/>
        </w:trPr>
        <w:tc>
          <w:tcPr>
            <w:tcW w:w="6500" w:type="dxa"/>
            <w:vAlign w:val="bottom"/>
            <w:tcBorders>
              <w:bottom w:val="single" w:sz="8" w:color="auto"/>
            </w:tcBorders>
          </w:tcPr>
          <w:p>
            <w:pPr>
              <w:spacing w:after="0"/>
              <w:rPr>
                <w:sz w:val="2"/>
                <w:szCs w:val="2"/>
                <w:color w:val="auto"/>
              </w:rPr>
            </w:pPr>
          </w:p>
        </w:tc>
        <w:tc>
          <w:tcPr>
            <w:tcW w:w="100" w:type="dxa"/>
            <w:vAlign w:val="bottom"/>
            <w:tcBorders>
              <w:bottom w:val="single" w:sz="8" w:color="CDE9F6"/>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6500" w:type="dxa"/>
            <w:vAlign w:val="bottom"/>
            <w:shd w:val="clear" w:color="auto" w:fill="CDE9F6"/>
          </w:tcPr>
          <w:p>
            <w:pPr>
              <w:spacing w:after="0"/>
              <w:rPr>
                <w:sz w:val="20"/>
                <w:szCs w:val="20"/>
                <w:color w:val="auto"/>
              </w:rPr>
            </w:pPr>
            <w:r>
              <w:rPr>
                <w:rFonts w:ascii="Times New Roman" w:cs="Times New Roman" w:eastAsia="Times New Roman" w:hAnsi="Times New Roman"/>
                <w:sz w:val="17"/>
                <w:szCs w:val="17"/>
                <w:color w:val="auto"/>
              </w:rPr>
              <w:t>75</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7"/>
                <w:szCs w:val="17"/>
                <w:color w:val="auto"/>
              </w:rPr>
              <w:t xml:space="preserve"> percentile or greater</w:t>
            </w:r>
          </w:p>
        </w:tc>
        <w:tc>
          <w:tcPr>
            <w:tcW w:w="100" w:type="dxa"/>
            <w:vAlign w:val="bottom"/>
            <w:shd w:val="clear" w:color="auto" w:fill="CDE9F6"/>
          </w:tcPr>
          <w:p>
            <w:pPr>
              <w:spacing w:after="0"/>
              <w:rPr>
                <w:sz w:val="22"/>
                <w:szCs w:val="22"/>
                <w:color w:val="auto"/>
              </w:rPr>
            </w:pPr>
          </w:p>
        </w:tc>
        <w:tc>
          <w:tcPr>
            <w:tcW w:w="1260" w:type="dxa"/>
            <w:vAlign w:val="bottom"/>
            <w:shd w:val="clear" w:color="auto" w:fill="CDE9F6"/>
          </w:tcPr>
          <w:p>
            <w:pPr>
              <w:jc w:val="right"/>
              <w:spacing w:after="0"/>
              <w:rPr>
                <w:sz w:val="20"/>
                <w:szCs w:val="20"/>
                <w:color w:val="auto"/>
              </w:rPr>
            </w:pPr>
            <w:r>
              <w:rPr>
                <w:rFonts w:ascii="Times New Roman" w:cs="Times New Roman" w:eastAsia="Times New Roman" w:hAnsi="Times New Roman"/>
                <w:sz w:val="17"/>
                <w:szCs w:val="17"/>
                <w:color w:val="auto"/>
              </w:rPr>
              <w:t>200%</w:t>
            </w:r>
          </w:p>
        </w:tc>
        <w:tc>
          <w:tcPr>
            <w:tcW w:w="0" w:type="dxa"/>
            <w:vAlign w:val="bottom"/>
          </w:tcPr>
          <w:p>
            <w:pPr>
              <w:spacing w:after="0"/>
              <w:rPr>
                <w:sz w:val="1"/>
                <w:szCs w:val="1"/>
                <w:color w:val="auto"/>
              </w:rPr>
            </w:pPr>
          </w:p>
        </w:tc>
      </w:tr>
      <w:tr>
        <w:trPr>
          <w:trHeight w:val="275"/>
        </w:trPr>
        <w:tc>
          <w:tcPr>
            <w:tcW w:w="66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50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7"/>
                <w:szCs w:val="17"/>
                <w:color w:val="auto"/>
              </w:rPr>
              <w:t xml:space="preserve"> percentile</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275"/>
        </w:trPr>
        <w:tc>
          <w:tcPr>
            <w:tcW w:w="6600" w:type="dxa"/>
            <w:vAlign w:val="bottom"/>
            <w:gridSpan w:val="2"/>
            <w:shd w:val="clear" w:color="auto" w:fill="CDE9F6"/>
          </w:tcPr>
          <w:p>
            <w:pPr>
              <w:spacing w:after="0"/>
              <w:rPr>
                <w:sz w:val="20"/>
                <w:szCs w:val="20"/>
                <w:color w:val="auto"/>
              </w:rPr>
            </w:pPr>
            <w:r>
              <w:rPr>
                <w:rFonts w:ascii="Times New Roman" w:cs="Times New Roman" w:eastAsia="Times New Roman" w:hAnsi="Times New Roman"/>
                <w:sz w:val="17"/>
                <w:szCs w:val="17"/>
                <w:color w:val="auto"/>
              </w:rPr>
              <w:t>25</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7"/>
                <w:szCs w:val="17"/>
                <w:color w:val="auto"/>
              </w:rPr>
              <w:t xml:space="preserve"> percentile</w:t>
            </w:r>
          </w:p>
        </w:tc>
        <w:tc>
          <w:tcPr>
            <w:tcW w:w="1260" w:type="dxa"/>
            <w:vAlign w:val="bottom"/>
            <w:shd w:val="clear" w:color="auto" w:fill="CDE9F6"/>
          </w:tcPr>
          <w:p>
            <w:pPr>
              <w:jc w:val="right"/>
              <w:spacing w:after="0"/>
              <w:rPr>
                <w:sz w:val="20"/>
                <w:szCs w:val="20"/>
                <w:color w:val="auto"/>
              </w:rPr>
            </w:pPr>
            <w:r>
              <w:rPr>
                <w:rFonts w:ascii="Times New Roman" w:cs="Times New Roman" w:eastAsia="Times New Roman" w:hAnsi="Times New Roman"/>
                <w:sz w:val="17"/>
                <w:szCs w:val="17"/>
                <w:color w:val="auto"/>
              </w:rPr>
              <w:t>50%</w:t>
            </w:r>
          </w:p>
        </w:tc>
        <w:tc>
          <w:tcPr>
            <w:tcW w:w="0" w:type="dxa"/>
            <w:vAlign w:val="bottom"/>
          </w:tcPr>
          <w:p>
            <w:pPr>
              <w:spacing w:after="0"/>
              <w:rPr>
                <w:sz w:val="1"/>
                <w:szCs w:val="1"/>
                <w:color w:val="auto"/>
              </w:rPr>
            </w:pPr>
          </w:p>
        </w:tc>
      </w:tr>
      <w:tr>
        <w:trPr>
          <w:trHeight w:val="283"/>
        </w:trPr>
        <w:tc>
          <w:tcPr>
            <w:tcW w:w="66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Less than 25</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7"/>
                <w:szCs w:val="17"/>
                <w:color w:val="auto"/>
              </w:rPr>
              <w:t xml:space="preserve"> percentile</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0" w:type="dxa"/>
            <w:vAlign w:val="bottom"/>
          </w:tcPr>
          <w:p>
            <w:pPr>
              <w:spacing w:after="0"/>
              <w:rPr>
                <w:sz w:val="1"/>
                <w:szCs w:val="1"/>
                <w:color w:val="auto"/>
              </w:rPr>
            </w:pPr>
          </w:p>
        </w:tc>
      </w:tr>
      <w:tr>
        <w:trPr>
          <w:trHeight w:val="332"/>
        </w:trPr>
        <w:tc>
          <w:tcPr>
            <w:tcW w:w="660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Achievement between levels will be measured on a straight-line interpolation basis.</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580" w:right="699" w:firstLine="349"/>
        <w:spacing w:after="0" w:line="276" w:lineRule="auto"/>
        <w:rPr>
          <w:sz w:val="20"/>
          <w:szCs w:val="20"/>
          <w:color w:val="auto"/>
        </w:rPr>
      </w:pPr>
      <w:r>
        <w:rPr>
          <w:rFonts w:ascii="Times New Roman" w:cs="Times New Roman" w:eastAsia="Times New Roman" w:hAnsi="Times New Roman"/>
          <w:sz w:val="17"/>
          <w:szCs w:val="17"/>
          <w:color w:val="auto"/>
        </w:rPr>
        <w:t>Each Tranche can only be achieved in its performance period. For example, if Tranche 1 is achieved at 50%, 50% of the Tranche 1 PSUs will vest and 50% of the Tranche 1 PSUs will be forfeited, each at the end of the Tranche 1 performance period.</w:t>
      </w:r>
    </w:p>
    <w:p>
      <w:pPr>
        <w:spacing w:after="0" w:line="98" w:lineRule="exact"/>
        <w:rPr>
          <w:sz w:val="20"/>
          <w:szCs w:val="20"/>
          <w:color w:val="auto"/>
        </w:rPr>
      </w:pPr>
    </w:p>
    <w:p>
      <w:pPr>
        <w:ind w:left="580" w:right="639" w:firstLine="349"/>
        <w:spacing w:after="0" w:line="236" w:lineRule="auto"/>
        <w:rPr>
          <w:sz w:val="20"/>
          <w:szCs w:val="20"/>
          <w:color w:val="auto"/>
        </w:rPr>
      </w:pPr>
      <w:r>
        <w:rPr>
          <w:rFonts w:ascii="Times New Roman" w:cs="Times New Roman" w:eastAsia="Times New Roman" w:hAnsi="Times New Roman"/>
          <w:sz w:val="17"/>
          <w:szCs w:val="17"/>
          <w:color w:val="auto"/>
        </w:rPr>
        <w:t>To the extent a Tranche is achieved, earned January PSUs shall vest the February 1</w:t>
      </w:r>
      <w:r>
        <w:rPr>
          <w:rFonts w:ascii="Times New Roman" w:cs="Times New Roman" w:eastAsia="Times New Roman" w:hAnsi="Times New Roman"/>
          <w:sz w:val="20"/>
          <w:szCs w:val="20"/>
          <w:color w:val="auto"/>
          <w:vertAlign w:val="superscript"/>
        </w:rPr>
        <w:t>st</w:t>
      </w:r>
      <w:r>
        <w:rPr>
          <w:rFonts w:ascii="Times New Roman" w:cs="Times New Roman" w:eastAsia="Times New Roman" w:hAnsi="Times New Roman"/>
          <w:sz w:val="17"/>
          <w:szCs w:val="17"/>
          <w:color w:val="auto"/>
        </w:rPr>
        <w:t xml:space="preserve"> following the end of its performance period and earned July PSUs shall vest the May 1</w:t>
      </w:r>
      <w:r>
        <w:rPr>
          <w:rFonts w:ascii="Times New Roman" w:cs="Times New Roman" w:eastAsia="Times New Roman" w:hAnsi="Times New Roman"/>
          <w:sz w:val="20"/>
          <w:szCs w:val="20"/>
          <w:color w:val="auto"/>
          <w:vertAlign w:val="superscript"/>
        </w:rPr>
        <w:t>st</w:t>
      </w:r>
      <w:r>
        <w:rPr>
          <w:rFonts w:ascii="Times New Roman" w:cs="Times New Roman" w:eastAsia="Times New Roman" w:hAnsi="Times New Roman"/>
          <w:sz w:val="17"/>
          <w:szCs w:val="17"/>
          <w:color w:val="auto"/>
        </w:rPr>
        <w:t xml:space="preserve"> following the end of its performance period, so long as the grantee remains in service to Fortinet on such date.</w:t>
      </w:r>
    </w:p>
    <w:p>
      <w:pPr>
        <w:spacing w:after="0" w:line="19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7"/>
          <w:szCs w:val="17"/>
          <w:b w:val="1"/>
          <w:bCs w:val="1"/>
          <w:i w:val="1"/>
          <w:iCs w:val="1"/>
          <w:color w:val="auto"/>
        </w:rPr>
        <w:t>Outcomes of Prior Year Performance-Based Equity Awards</w:t>
      </w:r>
    </w:p>
    <w:p>
      <w:pPr>
        <w:spacing w:after="0" w:line="149" w:lineRule="exact"/>
        <w:rPr>
          <w:sz w:val="20"/>
          <w:szCs w:val="20"/>
          <w:color w:val="auto"/>
        </w:rPr>
      </w:pPr>
    </w:p>
    <w:p>
      <w:pPr>
        <w:ind w:left="580" w:right="839" w:firstLine="349"/>
        <w:spacing w:after="0" w:line="296" w:lineRule="auto"/>
        <w:rPr>
          <w:sz w:val="20"/>
          <w:szCs w:val="20"/>
          <w:color w:val="auto"/>
        </w:rPr>
      </w:pPr>
      <w:r>
        <w:rPr>
          <w:rFonts w:ascii="Times New Roman" w:cs="Times New Roman" w:eastAsia="Times New Roman" w:hAnsi="Times New Roman"/>
          <w:sz w:val="17"/>
          <w:szCs w:val="17"/>
          <w:color w:val="auto"/>
        </w:rPr>
        <w:t>The following table provides information regarding the target number of PSUs eligible to be earned and the number of PSUs actually earned from PSUs granted based on 2025 performance.</w:t>
      </w:r>
    </w:p>
    <w:p>
      <w:pPr>
        <w:spacing w:after="0" w:line="97"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Remaining PSUs</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Target PSUs</w:t>
            </w: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Actual PSUs</w:t>
            </w:r>
          </w:p>
        </w:tc>
        <w:tc>
          <w:tcPr>
            <w:tcW w:w="0" w:type="dxa"/>
            <w:vAlign w:val="bottom"/>
          </w:tcPr>
          <w:p>
            <w:pPr>
              <w:spacing w:after="0"/>
              <w:rPr>
                <w:sz w:val="1"/>
                <w:szCs w:val="1"/>
                <w:color w:val="auto"/>
              </w:rPr>
            </w:pPr>
          </w:p>
        </w:tc>
      </w:tr>
      <w:tr>
        <w:trPr>
          <w:trHeight w:val="144"/>
        </w:trPr>
        <w:tc>
          <w:tcPr>
            <w:tcW w:w="2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Fiscal Year of</w:t>
            </w:r>
          </w:p>
        </w:tc>
        <w:tc>
          <w:tcPr>
            <w:tcW w:w="1260" w:type="dxa"/>
            <w:vAlign w:val="bottom"/>
            <w:gridSpan w:val="2"/>
            <w:vMerge w:val="continue"/>
          </w:tcPr>
          <w:p>
            <w:pPr>
              <w:spacing w:after="0"/>
              <w:rPr>
                <w:sz w:val="12"/>
                <w:szCs w:val="12"/>
                <w:color w:val="auto"/>
              </w:rPr>
            </w:pPr>
          </w:p>
        </w:tc>
        <w:tc>
          <w:tcPr>
            <w:tcW w:w="1220" w:type="dxa"/>
            <w:vAlign w:val="bottom"/>
            <w:gridSpan w:val="2"/>
          </w:tcPr>
          <w:p>
            <w:pPr>
              <w:jc w:val="center"/>
              <w:ind w:right="100"/>
              <w:spacing w:after="0" w:line="144" w:lineRule="exact"/>
              <w:rPr>
                <w:sz w:val="20"/>
                <w:szCs w:val="20"/>
                <w:color w:val="auto"/>
              </w:rPr>
            </w:pPr>
            <w:r>
              <w:rPr>
                <w:rFonts w:ascii="Times New Roman" w:cs="Times New Roman" w:eastAsia="Times New Roman" w:hAnsi="Times New Roman"/>
                <w:sz w:val="14"/>
                <w:szCs w:val="14"/>
                <w:b w:val="1"/>
                <w:bCs w:val="1"/>
                <w:color w:val="auto"/>
              </w:rPr>
              <w:t>Eligible to be</w:t>
            </w:r>
          </w:p>
        </w:tc>
        <w:tc>
          <w:tcPr>
            <w:tcW w:w="1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8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260" w:type="dxa"/>
            <w:vAlign w:val="bottom"/>
            <w:gridSpan w:val="2"/>
          </w:tcPr>
          <w:p>
            <w:pPr>
              <w:jc w:val="center"/>
              <w:ind w:right="120"/>
              <w:spacing w:after="0" w:line="144" w:lineRule="exact"/>
              <w:rPr>
                <w:sz w:val="20"/>
                <w:szCs w:val="20"/>
                <w:color w:val="auto"/>
              </w:rPr>
            </w:pPr>
            <w:r>
              <w:rPr>
                <w:rFonts w:ascii="Times New Roman" w:cs="Times New Roman" w:eastAsia="Times New Roman" w:hAnsi="Times New Roman"/>
                <w:sz w:val="14"/>
                <w:szCs w:val="14"/>
                <w:b w:val="1"/>
                <w:bCs w:val="1"/>
                <w:color w:val="auto"/>
                <w:w w:val="99"/>
              </w:rPr>
              <w:t>Eligible to be</w:t>
            </w:r>
          </w:p>
        </w:tc>
        <w:tc>
          <w:tcPr>
            <w:tcW w:w="1220" w:type="dxa"/>
            <w:vAlign w:val="bottom"/>
            <w:gridSpan w:val="2"/>
          </w:tcPr>
          <w:p>
            <w:pPr>
              <w:jc w:val="center"/>
              <w:ind w:right="140"/>
              <w:spacing w:after="0" w:line="144" w:lineRule="exact"/>
              <w:rPr>
                <w:sz w:val="20"/>
                <w:szCs w:val="20"/>
                <w:color w:val="auto"/>
              </w:rPr>
            </w:pPr>
            <w:r>
              <w:rPr>
                <w:rFonts w:ascii="Times New Roman" w:cs="Times New Roman" w:eastAsia="Times New Roman" w:hAnsi="Times New Roman"/>
                <w:sz w:val="14"/>
                <w:szCs w:val="14"/>
                <w:b w:val="1"/>
                <w:bCs w:val="1"/>
                <w:color w:val="auto"/>
                <w:w w:val="99"/>
              </w:rPr>
              <w:t>Earned based on</w:t>
            </w:r>
          </w:p>
        </w:tc>
        <w:tc>
          <w:tcPr>
            <w:tcW w:w="124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w w:val="98"/>
              </w:rPr>
              <w:t>Earned Based on</w:t>
            </w:r>
          </w:p>
        </w:tc>
        <w:tc>
          <w:tcPr>
            <w:tcW w:w="0" w:type="dxa"/>
            <w:vAlign w:val="bottom"/>
          </w:tcPr>
          <w:p>
            <w:pPr>
              <w:spacing w:after="0"/>
              <w:rPr>
                <w:sz w:val="1"/>
                <w:szCs w:val="1"/>
                <w:color w:val="auto"/>
              </w:rPr>
            </w:pPr>
          </w:p>
        </w:tc>
      </w:tr>
      <w:tr>
        <w:trPr>
          <w:trHeight w:val="184"/>
        </w:trPr>
        <w:tc>
          <w:tcPr>
            <w:tcW w:w="2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Grant</w:t>
            </w: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Earned</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2025 Performance</w:t>
            </w: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2025 Performance</w:t>
            </w:r>
          </w:p>
        </w:tc>
        <w:tc>
          <w:tcPr>
            <w:tcW w:w="0" w:type="dxa"/>
            <w:vAlign w:val="bottom"/>
          </w:tcPr>
          <w:p>
            <w:pPr>
              <w:spacing w:after="0"/>
              <w:rPr>
                <w:sz w:val="1"/>
                <w:szCs w:val="1"/>
                <w:color w:val="auto"/>
              </w:rPr>
            </w:pPr>
          </w:p>
        </w:tc>
      </w:tr>
      <w:tr>
        <w:trPr>
          <w:trHeight w:val="23"/>
        </w:trPr>
        <w:tc>
          <w:tcPr>
            <w:tcW w:w="2800" w:type="dxa"/>
            <w:vAlign w:val="bottom"/>
            <w:tcBorders>
              <w:bottom w:val="single" w:sz="8" w:color="auto"/>
            </w:tcBorders>
          </w:tcPr>
          <w:p>
            <w:pPr>
              <w:spacing w:after="0"/>
              <w:rPr>
                <w:sz w:val="2"/>
                <w:szCs w:val="2"/>
                <w:color w:val="auto"/>
              </w:rPr>
            </w:pPr>
          </w:p>
        </w:tc>
        <w:tc>
          <w:tcPr>
            <w:tcW w:w="100" w:type="dxa"/>
            <w:vAlign w:val="bottom"/>
            <w:tcBorders>
              <w:bottom w:val="single" w:sz="8" w:color="CDE9F6"/>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DE9F6"/>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DE9F6"/>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DE9F6"/>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2800" w:type="dxa"/>
            <w:vAlign w:val="bottom"/>
            <w:shd w:val="clear" w:color="auto" w:fill="CDE9F6"/>
          </w:tcPr>
          <w:p>
            <w:pPr>
              <w:spacing w:after="0"/>
              <w:rPr>
                <w:sz w:val="20"/>
                <w:szCs w:val="20"/>
                <w:color w:val="auto"/>
              </w:rPr>
            </w:pPr>
            <w:r>
              <w:rPr>
                <w:rFonts w:ascii="Times New Roman" w:cs="Times New Roman" w:eastAsia="Times New Roman" w:hAnsi="Times New Roman"/>
                <w:sz w:val="17"/>
                <w:szCs w:val="17"/>
                <w:color w:val="auto"/>
              </w:rPr>
              <w:t>Mr. Ken Xie</w:t>
            </w:r>
          </w:p>
        </w:tc>
        <w:tc>
          <w:tcPr>
            <w:tcW w:w="100" w:type="dxa"/>
            <w:vAlign w:val="bottom"/>
            <w:shd w:val="clear" w:color="auto" w:fill="CDE9F6"/>
          </w:tcPr>
          <w:p>
            <w:pPr>
              <w:spacing w:after="0"/>
              <w:rPr>
                <w:sz w:val="22"/>
                <w:szCs w:val="22"/>
                <w:color w:val="auto"/>
              </w:rPr>
            </w:pPr>
          </w:p>
        </w:tc>
        <w:tc>
          <w:tcPr>
            <w:tcW w:w="1140" w:type="dxa"/>
            <w:vAlign w:val="bottom"/>
            <w:shd w:val="clear" w:color="auto" w:fill="CDE9F6"/>
          </w:tcPr>
          <w:p>
            <w:pPr>
              <w:jc w:val="center"/>
              <w:spacing w:after="0"/>
              <w:rPr>
                <w:sz w:val="20"/>
                <w:szCs w:val="20"/>
                <w:color w:val="auto"/>
              </w:rPr>
            </w:pPr>
            <w:r>
              <w:rPr>
                <w:rFonts w:ascii="Times New Roman" w:cs="Times New Roman" w:eastAsia="Times New Roman" w:hAnsi="Times New Roman"/>
                <w:sz w:val="17"/>
                <w:szCs w:val="17"/>
                <w:color w:val="auto"/>
                <w:w w:val="92"/>
              </w:rPr>
              <w:t>2023</w:t>
            </w:r>
            <w:r>
              <w:rPr>
                <w:rFonts w:ascii="Times New Roman" w:cs="Times New Roman" w:eastAsia="Times New Roman" w:hAnsi="Times New Roman"/>
                <w:sz w:val="20"/>
                <w:szCs w:val="20"/>
                <w:color w:val="auto"/>
                <w:w w:val="92"/>
                <w:vertAlign w:val="superscript"/>
              </w:rPr>
              <w:t>(1)</w:t>
            </w:r>
          </w:p>
        </w:tc>
        <w:tc>
          <w:tcPr>
            <w:tcW w:w="100" w:type="dxa"/>
            <w:vAlign w:val="bottom"/>
            <w:shd w:val="clear" w:color="auto" w:fill="CDE9F6"/>
          </w:tcPr>
          <w:p>
            <w:pPr>
              <w:spacing w:after="0"/>
              <w:rPr>
                <w:sz w:val="22"/>
                <w:szCs w:val="22"/>
                <w:color w:val="auto"/>
              </w:rPr>
            </w:pPr>
          </w:p>
        </w:tc>
        <w:tc>
          <w:tcPr>
            <w:tcW w:w="1140" w:type="dxa"/>
            <w:vAlign w:val="bottom"/>
            <w:shd w:val="clear" w:color="auto" w:fill="CDE9F6"/>
          </w:tcPr>
          <w:p>
            <w:pPr>
              <w:jc w:val="right"/>
              <w:spacing w:after="0"/>
              <w:rPr>
                <w:sz w:val="20"/>
                <w:szCs w:val="20"/>
                <w:color w:val="auto"/>
              </w:rPr>
            </w:pPr>
            <w:r>
              <w:rPr>
                <w:rFonts w:ascii="Times New Roman" w:cs="Times New Roman" w:eastAsia="Times New Roman" w:hAnsi="Times New Roman"/>
                <w:sz w:val="17"/>
                <w:szCs w:val="17"/>
                <w:color w:val="auto"/>
              </w:rPr>
              <w:t>40,064</w:t>
            </w:r>
          </w:p>
        </w:tc>
        <w:tc>
          <w:tcPr>
            <w:tcW w:w="120" w:type="dxa"/>
            <w:vAlign w:val="bottom"/>
            <w:shd w:val="clear" w:color="auto" w:fill="CDE9F6"/>
          </w:tcPr>
          <w:p>
            <w:pPr>
              <w:spacing w:after="0"/>
              <w:rPr>
                <w:sz w:val="22"/>
                <w:szCs w:val="22"/>
                <w:color w:val="auto"/>
              </w:rPr>
            </w:pPr>
          </w:p>
        </w:tc>
        <w:tc>
          <w:tcPr>
            <w:tcW w:w="1140" w:type="dxa"/>
            <w:vAlign w:val="bottom"/>
            <w:shd w:val="clear" w:color="auto" w:fill="CDE9F6"/>
          </w:tcPr>
          <w:p>
            <w:pPr>
              <w:jc w:val="right"/>
              <w:spacing w:after="0"/>
              <w:rPr>
                <w:sz w:val="20"/>
                <w:szCs w:val="20"/>
                <w:color w:val="auto"/>
              </w:rPr>
            </w:pPr>
            <w:r>
              <w:rPr>
                <w:rFonts w:ascii="Times New Roman" w:cs="Times New Roman" w:eastAsia="Times New Roman" w:hAnsi="Times New Roman"/>
                <w:sz w:val="17"/>
                <w:szCs w:val="17"/>
                <w:color w:val="auto"/>
              </w:rPr>
              <w:t>20,032</w:t>
            </w:r>
          </w:p>
        </w:tc>
        <w:tc>
          <w:tcPr>
            <w:tcW w:w="80" w:type="dxa"/>
            <w:vAlign w:val="bottom"/>
            <w:shd w:val="clear" w:color="auto" w:fill="CDE9F6"/>
          </w:tcPr>
          <w:p>
            <w:pPr>
              <w:spacing w:after="0"/>
              <w:rPr>
                <w:sz w:val="22"/>
                <w:szCs w:val="22"/>
                <w:color w:val="auto"/>
              </w:rPr>
            </w:pPr>
          </w:p>
        </w:tc>
        <w:tc>
          <w:tcPr>
            <w:tcW w:w="1240" w:type="dxa"/>
            <w:vAlign w:val="bottom"/>
            <w:shd w:val="clear" w:color="auto" w:fill="CDE9F6"/>
          </w:tcPr>
          <w:p>
            <w:pPr>
              <w:jc w:val="right"/>
              <w:spacing w:after="0"/>
              <w:rPr>
                <w:sz w:val="20"/>
                <w:szCs w:val="20"/>
                <w:color w:val="auto"/>
              </w:rPr>
            </w:pPr>
            <w:r>
              <w:rPr>
                <w:rFonts w:ascii="Times New Roman" w:cs="Times New Roman" w:eastAsia="Times New Roman" w:hAnsi="Times New Roman"/>
                <w:sz w:val="17"/>
                <w:szCs w:val="17"/>
                <w:color w:val="auto"/>
              </w:rPr>
              <w:t>34,254</w:t>
            </w:r>
          </w:p>
        </w:tc>
        <w:tc>
          <w:tcPr>
            <w:tcW w:w="0" w:type="dxa"/>
            <w:vAlign w:val="bottom"/>
          </w:tcPr>
          <w:p>
            <w:pPr>
              <w:spacing w:after="0"/>
              <w:rPr>
                <w:sz w:val="1"/>
                <w:szCs w:val="1"/>
                <w:color w:val="auto"/>
              </w:rPr>
            </w:pPr>
          </w:p>
        </w:tc>
      </w:tr>
      <w:tr>
        <w:trPr>
          <w:trHeight w:val="275"/>
        </w:trPr>
        <w:tc>
          <w:tcPr>
            <w:tcW w:w="2800" w:type="dxa"/>
            <w:vAlign w:val="bottom"/>
            <w:shd w:val="clear" w:color="auto" w:fill="CDE9F6"/>
          </w:tcPr>
          <w:p>
            <w:pPr>
              <w:spacing w:after="0"/>
              <w:rPr>
                <w:sz w:val="23"/>
                <w:szCs w:val="23"/>
                <w:color w:val="auto"/>
              </w:rPr>
            </w:pPr>
          </w:p>
        </w:tc>
        <w:tc>
          <w:tcPr>
            <w:tcW w:w="100" w:type="dxa"/>
            <w:vAlign w:val="bottom"/>
            <w:shd w:val="clear" w:color="auto" w:fill="CDE9F6"/>
          </w:tcPr>
          <w:p>
            <w:pPr>
              <w:spacing w:after="0"/>
              <w:rPr>
                <w:sz w:val="23"/>
                <w:szCs w:val="23"/>
                <w:color w:val="auto"/>
              </w:rPr>
            </w:pPr>
          </w:p>
        </w:tc>
        <w:tc>
          <w:tcPr>
            <w:tcW w:w="1140" w:type="dxa"/>
            <w:vAlign w:val="bottom"/>
            <w:shd w:val="clear" w:color="auto" w:fill="CDE9F6"/>
          </w:tcPr>
          <w:p>
            <w:pPr>
              <w:jc w:val="center"/>
              <w:spacing w:after="0"/>
              <w:rPr>
                <w:sz w:val="20"/>
                <w:szCs w:val="20"/>
                <w:color w:val="auto"/>
              </w:rPr>
            </w:pPr>
            <w:r>
              <w:rPr>
                <w:rFonts w:ascii="Times New Roman" w:cs="Times New Roman" w:eastAsia="Times New Roman" w:hAnsi="Times New Roman"/>
                <w:sz w:val="17"/>
                <w:szCs w:val="17"/>
                <w:color w:val="auto"/>
                <w:w w:val="92"/>
              </w:rPr>
              <w:t>2024</w:t>
            </w:r>
            <w:r>
              <w:rPr>
                <w:rFonts w:ascii="Times New Roman" w:cs="Times New Roman" w:eastAsia="Times New Roman" w:hAnsi="Times New Roman"/>
                <w:sz w:val="20"/>
                <w:szCs w:val="20"/>
                <w:color w:val="auto"/>
                <w:w w:val="92"/>
                <w:vertAlign w:val="superscript"/>
              </w:rPr>
              <w:t>(2)</w:t>
            </w:r>
          </w:p>
        </w:tc>
        <w:tc>
          <w:tcPr>
            <w:tcW w:w="100" w:type="dxa"/>
            <w:vAlign w:val="bottom"/>
            <w:shd w:val="clear" w:color="auto" w:fill="CDE9F6"/>
          </w:tcPr>
          <w:p>
            <w:pPr>
              <w:spacing w:after="0"/>
              <w:rPr>
                <w:sz w:val="23"/>
                <w:szCs w:val="23"/>
                <w:color w:val="auto"/>
              </w:rPr>
            </w:pPr>
          </w:p>
        </w:tc>
        <w:tc>
          <w:tcPr>
            <w:tcW w:w="1260" w:type="dxa"/>
            <w:vAlign w:val="bottom"/>
            <w:gridSpan w:val="2"/>
            <w:shd w:val="clear" w:color="auto" w:fill="CDE9F6"/>
          </w:tcPr>
          <w:p>
            <w:pPr>
              <w:jc w:val="right"/>
              <w:ind w:right="120"/>
              <w:spacing w:after="0"/>
              <w:rPr>
                <w:sz w:val="20"/>
                <w:szCs w:val="20"/>
                <w:color w:val="auto"/>
              </w:rPr>
            </w:pPr>
            <w:r>
              <w:rPr>
                <w:rFonts w:ascii="Times New Roman" w:cs="Times New Roman" w:eastAsia="Times New Roman" w:hAnsi="Times New Roman"/>
                <w:sz w:val="17"/>
                <w:szCs w:val="17"/>
                <w:color w:val="auto"/>
              </w:rPr>
              <w:t>43,753</w:t>
            </w:r>
          </w:p>
        </w:tc>
        <w:tc>
          <w:tcPr>
            <w:tcW w:w="1220" w:type="dxa"/>
            <w:vAlign w:val="bottom"/>
            <w:gridSpan w:val="2"/>
            <w:shd w:val="clear" w:color="auto" w:fill="CDE9F6"/>
          </w:tcPr>
          <w:p>
            <w:pPr>
              <w:jc w:val="right"/>
              <w:ind w:right="80"/>
              <w:spacing w:after="0"/>
              <w:rPr>
                <w:sz w:val="20"/>
                <w:szCs w:val="20"/>
                <w:color w:val="auto"/>
              </w:rPr>
            </w:pPr>
            <w:r>
              <w:rPr>
                <w:rFonts w:ascii="Times New Roman" w:cs="Times New Roman" w:eastAsia="Times New Roman" w:hAnsi="Times New Roman"/>
                <w:sz w:val="17"/>
                <w:szCs w:val="17"/>
                <w:color w:val="auto"/>
              </w:rPr>
              <w:t>14,584</w:t>
            </w:r>
          </w:p>
        </w:tc>
        <w:tc>
          <w:tcPr>
            <w:tcW w:w="1240" w:type="dxa"/>
            <w:vAlign w:val="bottom"/>
            <w:shd w:val="clear" w:color="auto" w:fill="CDE9F6"/>
          </w:tcPr>
          <w:p>
            <w:pPr>
              <w:jc w:val="right"/>
              <w:spacing w:after="0"/>
              <w:rPr>
                <w:sz w:val="20"/>
                <w:szCs w:val="20"/>
                <w:color w:val="auto"/>
              </w:rPr>
            </w:pPr>
            <w:r>
              <w:rPr>
                <w:rFonts w:ascii="Times New Roman" w:cs="Times New Roman" w:eastAsia="Times New Roman" w:hAnsi="Times New Roman"/>
                <w:sz w:val="17"/>
                <w:szCs w:val="17"/>
                <w:color w:val="auto"/>
              </w:rPr>
              <w:t>27,855</w:t>
            </w:r>
          </w:p>
        </w:tc>
        <w:tc>
          <w:tcPr>
            <w:tcW w:w="0" w:type="dxa"/>
            <w:vAlign w:val="bottom"/>
          </w:tcPr>
          <w:p>
            <w:pPr>
              <w:spacing w:after="0"/>
              <w:rPr>
                <w:sz w:val="1"/>
                <w:szCs w:val="1"/>
                <w:color w:val="auto"/>
              </w:rPr>
            </w:pPr>
          </w:p>
        </w:tc>
      </w:tr>
      <w:tr>
        <w:trPr>
          <w:trHeight w:val="275"/>
        </w:trPr>
        <w:tc>
          <w:tcPr>
            <w:tcW w:w="2800" w:type="dxa"/>
            <w:vAlign w:val="bottom"/>
            <w:shd w:val="clear" w:color="auto" w:fill="CDE9F6"/>
          </w:tcPr>
          <w:p>
            <w:pPr>
              <w:spacing w:after="0"/>
              <w:rPr>
                <w:sz w:val="23"/>
                <w:szCs w:val="23"/>
                <w:color w:val="auto"/>
              </w:rPr>
            </w:pPr>
          </w:p>
        </w:tc>
        <w:tc>
          <w:tcPr>
            <w:tcW w:w="100" w:type="dxa"/>
            <w:vAlign w:val="bottom"/>
            <w:shd w:val="clear" w:color="auto" w:fill="CDE9F6"/>
          </w:tcPr>
          <w:p>
            <w:pPr>
              <w:spacing w:after="0"/>
              <w:rPr>
                <w:sz w:val="23"/>
                <w:szCs w:val="23"/>
                <w:color w:val="auto"/>
              </w:rPr>
            </w:pPr>
          </w:p>
        </w:tc>
        <w:tc>
          <w:tcPr>
            <w:tcW w:w="1140" w:type="dxa"/>
            <w:vAlign w:val="bottom"/>
            <w:shd w:val="clear" w:color="auto" w:fill="CDE9F6"/>
          </w:tcPr>
          <w:p>
            <w:pPr>
              <w:jc w:val="center"/>
              <w:spacing w:after="0"/>
              <w:rPr>
                <w:sz w:val="20"/>
                <w:szCs w:val="20"/>
                <w:color w:val="auto"/>
              </w:rPr>
            </w:pPr>
            <w:r>
              <w:rPr>
                <w:rFonts w:ascii="Times New Roman" w:cs="Times New Roman" w:eastAsia="Times New Roman" w:hAnsi="Times New Roman"/>
                <w:sz w:val="17"/>
                <w:szCs w:val="17"/>
                <w:color w:val="auto"/>
                <w:w w:val="92"/>
              </w:rPr>
              <w:t>2025</w:t>
            </w:r>
            <w:r>
              <w:rPr>
                <w:rFonts w:ascii="Times New Roman" w:cs="Times New Roman" w:eastAsia="Times New Roman" w:hAnsi="Times New Roman"/>
                <w:sz w:val="20"/>
                <w:szCs w:val="20"/>
                <w:color w:val="auto"/>
                <w:w w:val="92"/>
                <w:vertAlign w:val="superscript"/>
              </w:rPr>
              <w:t>(3)</w:t>
            </w:r>
          </w:p>
        </w:tc>
        <w:tc>
          <w:tcPr>
            <w:tcW w:w="100" w:type="dxa"/>
            <w:vAlign w:val="bottom"/>
            <w:shd w:val="clear" w:color="auto" w:fill="CDE9F6"/>
          </w:tcPr>
          <w:p>
            <w:pPr>
              <w:spacing w:after="0"/>
              <w:rPr>
                <w:sz w:val="23"/>
                <w:szCs w:val="23"/>
                <w:color w:val="auto"/>
              </w:rPr>
            </w:pPr>
          </w:p>
        </w:tc>
        <w:tc>
          <w:tcPr>
            <w:tcW w:w="1260" w:type="dxa"/>
            <w:vAlign w:val="bottom"/>
            <w:gridSpan w:val="2"/>
            <w:shd w:val="clear" w:color="auto" w:fill="CDE9F6"/>
          </w:tcPr>
          <w:p>
            <w:pPr>
              <w:jc w:val="right"/>
              <w:ind w:right="120"/>
              <w:spacing w:after="0"/>
              <w:rPr>
                <w:sz w:val="20"/>
                <w:szCs w:val="20"/>
                <w:color w:val="auto"/>
              </w:rPr>
            </w:pPr>
            <w:r>
              <w:rPr>
                <w:rFonts w:ascii="Times New Roman" w:cs="Times New Roman" w:eastAsia="Times New Roman" w:hAnsi="Times New Roman"/>
                <w:sz w:val="17"/>
                <w:szCs w:val="17"/>
                <w:color w:val="auto"/>
              </w:rPr>
              <w:t>29,124</w:t>
            </w:r>
          </w:p>
        </w:tc>
        <w:tc>
          <w:tcPr>
            <w:tcW w:w="1220" w:type="dxa"/>
            <w:vAlign w:val="bottom"/>
            <w:gridSpan w:val="2"/>
            <w:shd w:val="clear" w:color="auto" w:fill="CDE9F6"/>
          </w:tcPr>
          <w:p>
            <w:pPr>
              <w:jc w:val="right"/>
              <w:ind w:right="80"/>
              <w:spacing w:after="0"/>
              <w:rPr>
                <w:sz w:val="20"/>
                <w:szCs w:val="20"/>
                <w:color w:val="auto"/>
              </w:rPr>
            </w:pPr>
            <w:r>
              <w:rPr>
                <w:rFonts w:ascii="Times New Roman" w:cs="Times New Roman" w:eastAsia="Times New Roman" w:hAnsi="Times New Roman"/>
                <w:sz w:val="17"/>
                <w:szCs w:val="17"/>
                <w:color w:val="auto"/>
              </w:rPr>
              <w:t>7,281</w:t>
            </w:r>
          </w:p>
        </w:tc>
        <w:tc>
          <w:tcPr>
            <w:tcW w:w="1240" w:type="dxa"/>
            <w:vAlign w:val="bottom"/>
            <w:shd w:val="clear" w:color="auto" w:fill="CDE9F6"/>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83"/>
        </w:trPr>
        <w:tc>
          <w:tcPr>
            <w:tcW w:w="2800" w:type="dxa"/>
            <w:vAlign w:val="bottom"/>
          </w:tcPr>
          <w:p>
            <w:pPr>
              <w:spacing w:after="0"/>
              <w:rPr>
                <w:sz w:val="20"/>
                <w:szCs w:val="20"/>
                <w:color w:val="auto"/>
              </w:rPr>
            </w:pPr>
            <w:r>
              <w:rPr>
                <w:rFonts w:ascii="Times New Roman" w:cs="Times New Roman" w:eastAsia="Times New Roman" w:hAnsi="Times New Roman"/>
                <w:sz w:val="17"/>
                <w:szCs w:val="17"/>
                <w:color w:val="auto"/>
              </w:rPr>
              <w:t>Mr. Michael Xie</w:t>
            </w:r>
          </w:p>
        </w:tc>
        <w:tc>
          <w:tcPr>
            <w:tcW w:w="1240" w:type="dxa"/>
            <w:vAlign w:val="bottom"/>
            <w:gridSpan w:val="2"/>
          </w:tcPr>
          <w:p>
            <w:pPr>
              <w:jc w:val="center"/>
              <w:ind w:left="13"/>
              <w:spacing w:after="0"/>
              <w:rPr>
                <w:sz w:val="20"/>
                <w:szCs w:val="20"/>
                <w:color w:val="auto"/>
              </w:rPr>
            </w:pPr>
            <w:r>
              <w:rPr>
                <w:rFonts w:ascii="Times New Roman" w:cs="Times New Roman" w:eastAsia="Times New Roman" w:hAnsi="Times New Roman"/>
                <w:sz w:val="17"/>
                <w:szCs w:val="17"/>
                <w:color w:val="auto"/>
                <w:w w:val="92"/>
              </w:rPr>
              <w:t>2023</w:t>
            </w:r>
            <w:r>
              <w:rPr>
                <w:rFonts w:ascii="Times New Roman" w:cs="Times New Roman" w:eastAsia="Times New Roman" w:hAnsi="Times New Roman"/>
                <w:sz w:val="20"/>
                <w:szCs w:val="20"/>
                <w:color w:val="auto"/>
                <w:w w:val="92"/>
                <w:vertAlign w:val="superscript"/>
              </w:rPr>
              <w:t>(1)</w:t>
            </w:r>
          </w:p>
        </w:tc>
        <w:tc>
          <w:tcPr>
            <w:tcW w:w="100" w:type="dxa"/>
            <w:vAlign w:val="bottom"/>
          </w:tcPr>
          <w:p>
            <w:pPr>
              <w:spacing w:after="0"/>
              <w:rPr>
                <w:sz w:val="24"/>
                <w:szCs w:val="24"/>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17,688</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8,842</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15,119</w:t>
            </w:r>
          </w:p>
        </w:tc>
        <w:tc>
          <w:tcPr>
            <w:tcW w:w="0" w:type="dxa"/>
            <w:vAlign w:val="bottom"/>
          </w:tcPr>
          <w:p>
            <w:pPr>
              <w:spacing w:after="0"/>
              <w:rPr>
                <w:sz w:val="1"/>
                <w:szCs w:val="1"/>
                <w:color w:val="auto"/>
              </w:rPr>
            </w:pPr>
          </w:p>
        </w:tc>
      </w:tr>
      <w:tr>
        <w:trPr>
          <w:trHeight w:val="275"/>
        </w:trPr>
        <w:tc>
          <w:tcPr>
            <w:tcW w:w="2800" w:type="dxa"/>
            <w:vAlign w:val="bottom"/>
          </w:tcPr>
          <w:p>
            <w:pPr>
              <w:spacing w:after="0"/>
              <w:rPr>
                <w:sz w:val="23"/>
                <w:szCs w:val="23"/>
                <w:color w:val="auto"/>
              </w:rPr>
            </w:pPr>
          </w:p>
        </w:tc>
        <w:tc>
          <w:tcPr>
            <w:tcW w:w="1240" w:type="dxa"/>
            <w:vAlign w:val="bottom"/>
            <w:gridSpan w:val="2"/>
          </w:tcPr>
          <w:p>
            <w:pPr>
              <w:jc w:val="center"/>
              <w:ind w:left="13"/>
              <w:spacing w:after="0"/>
              <w:rPr>
                <w:sz w:val="20"/>
                <w:szCs w:val="20"/>
                <w:color w:val="auto"/>
              </w:rPr>
            </w:pPr>
            <w:r>
              <w:rPr>
                <w:rFonts w:ascii="Times New Roman" w:cs="Times New Roman" w:eastAsia="Times New Roman" w:hAnsi="Times New Roman"/>
                <w:sz w:val="17"/>
                <w:szCs w:val="17"/>
                <w:color w:val="auto"/>
                <w:w w:val="92"/>
              </w:rPr>
              <w:t>2024</w:t>
            </w:r>
            <w:r>
              <w:rPr>
                <w:rFonts w:ascii="Times New Roman" w:cs="Times New Roman" w:eastAsia="Times New Roman" w:hAnsi="Times New Roman"/>
                <w:sz w:val="20"/>
                <w:szCs w:val="20"/>
                <w:color w:val="auto"/>
                <w:w w:val="92"/>
                <w:vertAlign w:val="superscript"/>
              </w:rPr>
              <w:t>(2)</w:t>
            </w:r>
          </w:p>
        </w:tc>
        <w:tc>
          <w:tcPr>
            <w:tcW w:w="100" w:type="dxa"/>
            <w:vAlign w:val="bottom"/>
          </w:tcPr>
          <w:p>
            <w:pPr>
              <w:spacing w:after="0"/>
              <w:rPr>
                <w:sz w:val="23"/>
                <w:szCs w:val="23"/>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21,526</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7,175</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13,704</w:t>
            </w:r>
          </w:p>
        </w:tc>
        <w:tc>
          <w:tcPr>
            <w:tcW w:w="0" w:type="dxa"/>
            <w:vAlign w:val="bottom"/>
          </w:tcPr>
          <w:p>
            <w:pPr>
              <w:spacing w:after="0"/>
              <w:rPr>
                <w:sz w:val="1"/>
                <w:szCs w:val="1"/>
                <w:color w:val="auto"/>
              </w:rPr>
            </w:pPr>
          </w:p>
        </w:tc>
      </w:tr>
      <w:tr>
        <w:trPr>
          <w:trHeight w:val="267"/>
        </w:trPr>
        <w:tc>
          <w:tcPr>
            <w:tcW w:w="2800" w:type="dxa"/>
            <w:vAlign w:val="bottom"/>
          </w:tcPr>
          <w:p>
            <w:pPr>
              <w:spacing w:after="0"/>
              <w:rPr>
                <w:sz w:val="23"/>
                <w:szCs w:val="23"/>
                <w:color w:val="auto"/>
              </w:rPr>
            </w:pPr>
          </w:p>
        </w:tc>
        <w:tc>
          <w:tcPr>
            <w:tcW w:w="1240" w:type="dxa"/>
            <w:vAlign w:val="bottom"/>
            <w:gridSpan w:val="2"/>
          </w:tcPr>
          <w:p>
            <w:pPr>
              <w:jc w:val="center"/>
              <w:ind w:left="13"/>
              <w:spacing w:after="0"/>
              <w:rPr>
                <w:sz w:val="20"/>
                <w:szCs w:val="20"/>
                <w:color w:val="auto"/>
              </w:rPr>
            </w:pPr>
            <w:r>
              <w:rPr>
                <w:rFonts w:ascii="Times New Roman" w:cs="Times New Roman" w:eastAsia="Times New Roman" w:hAnsi="Times New Roman"/>
                <w:sz w:val="17"/>
                <w:szCs w:val="17"/>
                <w:color w:val="auto"/>
                <w:w w:val="92"/>
              </w:rPr>
              <w:t>2025</w:t>
            </w:r>
            <w:r>
              <w:rPr>
                <w:rFonts w:ascii="Times New Roman" w:cs="Times New Roman" w:eastAsia="Times New Roman" w:hAnsi="Times New Roman"/>
                <w:sz w:val="20"/>
                <w:szCs w:val="20"/>
                <w:color w:val="auto"/>
                <w:w w:val="92"/>
                <w:vertAlign w:val="superscript"/>
              </w:rPr>
              <w:t>(3)</w:t>
            </w:r>
          </w:p>
        </w:tc>
        <w:tc>
          <w:tcPr>
            <w:tcW w:w="100" w:type="dxa"/>
            <w:vAlign w:val="bottom"/>
          </w:tcPr>
          <w:p>
            <w:pPr>
              <w:spacing w:after="0"/>
              <w:rPr>
                <w:sz w:val="23"/>
                <w:szCs w:val="23"/>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16,642</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4,160</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5"/>
        </w:trPr>
        <w:tc>
          <w:tcPr>
            <w:tcW w:w="2800" w:type="dxa"/>
            <w:vAlign w:val="bottom"/>
            <w:shd w:val="clear" w:color="auto" w:fill="CDE9F6"/>
          </w:tcPr>
          <w:p>
            <w:pPr>
              <w:spacing w:after="0"/>
              <w:rPr>
                <w:sz w:val="20"/>
                <w:szCs w:val="20"/>
                <w:color w:val="auto"/>
              </w:rPr>
            </w:pPr>
            <w:r>
              <w:rPr>
                <w:rFonts w:ascii="Times New Roman" w:cs="Times New Roman" w:eastAsia="Times New Roman" w:hAnsi="Times New Roman"/>
                <w:sz w:val="17"/>
                <w:szCs w:val="17"/>
                <w:color w:val="auto"/>
              </w:rPr>
              <w:t>Ms. Ohlgart</w:t>
            </w:r>
          </w:p>
        </w:tc>
        <w:tc>
          <w:tcPr>
            <w:tcW w:w="1240" w:type="dxa"/>
            <w:vAlign w:val="bottom"/>
            <w:gridSpan w:val="2"/>
            <w:shd w:val="clear" w:color="auto" w:fill="CDE9F6"/>
          </w:tcPr>
          <w:p>
            <w:pPr>
              <w:jc w:val="center"/>
              <w:ind w:left="13"/>
              <w:spacing w:after="0"/>
              <w:rPr>
                <w:sz w:val="20"/>
                <w:szCs w:val="20"/>
                <w:color w:val="auto"/>
              </w:rPr>
            </w:pPr>
            <w:r>
              <w:rPr>
                <w:rFonts w:ascii="Times New Roman" w:cs="Times New Roman" w:eastAsia="Times New Roman" w:hAnsi="Times New Roman"/>
                <w:sz w:val="17"/>
                <w:szCs w:val="17"/>
                <w:color w:val="auto"/>
                <w:w w:val="99"/>
              </w:rPr>
              <w:t>2023</w:t>
            </w:r>
          </w:p>
        </w:tc>
        <w:tc>
          <w:tcPr>
            <w:tcW w:w="100" w:type="dxa"/>
            <w:vAlign w:val="bottom"/>
            <w:shd w:val="clear" w:color="auto" w:fill="CDE9F6"/>
          </w:tcPr>
          <w:p>
            <w:pPr>
              <w:spacing w:after="0"/>
              <w:rPr>
                <w:sz w:val="20"/>
                <w:szCs w:val="20"/>
                <w:color w:val="auto"/>
              </w:rPr>
            </w:pPr>
          </w:p>
        </w:tc>
        <w:tc>
          <w:tcPr>
            <w:tcW w:w="1260" w:type="dxa"/>
            <w:vAlign w:val="bottom"/>
            <w:gridSpan w:val="2"/>
            <w:shd w:val="clear" w:color="auto" w:fill="CDE9F6"/>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2"/>
            <w:shd w:val="clear" w:color="auto" w:fill="CDE9F6"/>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shd w:val="clear" w:color="auto" w:fill="CDE9F6"/>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315"/>
        </w:trPr>
        <w:tc>
          <w:tcPr>
            <w:tcW w:w="2800" w:type="dxa"/>
            <w:vAlign w:val="bottom"/>
            <w:shd w:val="clear" w:color="auto" w:fill="CDE9F6"/>
          </w:tcPr>
          <w:p>
            <w:pPr>
              <w:spacing w:after="0"/>
              <w:rPr>
                <w:sz w:val="24"/>
                <w:szCs w:val="24"/>
                <w:color w:val="auto"/>
              </w:rPr>
            </w:pPr>
          </w:p>
        </w:tc>
        <w:tc>
          <w:tcPr>
            <w:tcW w:w="100" w:type="dxa"/>
            <w:vAlign w:val="bottom"/>
            <w:shd w:val="clear" w:color="auto" w:fill="CDE9F6"/>
          </w:tcPr>
          <w:p>
            <w:pPr>
              <w:spacing w:after="0"/>
              <w:rPr>
                <w:sz w:val="24"/>
                <w:szCs w:val="24"/>
                <w:color w:val="auto"/>
              </w:rPr>
            </w:pPr>
          </w:p>
        </w:tc>
        <w:tc>
          <w:tcPr>
            <w:tcW w:w="1140" w:type="dxa"/>
            <w:vAlign w:val="bottom"/>
            <w:shd w:val="clear" w:color="auto" w:fill="CDE9F6"/>
          </w:tcPr>
          <w:p>
            <w:pPr>
              <w:jc w:val="center"/>
              <w:spacing w:after="0"/>
              <w:rPr>
                <w:sz w:val="20"/>
                <w:szCs w:val="20"/>
                <w:color w:val="auto"/>
              </w:rPr>
            </w:pPr>
            <w:r>
              <w:rPr>
                <w:rFonts w:ascii="Times New Roman" w:cs="Times New Roman" w:eastAsia="Times New Roman" w:hAnsi="Times New Roman"/>
                <w:sz w:val="17"/>
                <w:szCs w:val="17"/>
                <w:color w:val="auto"/>
                <w:w w:val="92"/>
              </w:rPr>
              <w:t>2024</w:t>
            </w:r>
            <w:r>
              <w:rPr>
                <w:rFonts w:ascii="Times New Roman" w:cs="Times New Roman" w:eastAsia="Times New Roman" w:hAnsi="Times New Roman"/>
                <w:sz w:val="20"/>
                <w:szCs w:val="20"/>
                <w:color w:val="auto"/>
                <w:w w:val="92"/>
                <w:vertAlign w:val="superscript"/>
              </w:rPr>
              <w:t>(4)</w:t>
            </w:r>
          </w:p>
        </w:tc>
        <w:tc>
          <w:tcPr>
            <w:tcW w:w="100" w:type="dxa"/>
            <w:vAlign w:val="bottom"/>
            <w:shd w:val="clear" w:color="auto" w:fill="CDE9F6"/>
          </w:tcPr>
          <w:p>
            <w:pPr>
              <w:spacing w:after="0"/>
              <w:rPr>
                <w:sz w:val="24"/>
                <w:szCs w:val="24"/>
                <w:color w:val="auto"/>
              </w:rPr>
            </w:pPr>
          </w:p>
        </w:tc>
        <w:tc>
          <w:tcPr>
            <w:tcW w:w="1140" w:type="dxa"/>
            <w:vAlign w:val="bottom"/>
            <w:shd w:val="clear" w:color="auto" w:fill="CDE9F6"/>
          </w:tcPr>
          <w:p>
            <w:pPr>
              <w:jc w:val="right"/>
              <w:spacing w:after="0"/>
              <w:rPr>
                <w:sz w:val="20"/>
                <w:szCs w:val="20"/>
                <w:color w:val="auto"/>
              </w:rPr>
            </w:pPr>
            <w:r>
              <w:rPr>
                <w:rFonts w:ascii="Times New Roman" w:cs="Times New Roman" w:eastAsia="Times New Roman" w:hAnsi="Times New Roman"/>
                <w:sz w:val="17"/>
                <w:szCs w:val="17"/>
                <w:color w:val="auto"/>
              </w:rPr>
              <w:t>8,764</w:t>
            </w:r>
          </w:p>
        </w:tc>
        <w:tc>
          <w:tcPr>
            <w:tcW w:w="120" w:type="dxa"/>
            <w:vAlign w:val="bottom"/>
            <w:shd w:val="clear" w:color="auto" w:fill="CDE9F6"/>
          </w:tcPr>
          <w:p>
            <w:pPr>
              <w:spacing w:after="0"/>
              <w:rPr>
                <w:sz w:val="24"/>
                <w:szCs w:val="24"/>
                <w:color w:val="auto"/>
              </w:rPr>
            </w:pPr>
          </w:p>
        </w:tc>
        <w:tc>
          <w:tcPr>
            <w:tcW w:w="1220" w:type="dxa"/>
            <w:vAlign w:val="bottom"/>
            <w:gridSpan w:val="2"/>
            <w:shd w:val="clear" w:color="auto" w:fill="CDE9F6"/>
          </w:tcPr>
          <w:p>
            <w:pPr>
              <w:jc w:val="right"/>
              <w:ind w:right="80"/>
              <w:spacing w:after="0"/>
              <w:rPr>
                <w:sz w:val="20"/>
                <w:szCs w:val="20"/>
                <w:color w:val="auto"/>
              </w:rPr>
            </w:pPr>
            <w:r>
              <w:rPr>
                <w:rFonts w:ascii="Times New Roman" w:cs="Times New Roman" w:eastAsia="Times New Roman" w:hAnsi="Times New Roman"/>
                <w:sz w:val="17"/>
                <w:szCs w:val="17"/>
                <w:color w:val="auto"/>
              </w:rPr>
              <w:t>2,191</w:t>
            </w:r>
          </w:p>
        </w:tc>
        <w:tc>
          <w:tcPr>
            <w:tcW w:w="1240" w:type="dxa"/>
            <w:vAlign w:val="bottom"/>
            <w:shd w:val="clear" w:color="auto" w:fill="CDE9F6"/>
          </w:tcPr>
          <w:p>
            <w:pPr>
              <w:jc w:val="right"/>
              <w:spacing w:after="0"/>
              <w:rPr>
                <w:sz w:val="20"/>
                <w:szCs w:val="20"/>
                <w:color w:val="auto"/>
              </w:rPr>
            </w:pPr>
            <w:r>
              <w:rPr>
                <w:rFonts w:ascii="Times New Roman" w:cs="Times New Roman" w:eastAsia="Times New Roman" w:hAnsi="Times New Roman"/>
                <w:sz w:val="17"/>
                <w:szCs w:val="17"/>
                <w:color w:val="auto"/>
              </w:rPr>
              <w:t>4,382</w:t>
            </w:r>
          </w:p>
        </w:tc>
        <w:tc>
          <w:tcPr>
            <w:tcW w:w="0" w:type="dxa"/>
            <w:vAlign w:val="bottom"/>
          </w:tcPr>
          <w:p>
            <w:pPr>
              <w:spacing w:after="0"/>
              <w:rPr>
                <w:sz w:val="1"/>
                <w:szCs w:val="1"/>
                <w:color w:val="auto"/>
              </w:rPr>
            </w:pPr>
          </w:p>
        </w:tc>
      </w:tr>
      <w:tr>
        <w:trPr>
          <w:trHeight w:val="275"/>
        </w:trPr>
        <w:tc>
          <w:tcPr>
            <w:tcW w:w="2800" w:type="dxa"/>
            <w:vAlign w:val="bottom"/>
            <w:shd w:val="clear" w:color="auto" w:fill="CDE9F6"/>
          </w:tcPr>
          <w:p>
            <w:pPr>
              <w:spacing w:after="0"/>
              <w:rPr>
                <w:sz w:val="23"/>
                <w:szCs w:val="23"/>
                <w:color w:val="auto"/>
              </w:rPr>
            </w:pPr>
          </w:p>
        </w:tc>
        <w:tc>
          <w:tcPr>
            <w:tcW w:w="100" w:type="dxa"/>
            <w:vAlign w:val="bottom"/>
            <w:shd w:val="clear" w:color="auto" w:fill="CDE9F6"/>
          </w:tcPr>
          <w:p>
            <w:pPr>
              <w:spacing w:after="0"/>
              <w:rPr>
                <w:sz w:val="23"/>
                <w:szCs w:val="23"/>
                <w:color w:val="auto"/>
              </w:rPr>
            </w:pPr>
          </w:p>
        </w:tc>
        <w:tc>
          <w:tcPr>
            <w:tcW w:w="1140" w:type="dxa"/>
            <w:vAlign w:val="bottom"/>
            <w:shd w:val="clear" w:color="auto" w:fill="CDE9F6"/>
          </w:tcPr>
          <w:p>
            <w:pPr>
              <w:jc w:val="center"/>
              <w:spacing w:after="0"/>
              <w:rPr>
                <w:sz w:val="20"/>
                <w:szCs w:val="20"/>
                <w:color w:val="auto"/>
              </w:rPr>
            </w:pPr>
            <w:r>
              <w:rPr>
                <w:rFonts w:ascii="Times New Roman" w:cs="Times New Roman" w:eastAsia="Times New Roman" w:hAnsi="Times New Roman"/>
                <w:sz w:val="17"/>
                <w:szCs w:val="17"/>
                <w:color w:val="auto"/>
                <w:w w:val="92"/>
              </w:rPr>
              <w:t>2025</w:t>
            </w:r>
            <w:r>
              <w:rPr>
                <w:rFonts w:ascii="Times New Roman" w:cs="Times New Roman" w:eastAsia="Times New Roman" w:hAnsi="Times New Roman"/>
                <w:sz w:val="20"/>
                <w:szCs w:val="20"/>
                <w:color w:val="auto"/>
                <w:w w:val="92"/>
                <w:vertAlign w:val="superscript"/>
              </w:rPr>
              <w:t>(3)</w:t>
            </w:r>
          </w:p>
        </w:tc>
        <w:tc>
          <w:tcPr>
            <w:tcW w:w="100" w:type="dxa"/>
            <w:vAlign w:val="bottom"/>
            <w:shd w:val="clear" w:color="auto" w:fill="CDE9F6"/>
          </w:tcPr>
          <w:p>
            <w:pPr>
              <w:spacing w:after="0"/>
              <w:rPr>
                <w:sz w:val="23"/>
                <w:szCs w:val="23"/>
                <w:color w:val="auto"/>
              </w:rPr>
            </w:pPr>
          </w:p>
        </w:tc>
        <w:tc>
          <w:tcPr>
            <w:tcW w:w="1260" w:type="dxa"/>
            <w:vAlign w:val="bottom"/>
            <w:gridSpan w:val="2"/>
            <w:shd w:val="clear" w:color="auto" w:fill="CDE9F6"/>
          </w:tcPr>
          <w:p>
            <w:pPr>
              <w:jc w:val="right"/>
              <w:ind w:right="120"/>
              <w:spacing w:after="0"/>
              <w:rPr>
                <w:sz w:val="20"/>
                <w:szCs w:val="20"/>
                <w:color w:val="auto"/>
              </w:rPr>
            </w:pPr>
            <w:r>
              <w:rPr>
                <w:rFonts w:ascii="Times New Roman" w:cs="Times New Roman" w:eastAsia="Times New Roman" w:hAnsi="Times New Roman"/>
                <w:sz w:val="17"/>
                <w:szCs w:val="17"/>
                <w:color w:val="auto"/>
              </w:rPr>
              <w:t>13,131</w:t>
            </w:r>
          </w:p>
        </w:tc>
        <w:tc>
          <w:tcPr>
            <w:tcW w:w="1220" w:type="dxa"/>
            <w:vAlign w:val="bottom"/>
            <w:gridSpan w:val="2"/>
            <w:shd w:val="clear" w:color="auto" w:fill="CDE9F6"/>
          </w:tcPr>
          <w:p>
            <w:pPr>
              <w:jc w:val="right"/>
              <w:ind w:right="80"/>
              <w:spacing w:after="0"/>
              <w:rPr>
                <w:sz w:val="20"/>
                <w:szCs w:val="20"/>
                <w:color w:val="auto"/>
              </w:rPr>
            </w:pPr>
            <w:r>
              <w:rPr>
                <w:rFonts w:ascii="Times New Roman" w:cs="Times New Roman" w:eastAsia="Times New Roman" w:hAnsi="Times New Roman"/>
                <w:sz w:val="17"/>
                <w:szCs w:val="17"/>
                <w:color w:val="auto"/>
              </w:rPr>
              <w:t>2,080</w:t>
            </w:r>
          </w:p>
        </w:tc>
        <w:tc>
          <w:tcPr>
            <w:tcW w:w="1240" w:type="dxa"/>
            <w:vAlign w:val="bottom"/>
            <w:shd w:val="clear" w:color="auto" w:fill="CDE9F6"/>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83"/>
        </w:trPr>
        <w:tc>
          <w:tcPr>
            <w:tcW w:w="2800" w:type="dxa"/>
            <w:vAlign w:val="bottom"/>
          </w:tcPr>
          <w:p>
            <w:pPr>
              <w:spacing w:after="0"/>
              <w:rPr>
                <w:sz w:val="20"/>
                <w:szCs w:val="20"/>
                <w:color w:val="auto"/>
              </w:rPr>
            </w:pPr>
            <w:r>
              <w:rPr>
                <w:rFonts w:ascii="Times New Roman" w:cs="Times New Roman" w:eastAsia="Times New Roman" w:hAnsi="Times New Roman"/>
                <w:sz w:val="17"/>
                <w:szCs w:val="17"/>
                <w:color w:val="auto"/>
              </w:rPr>
              <w:t>Mr. Jensen</w:t>
            </w:r>
          </w:p>
        </w:tc>
        <w:tc>
          <w:tcPr>
            <w:tcW w:w="1240" w:type="dxa"/>
            <w:vAlign w:val="bottom"/>
            <w:gridSpan w:val="2"/>
          </w:tcPr>
          <w:p>
            <w:pPr>
              <w:jc w:val="center"/>
              <w:ind w:left="13"/>
              <w:spacing w:after="0"/>
              <w:rPr>
                <w:sz w:val="20"/>
                <w:szCs w:val="20"/>
                <w:color w:val="auto"/>
              </w:rPr>
            </w:pPr>
            <w:r>
              <w:rPr>
                <w:rFonts w:ascii="Times New Roman" w:cs="Times New Roman" w:eastAsia="Times New Roman" w:hAnsi="Times New Roman"/>
                <w:sz w:val="17"/>
                <w:szCs w:val="17"/>
                <w:color w:val="auto"/>
                <w:w w:val="92"/>
              </w:rPr>
              <w:t>2023</w:t>
            </w:r>
            <w:r>
              <w:rPr>
                <w:rFonts w:ascii="Times New Roman" w:cs="Times New Roman" w:eastAsia="Times New Roman" w:hAnsi="Times New Roman"/>
                <w:sz w:val="20"/>
                <w:szCs w:val="20"/>
                <w:color w:val="auto"/>
                <w:w w:val="92"/>
                <w:vertAlign w:val="superscript"/>
              </w:rPr>
              <w:t>(1)</w:t>
            </w:r>
          </w:p>
        </w:tc>
        <w:tc>
          <w:tcPr>
            <w:tcW w:w="100" w:type="dxa"/>
            <w:vAlign w:val="bottom"/>
          </w:tcPr>
          <w:p>
            <w:pPr>
              <w:spacing w:after="0"/>
              <w:rPr>
                <w:sz w:val="24"/>
                <w:szCs w:val="24"/>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8,233</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75"/>
        </w:trPr>
        <w:tc>
          <w:tcPr>
            <w:tcW w:w="2800" w:type="dxa"/>
            <w:vAlign w:val="bottom"/>
          </w:tcPr>
          <w:p>
            <w:pPr>
              <w:spacing w:after="0"/>
              <w:rPr>
                <w:sz w:val="23"/>
                <w:szCs w:val="23"/>
                <w:color w:val="auto"/>
              </w:rPr>
            </w:pPr>
          </w:p>
        </w:tc>
        <w:tc>
          <w:tcPr>
            <w:tcW w:w="1240" w:type="dxa"/>
            <w:vAlign w:val="bottom"/>
            <w:gridSpan w:val="2"/>
          </w:tcPr>
          <w:p>
            <w:pPr>
              <w:jc w:val="center"/>
              <w:ind w:left="13"/>
              <w:spacing w:after="0"/>
              <w:rPr>
                <w:sz w:val="20"/>
                <w:szCs w:val="20"/>
                <w:color w:val="auto"/>
              </w:rPr>
            </w:pPr>
            <w:r>
              <w:rPr>
                <w:rFonts w:ascii="Times New Roman" w:cs="Times New Roman" w:eastAsia="Times New Roman" w:hAnsi="Times New Roman"/>
                <w:sz w:val="17"/>
                <w:szCs w:val="17"/>
                <w:color w:val="auto"/>
                <w:w w:val="92"/>
              </w:rPr>
              <w:t>2024</w:t>
            </w:r>
            <w:r>
              <w:rPr>
                <w:rFonts w:ascii="Times New Roman" w:cs="Times New Roman" w:eastAsia="Times New Roman" w:hAnsi="Times New Roman"/>
                <w:sz w:val="20"/>
                <w:szCs w:val="20"/>
                <w:color w:val="auto"/>
                <w:w w:val="92"/>
                <w:vertAlign w:val="superscript"/>
              </w:rPr>
              <w:t>(2)</w:t>
            </w:r>
          </w:p>
        </w:tc>
        <w:tc>
          <w:tcPr>
            <w:tcW w:w="100" w:type="dxa"/>
            <w:vAlign w:val="bottom"/>
          </w:tcPr>
          <w:p>
            <w:pPr>
              <w:spacing w:after="0"/>
              <w:rPr>
                <w:sz w:val="23"/>
                <w:szCs w:val="23"/>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5,845</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67"/>
        </w:trPr>
        <w:tc>
          <w:tcPr>
            <w:tcW w:w="2800" w:type="dxa"/>
            <w:vAlign w:val="bottom"/>
          </w:tcPr>
          <w:p>
            <w:pPr>
              <w:spacing w:after="0"/>
              <w:rPr>
                <w:sz w:val="23"/>
                <w:szCs w:val="23"/>
                <w:color w:val="auto"/>
              </w:rPr>
            </w:pPr>
          </w:p>
        </w:tc>
        <w:tc>
          <w:tcPr>
            <w:tcW w:w="1240" w:type="dxa"/>
            <w:vAlign w:val="bottom"/>
            <w:gridSpan w:val="2"/>
          </w:tcPr>
          <w:p>
            <w:pPr>
              <w:jc w:val="center"/>
              <w:ind w:left="13"/>
              <w:spacing w:after="0"/>
              <w:rPr>
                <w:sz w:val="20"/>
                <w:szCs w:val="20"/>
                <w:color w:val="auto"/>
              </w:rPr>
            </w:pPr>
            <w:r>
              <w:rPr>
                <w:rFonts w:ascii="Times New Roman" w:cs="Times New Roman" w:eastAsia="Times New Roman" w:hAnsi="Times New Roman"/>
                <w:sz w:val="17"/>
                <w:szCs w:val="17"/>
                <w:color w:val="auto"/>
                <w:w w:val="92"/>
              </w:rPr>
              <w:t>2025</w:t>
            </w:r>
            <w:r>
              <w:rPr>
                <w:rFonts w:ascii="Times New Roman" w:cs="Times New Roman" w:eastAsia="Times New Roman" w:hAnsi="Times New Roman"/>
                <w:sz w:val="20"/>
                <w:szCs w:val="20"/>
                <w:color w:val="auto"/>
                <w:w w:val="92"/>
                <w:vertAlign w:val="superscript"/>
              </w:rPr>
              <w:t>(3)</w:t>
            </w:r>
          </w:p>
        </w:tc>
        <w:tc>
          <w:tcPr>
            <w:tcW w:w="100" w:type="dxa"/>
            <w:vAlign w:val="bottom"/>
          </w:tcPr>
          <w:p>
            <w:pPr>
              <w:spacing w:after="0"/>
              <w:rPr>
                <w:sz w:val="23"/>
                <w:szCs w:val="23"/>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3,640</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75"/>
        </w:trPr>
        <w:tc>
          <w:tcPr>
            <w:tcW w:w="2800" w:type="dxa"/>
            <w:vAlign w:val="bottom"/>
            <w:shd w:val="clear" w:color="auto" w:fill="CDE9F6"/>
          </w:tcPr>
          <w:p>
            <w:pPr>
              <w:spacing w:after="0"/>
              <w:rPr>
                <w:sz w:val="20"/>
                <w:szCs w:val="20"/>
                <w:color w:val="auto"/>
              </w:rPr>
            </w:pPr>
            <w:r>
              <w:rPr>
                <w:rFonts w:ascii="Times New Roman" w:cs="Times New Roman" w:eastAsia="Times New Roman" w:hAnsi="Times New Roman"/>
                <w:sz w:val="17"/>
                <w:szCs w:val="17"/>
                <w:color w:val="auto"/>
              </w:rPr>
              <w:t>Mr. Whittle</w:t>
            </w:r>
          </w:p>
        </w:tc>
        <w:tc>
          <w:tcPr>
            <w:tcW w:w="1240" w:type="dxa"/>
            <w:vAlign w:val="bottom"/>
            <w:gridSpan w:val="2"/>
            <w:shd w:val="clear" w:color="auto" w:fill="CDE9F6"/>
          </w:tcPr>
          <w:p>
            <w:pPr>
              <w:jc w:val="center"/>
              <w:ind w:left="13"/>
              <w:spacing w:after="0"/>
              <w:rPr>
                <w:sz w:val="20"/>
                <w:szCs w:val="20"/>
                <w:color w:val="auto"/>
              </w:rPr>
            </w:pPr>
            <w:r>
              <w:rPr>
                <w:rFonts w:ascii="Times New Roman" w:cs="Times New Roman" w:eastAsia="Times New Roman" w:hAnsi="Times New Roman"/>
                <w:sz w:val="17"/>
                <w:szCs w:val="17"/>
                <w:color w:val="auto"/>
                <w:w w:val="92"/>
              </w:rPr>
              <w:t>2023</w:t>
            </w:r>
            <w:r>
              <w:rPr>
                <w:rFonts w:ascii="Times New Roman" w:cs="Times New Roman" w:eastAsia="Times New Roman" w:hAnsi="Times New Roman"/>
                <w:sz w:val="20"/>
                <w:szCs w:val="20"/>
                <w:color w:val="auto"/>
                <w:w w:val="92"/>
                <w:vertAlign w:val="superscript"/>
              </w:rPr>
              <w:t>(1)</w:t>
            </w:r>
          </w:p>
        </w:tc>
        <w:tc>
          <w:tcPr>
            <w:tcW w:w="100" w:type="dxa"/>
            <w:vAlign w:val="bottom"/>
            <w:shd w:val="clear" w:color="auto" w:fill="CDE9F6"/>
          </w:tcPr>
          <w:p>
            <w:pPr>
              <w:spacing w:after="0"/>
              <w:rPr>
                <w:sz w:val="23"/>
                <w:szCs w:val="23"/>
                <w:color w:val="auto"/>
              </w:rPr>
            </w:pPr>
          </w:p>
        </w:tc>
        <w:tc>
          <w:tcPr>
            <w:tcW w:w="1260" w:type="dxa"/>
            <w:vAlign w:val="bottom"/>
            <w:gridSpan w:val="2"/>
            <w:shd w:val="clear" w:color="auto" w:fill="CDE9F6"/>
          </w:tcPr>
          <w:p>
            <w:pPr>
              <w:jc w:val="right"/>
              <w:ind w:right="120"/>
              <w:spacing w:after="0"/>
              <w:rPr>
                <w:sz w:val="20"/>
                <w:szCs w:val="20"/>
                <w:color w:val="auto"/>
              </w:rPr>
            </w:pPr>
            <w:r>
              <w:rPr>
                <w:rFonts w:ascii="Times New Roman" w:cs="Times New Roman" w:eastAsia="Times New Roman" w:hAnsi="Times New Roman"/>
                <w:sz w:val="17"/>
                <w:szCs w:val="17"/>
                <w:color w:val="auto"/>
              </w:rPr>
              <w:t>10,292</w:t>
            </w:r>
          </w:p>
        </w:tc>
        <w:tc>
          <w:tcPr>
            <w:tcW w:w="1220" w:type="dxa"/>
            <w:vAlign w:val="bottom"/>
            <w:gridSpan w:val="2"/>
            <w:shd w:val="clear" w:color="auto" w:fill="CDE9F6"/>
          </w:tcPr>
          <w:p>
            <w:pPr>
              <w:jc w:val="right"/>
              <w:ind w:right="80"/>
              <w:spacing w:after="0"/>
              <w:rPr>
                <w:sz w:val="20"/>
                <w:szCs w:val="20"/>
                <w:color w:val="auto"/>
              </w:rPr>
            </w:pPr>
            <w:r>
              <w:rPr>
                <w:rFonts w:ascii="Times New Roman" w:cs="Times New Roman" w:eastAsia="Times New Roman" w:hAnsi="Times New Roman"/>
                <w:sz w:val="17"/>
                <w:szCs w:val="17"/>
                <w:color w:val="auto"/>
              </w:rPr>
              <w:t>5,146</w:t>
            </w:r>
          </w:p>
        </w:tc>
        <w:tc>
          <w:tcPr>
            <w:tcW w:w="1240" w:type="dxa"/>
            <w:vAlign w:val="bottom"/>
            <w:shd w:val="clear" w:color="auto" w:fill="CDE9F6"/>
          </w:tcPr>
          <w:p>
            <w:pPr>
              <w:jc w:val="right"/>
              <w:spacing w:after="0"/>
              <w:rPr>
                <w:sz w:val="20"/>
                <w:szCs w:val="20"/>
                <w:color w:val="auto"/>
              </w:rPr>
            </w:pPr>
            <w:r>
              <w:rPr>
                <w:rFonts w:ascii="Times New Roman" w:cs="Times New Roman" w:eastAsia="Times New Roman" w:hAnsi="Times New Roman"/>
                <w:sz w:val="17"/>
                <w:szCs w:val="17"/>
                <w:color w:val="auto"/>
              </w:rPr>
              <w:t>8,799</w:t>
            </w:r>
          </w:p>
        </w:tc>
        <w:tc>
          <w:tcPr>
            <w:tcW w:w="0" w:type="dxa"/>
            <w:vAlign w:val="bottom"/>
          </w:tcPr>
          <w:p>
            <w:pPr>
              <w:spacing w:after="0"/>
              <w:rPr>
                <w:sz w:val="1"/>
                <w:szCs w:val="1"/>
                <w:color w:val="auto"/>
              </w:rPr>
            </w:pPr>
          </w:p>
        </w:tc>
      </w:tr>
      <w:tr>
        <w:trPr>
          <w:trHeight w:val="275"/>
        </w:trPr>
        <w:tc>
          <w:tcPr>
            <w:tcW w:w="2800" w:type="dxa"/>
            <w:vAlign w:val="bottom"/>
            <w:shd w:val="clear" w:color="auto" w:fill="CDE9F6"/>
          </w:tcPr>
          <w:p>
            <w:pPr>
              <w:spacing w:after="0"/>
              <w:rPr>
                <w:sz w:val="23"/>
                <w:szCs w:val="23"/>
                <w:color w:val="auto"/>
              </w:rPr>
            </w:pPr>
          </w:p>
        </w:tc>
        <w:tc>
          <w:tcPr>
            <w:tcW w:w="100" w:type="dxa"/>
            <w:vAlign w:val="bottom"/>
            <w:shd w:val="clear" w:color="auto" w:fill="CDE9F6"/>
          </w:tcPr>
          <w:p>
            <w:pPr>
              <w:spacing w:after="0"/>
              <w:rPr>
                <w:sz w:val="23"/>
                <w:szCs w:val="23"/>
                <w:color w:val="auto"/>
              </w:rPr>
            </w:pPr>
          </w:p>
        </w:tc>
        <w:tc>
          <w:tcPr>
            <w:tcW w:w="1140" w:type="dxa"/>
            <w:vAlign w:val="bottom"/>
            <w:shd w:val="clear" w:color="auto" w:fill="CDE9F6"/>
          </w:tcPr>
          <w:p>
            <w:pPr>
              <w:jc w:val="center"/>
              <w:spacing w:after="0"/>
              <w:rPr>
                <w:sz w:val="20"/>
                <w:szCs w:val="20"/>
                <w:color w:val="auto"/>
              </w:rPr>
            </w:pPr>
            <w:r>
              <w:rPr>
                <w:rFonts w:ascii="Times New Roman" w:cs="Times New Roman" w:eastAsia="Times New Roman" w:hAnsi="Times New Roman"/>
                <w:sz w:val="17"/>
                <w:szCs w:val="17"/>
                <w:color w:val="auto"/>
                <w:w w:val="92"/>
              </w:rPr>
              <w:t>2024</w:t>
            </w:r>
            <w:r>
              <w:rPr>
                <w:rFonts w:ascii="Times New Roman" w:cs="Times New Roman" w:eastAsia="Times New Roman" w:hAnsi="Times New Roman"/>
                <w:sz w:val="20"/>
                <w:szCs w:val="20"/>
                <w:color w:val="auto"/>
                <w:w w:val="92"/>
                <w:vertAlign w:val="superscript"/>
              </w:rPr>
              <w:t>(2)</w:t>
            </w:r>
          </w:p>
        </w:tc>
        <w:tc>
          <w:tcPr>
            <w:tcW w:w="100" w:type="dxa"/>
            <w:vAlign w:val="bottom"/>
            <w:shd w:val="clear" w:color="auto" w:fill="CDE9F6"/>
          </w:tcPr>
          <w:p>
            <w:pPr>
              <w:spacing w:after="0"/>
              <w:rPr>
                <w:sz w:val="23"/>
                <w:szCs w:val="23"/>
                <w:color w:val="auto"/>
              </w:rPr>
            </w:pPr>
          </w:p>
        </w:tc>
        <w:tc>
          <w:tcPr>
            <w:tcW w:w="1260" w:type="dxa"/>
            <w:vAlign w:val="bottom"/>
            <w:gridSpan w:val="2"/>
            <w:shd w:val="clear" w:color="auto" w:fill="CDE9F6"/>
          </w:tcPr>
          <w:p>
            <w:pPr>
              <w:jc w:val="right"/>
              <w:ind w:right="120"/>
              <w:spacing w:after="0"/>
              <w:rPr>
                <w:sz w:val="20"/>
                <w:szCs w:val="20"/>
                <w:color w:val="auto"/>
              </w:rPr>
            </w:pPr>
            <w:r>
              <w:rPr>
                <w:rFonts w:ascii="Times New Roman" w:cs="Times New Roman" w:eastAsia="Times New Roman" w:hAnsi="Times New Roman"/>
                <w:sz w:val="17"/>
                <w:szCs w:val="17"/>
                <w:color w:val="auto"/>
              </w:rPr>
              <w:t>17,539</w:t>
            </w:r>
          </w:p>
        </w:tc>
        <w:tc>
          <w:tcPr>
            <w:tcW w:w="1220" w:type="dxa"/>
            <w:vAlign w:val="bottom"/>
            <w:gridSpan w:val="2"/>
            <w:shd w:val="clear" w:color="auto" w:fill="CDE9F6"/>
          </w:tcPr>
          <w:p>
            <w:pPr>
              <w:jc w:val="right"/>
              <w:ind w:right="80"/>
              <w:spacing w:after="0"/>
              <w:rPr>
                <w:sz w:val="20"/>
                <w:szCs w:val="20"/>
                <w:color w:val="auto"/>
              </w:rPr>
            </w:pPr>
            <w:r>
              <w:rPr>
                <w:rFonts w:ascii="Times New Roman" w:cs="Times New Roman" w:eastAsia="Times New Roman" w:hAnsi="Times New Roman"/>
                <w:sz w:val="17"/>
                <w:szCs w:val="17"/>
                <w:color w:val="auto"/>
              </w:rPr>
              <w:t>5,845</w:t>
            </w:r>
          </w:p>
        </w:tc>
        <w:tc>
          <w:tcPr>
            <w:tcW w:w="1240" w:type="dxa"/>
            <w:vAlign w:val="bottom"/>
            <w:shd w:val="clear" w:color="auto" w:fill="CDE9F6"/>
          </w:tcPr>
          <w:p>
            <w:pPr>
              <w:jc w:val="right"/>
              <w:spacing w:after="0"/>
              <w:rPr>
                <w:sz w:val="20"/>
                <w:szCs w:val="20"/>
                <w:color w:val="auto"/>
              </w:rPr>
            </w:pPr>
            <w:r>
              <w:rPr>
                <w:rFonts w:ascii="Times New Roman" w:cs="Times New Roman" w:eastAsia="Times New Roman" w:hAnsi="Times New Roman"/>
                <w:sz w:val="17"/>
                <w:szCs w:val="17"/>
                <w:color w:val="auto"/>
              </w:rPr>
              <w:t>11,163</w:t>
            </w:r>
          </w:p>
        </w:tc>
        <w:tc>
          <w:tcPr>
            <w:tcW w:w="0" w:type="dxa"/>
            <w:vAlign w:val="bottom"/>
          </w:tcPr>
          <w:p>
            <w:pPr>
              <w:spacing w:after="0"/>
              <w:rPr>
                <w:sz w:val="1"/>
                <w:szCs w:val="1"/>
                <w:color w:val="auto"/>
              </w:rPr>
            </w:pPr>
          </w:p>
        </w:tc>
      </w:tr>
      <w:tr>
        <w:trPr>
          <w:trHeight w:val="275"/>
        </w:trPr>
        <w:tc>
          <w:tcPr>
            <w:tcW w:w="2800" w:type="dxa"/>
            <w:vAlign w:val="bottom"/>
            <w:shd w:val="clear" w:color="auto" w:fill="CDE9F6"/>
          </w:tcPr>
          <w:p>
            <w:pPr>
              <w:spacing w:after="0"/>
              <w:rPr>
                <w:sz w:val="23"/>
                <w:szCs w:val="23"/>
                <w:color w:val="auto"/>
              </w:rPr>
            </w:pPr>
          </w:p>
        </w:tc>
        <w:tc>
          <w:tcPr>
            <w:tcW w:w="100" w:type="dxa"/>
            <w:vAlign w:val="bottom"/>
            <w:shd w:val="clear" w:color="auto" w:fill="CDE9F6"/>
          </w:tcPr>
          <w:p>
            <w:pPr>
              <w:spacing w:after="0"/>
              <w:rPr>
                <w:sz w:val="23"/>
                <w:szCs w:val="23"/>
                <w:color w:val="auto"/>
              </w:rPr>
            </w:pPr>
          </w:p>
        </w:tc>
        <w:tc>
          <w:tcPr>
            <w:tcW w:w="1140" w:type="dxa"/>
            <w:vAlign w:val="bottom"/>
            <w:shd w:val="clear" w:color="auto" w:fill="CDE9F6"/>
          </w:tcPr>
          <w:p>
            <w:pPr>
              <w:jc w:val="center"/>
              <w:spacing w:after="0"/>
              <w:rPr>
                <w:sz w:val="20"/>
                <w:szCs w:val="20"/>
                <w:color w:val="auto"/>
              </w:rPr>
            </w:pPr>
            <w:r>
              <w:rPr>
                <w:rFonts w:ascii="Times New Roman" w:cs="Times New Roman" w:eastAsia="Times New Roman" w:hAnsi="Times New Roman"/>
                <w:sz w:val="17"/>
                <w:szCs w:val="17"/>
                <w:color w:val="auto"/>
                <w:w w:val="92"/>
              </w:rPr>
              <w:t>2025</w:t>
            </w:r>
            <w:r>
              <w:rPr>
                <w:rFonts w:ascii="Times New Roman" w:cs="Times New Roman" w:eastAsia="Times New Roman" w:hAnsi="Times New Roman"/>
                <w:sz w:val="20"/>
                <w:szCs w:val="20"/>
                <w:color w:val="auto"/>
                <w:w w:val="92"/>
                <w:vertAlign w:val="superscript"/>
              </w:rPr>
              <w:t>(3)</w:t>
            </w:r>
          </w:p>
        </w:tc>
        <w:tc>
          <w:tcPr>
            <w:tcW w:w="100" w:type="dxa"/>
            <w:vAlign w:val="bottom"/>
            <w:shd w:val="clear" w:color="auto" w:fill="CDE9F6"/>
          </w:tcPr>
          <w:p>
            <w:pPr>
              <w:spacing w:after="0"/>
              <w:rPr>
                <w:sz w:val="23"/>
                <w:szCs w:val="23"/>
                <w:color w:val="auto"/>
              </w:rPr>
            </w:pPr>
          </w:p>
        </w:tc>
        <w:tc>
          <w:tcPr>
            <w:tcW w:w="1260" w:type="dxa"/>
            <w:vAlign w:val="bottom"/>
            <w:gridSpan w:val="2"/>
            <w:shd w:val="clear" w:color="auto" w:fill="CDE9F6"/>
          </w:tcPr>
          <w:p>
            <w:pPr>
              <w:jc w:val="right"/>
              <w:ind w:right="120"/>
              <w:spacing w:after="0"/>
              <w:rPr>
                <w:sz w:val="20"/>
                <w:szCs w:val="20"/>
                <w:color w:val="auto"/>
              </w:rPr>
            </w:pPr>
            <w:r>
              <w:rPr>
                <w:rFonts w:ascii="Times New Roman" w:cs="Times New Roman" w:eastAsia="Times New Roman" w:hAnsi="Times New Roman"/>
                <w:sz w:val="17"/>
                <w:szCs w:val="17"/>
                <w:color w:val="auto"/>
              </w:rPr>
              <w:t>14,562</w:t>
            </w:r>
          </w:p>
        </w:tc>
        <w:tc>
          <w:tcPr>
            <w:tcW w:w="1220" w:type="dxa"/>
            <w:vAlign w:val="bottom"/>
            <w:gridSpan w:val="2"/>
            <w:shd w:val="clear" w:color="auto" w:fill="CDE9F6"/>
          </w:tcPr>
          <w:p>
            <w:pPr>
              <w:jc w:val="right"/>
              <w:ind w:right="80"/>
              <w:spacing w:after="0"/>
              <w:rPr>
                <w:sz w:val="20"/>
                <w:szCs w:val="20"/>
                <w:color w:val="auto"/>
              </w:rPr>
            </w:pPr>
            <w:r>
              <w:rPr>
                <w:rFonts w:ascii="Times New Roman" w:cs="Times New Roman" w:eastAsia="Times New Roman" w:hAnsi="Times New Roman"/>
                <w:sz w:val="17"/>
                <w:szCs w:val="17"/>
                <w:color w:val="auto"/>
              </w:rPr>
              <w:t>3,640</w:t>
            </w:r>
          </w:p>
        </w:tc>
        <w:tc>
          <w:tcPr>
            <w:tcW w:w="1240" w:type="dxa"/>
            <w:vAlign w:val="bottom"/>
            <w:shd w:val="clear" w:color="auto" w:fill="CDE9F6"/>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bl>
    <w:p>
      <w:pPr>
        <w:spacing w:after="0" w:line="3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________________________</w:t>
      </w:r>
    </w:p>
    <w:p>
      <w:pPr>
        <w:spacing w:after="0" w:line="87" w:lineRule="exact"/>
        <w:rPr>
          <w:sz w:val="20"/>
          <w:szCs w:val="20"/>
          <w:color w:val="auto"/>
        </w:rPr>
      </w:pPr>
    </w:p>
    <w:p>
      <w:pPr>
        <w:ind w:left="920" w:right="759" w:hanging="346"/>
        <w:spacing w:after="0" w:line="255" w:lineRule="auto"/>
        <w:tabs>
          <w:tab w:leader="none" w:pos="905"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Regarding the Tranche 3 performance period ended on December 31, 2025 for the PSUs granted in 2023, our TSR percentile rank was 68</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7"/>
          <w:szCs w:val="17"/>
          <w:color w:val="auto"/>
        </w:rPr>
        <w:t>, resulting in 171% of the target number of shares for the performance period being earned.</w:t>
      </w:r>
    </w:p>
    <w:p>
      <w:pPr>
        <w:sectPr>
          <w:pgSz w:w="11900" w:h="16838" w:orient="portrait"/>
          <w:cols w:equalWidth="0" w:num="1">
            <w:col w:w="9019"/>
          </w:cols>
          <w:pgMar w:left="1440" w:top="265" w:right="1440" w:bottom="1440" w:gutter="0" w:footer="0" w:header="0"/>
        </w:sectPr>
      </w:pP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47" w:name="page48"/>
    <w:bookmarkEnd w:id="47"/>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32" w:lineRule="exact"/>
        <w:rPr>
          <w:sz w:val="20"/>
          <w:szCs w:val="20"/>
          <w:color w:val="auto"/>
        </w:rPr>
      </w:pPr>
    </w:p>
    <w:p>
      <w:pPr>
        <w:ind w:left="920" w:right="759" w:hanging="346"/>
        <w:spacing w:after="0" w:line="243" w:lineRule="auto"/>
        <w:tabs>
          <w:tab w:leader="none" w:pos="905"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Regarding the Tranche 2 performance period ended on December 31, 2025 for the PSUs granted in 2024, our TSR percentile rank was 73</w:t>
      </w:r>
      <w:r>
        <w:rPr>
          <w:rFonts w:ascii="Times New Roman" w:cs="Times New Roman" w:eastAsia="Times New Roman" w:hAnsi="Times New Roman"/>
          <w:sz w:val="20"/>
          <w:szCs w:val="20"/>
          <w:color w:val="auto"/>
          <w:vertAlign w:val="superscript"/>
        </w:rPr>
        <w:t>rd</w:t>
      </w:r>
      <w:r>
        <w:rPr>
          <w:rFonts w:ascii="Times New Roman" w:cs="Times New Roman" w:eastAsia="Times New Roman" w:hAnsi="Times New Roman"/>
          <w:sz w:val="17"/>
          <w:szCs w:val="17"/>
          <w:color w:val="auto"/>
        </w:rPr>
        <w:t>, resulting in 191% of the target number of shares for the performance period being earned.</w:t>
      </w:r>
    </w:p>
    <w:p>
      <w:pPr>
        <w:ind w:left="920" w:right="619" w:hanging="346"/>
        <w:spacing w:after="0" w:line="243" w:lineRule="auto"/>
        <w:tabs>
          <w:tab w:leader="none" w:pos="905"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Regarding the Tranche 1 performance period ended on December 31, 2025 for the PSUs granted in 2025, our TSR percentile rank was 21</w:t>
      </w:r>
      <w:r>
        <w:rPr>
          <w:rFonts w:ascii="Times New Roman" w:cs="Times New Roman" w:eastAsia="Times New Roman" w:hAnsi="Times New Roman"/>
          <w:sz w:val="20"/>
          <w:szCs w:val="20"/>
          <w:color w:val="auto"/>
          <w:vertAlign w:val="superscript"/>
        </w:rPr>
        <w:t>st</w:t>
      </w:r>
      <w:r>
        <w:rPr>
          <w:rFonts w:ascii="Times New Roman" w:cs="Times New Roman" w:eastAsia="Times New Roman" w:hAnsi="Times New Roman"/>
          <w:sz w:val="17"/>
          <w:szCs w:val="17"/>
          <w:color w:val="auto"/>
        </w:rPr>
        <w:t>, resulting in 0% of the target number of shares for the performance period being earned.</w:t>
      </w:r>
    </w:p>
    <w:p>
      <w:pPr>
        <w:jc w:val="both"/>
        <w:ind w:left="920" w:right="699" w:hanging="346"/>
        <w:spacing w:after="0" w:line="244" w:lineRule="auto"/>
        <w:tabs>
          <w:tab w:leader="none" w:pos="905"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Regarding the Tranche 1 performance period ended on March 31, 2025 for the PSUs granted in 2024, our TSR percentile rank was 94</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7"/>
          <w:szCs w:val="17"/>
          <w:color w:val="auto"/>
        </w:rPr>
        <w:t>, resulting in 200% of the target number of shares for the performance period being earned.</w:t>
      </w:r>
    </w:p>
    <w:p>
      <w:pPr>
        <w:spacing w:after="0" w:line="106" w:lineRule="exact"/>
        <w:rPr>
          <w:sz w:val="20"/>
          <w:szCs w:val="20"/>
          <w:color w:val="auto"/>
        </w:rPr>
      </w:pPr>
    </w:p>
    <w:p>
      <w:pPr>
        <w:ind w:left="580" w:right="599" w:firstLine="349"/>
        <w:spacing w:after="0" w:line="262" w:lineRule="auto"/>
        <w:rPr>
          <w:sz w:val="20"/>
          <w:szCs w:val="20"/>
          <w:color w:val="auto"/>
        </w:rPr>
      </w:pPr>
      <w:r>
        <w:rPr>
          <w:rFonts w:ascii="Times New Roman" w:cs="Times New Roman" w:eastAsia="Times New Roman" w:hAnsi="Times New Roman"/>
          <w:sz w:val="17"/>
          <w:szCs w:val="17"/>
          <w:b w:val="1"/>
          <w:bCs w:val="1"/>
          <w:i w:val="1"/>
          <w:iCs w:val="1"/>
          <w:color w:val="auto"/>
        </w:rPr>
        <w:t xml:space="preserve">Benefits Programs. </w:t>
      </w:r>
      <w:r>
        <w:rPr>
          <w:rFonts w:ascii="Times New Roman" w:cs="Times New Roman" w:eastAsia="Times New Roman" w:hAnsi="Times New Roman"/>
          <w:sz w:val="17"/>
          <w:szCs w:val="17"/>
          <w:color w:val="auto"/>
        </w:rPr>
        <w:t>Our NEOs generally receive the same benefits as those provided to our other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employees in their respective countries and do not receive any additional perquisites (except for the personal security benefits discussed below with respect to Messrs. Ken Xie and Michael Xie), including, where applicable: health and welfare benefits, including participation in our 401(k) retirement plan; group health insurance plans; and life, disability and accidental death insurance plans. We design our employee benefits programs to be both cost-effective and competitive in relation to the market as well as compliant with applicable laws and practices. We adjust our benefits programs as needed based upon regular monitoring of applicable laws and practices and the overall market. In addition, ensuring the safety and security of our co-founders Messrs. Ken Xie and Michael Xie is highly important to us. Since 2025, Messrs. Ken Xie and Michael Xie have received, and will continue to receive, certain personal security services.</w:t>
      </w:r>
    </w:p>
    <w:p>
      <w:pPr>
        <w:spacing w:after="0" w:line="17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i w:val="1"/>
          <w:iCs w:val="1"/>
          <w:color w:val="auto"/>
        </w:rPr>
        <w:t>Change of Control Severance Agreements</w:t>
      </w:r>
    </w:p>
    <w:p>
      <w:pPr>
        <w:spacing w:after="0" w:line="162" w:lineRule="exact"/>
        <w:rPr>
          <w:sz w:val="20"/>
          <w:szCs w:val="20"/>
          <w:color w:val="auto"/>
        </w:rPr>
      </w:pPr>
    </w:p>
    <w:p>
      <w:pPr>
        <w:ind w:left="580" w:right="599" w:firstLine="349"/>
        <w:spacing w:after="0" w:line="267" w:lineRule="auto"/>
        <w:rPr>
          <w:sz w:val="20"/>
          <w:szCs w:val="20"/>
          <w:color w:val="auto"/>
        </w:rPr>
      </w:pPr>
      <w:r>
        <w:rPr>
          <w:rFonts w:ascii="Times New Roman" w:cs="Times New Roman" w:eastAsia="Times New Roman" w:hAnsi="Times New Roman"/>
          <w:sz w:val="17"/>
          <w:szCs w:val="17"/>
          <w:color w:val="auto"/>
        </w:rPr>
        <w:t>We have entered into an Amended and Restated Change of Control Severance Agreement, or in the case of Ms. Ohlgart, a Change of Control Severance Agreement (each, a “Change of Control Severance Agreement”) with each of our NEOs. The term of each NEO’s Change of Control Severance Agreement expires on August 7, 2029, except for Mr. Jensen’s whose Change of Control Severance Agreement terminated upon his retirement as our Chief Financial Officer on May 15, 2025.</w:t>
      </w:r>
    </w:p>
    <w:p>
      <w:pPr>
        <w:spacing w:after="0" w:line="105" w:lineRule="exact"/>
        <w:rPr>
          <w:sz w:val="20"/>
          <w:szCs w:val="20"/>
          <w:color w:val="auto"/>
        </w:rPr>
      </w:pPr>
    </w:p>
    <w:p>
      <w:pPr>
        <w:ind w:left="580" w:right="659" w:firstLine="349"/>
        <w:spacing w:after="0" w:line="262" w:lineRule="auto"/>
        <w:rPr>
          <w:sz w:val="20"/>
          <w:szCs w:val="20"/>
          <w:color w:val="auto"/>
        </w:rPr>
      </w:pPr>
      <w:r>
        <w:rPr>
          <w:rFonts w:ascii="Times New Roman" w:cs="Times New Roman" w:eastAsia="Times New Roman" w:hAnsi="Times New Roman"/>
          <w:sz w:val="17"/>
          <w:szCs w:val="17"/>
          <w:color w:val="auto"/>
        </w:rPr>
        <w:t>These Change of Control Severance Agreements provide for payments and benefits upon termination of their employment in specified circumstances. These arrangements (including potential payments and terms) are discussed in more detail in the “</w:t>
      </w:r>
      <w:r>
        <w:rPr>
          <w:rFonts w:ascii="Times New Roman" w:cs="Times New Roman" w:eastAsia="Times New Roman" w:hAnsi="Times New Roman"/>
          <w:sz w:val="17"/>
          <w:szCs w:val="17"/>
          <w:i w:val="1"/>
          <w:iCs w:val="1"/>
          <w:color w:val="auto"/>
        </w:rPr>
        <w:t>— Potential Payments Upon Termination or Change of Control</w:t>
      </w:r>
      <w:r>
        <w:rPr>
          <w:rFonts w:ascii="Times New Roman" w:cs="Times New Roman" w:eastAsia="Times New Roman" w:hAnsi="Times New Roman"/>
          <w:sz w:val="17"/>
          <w:szCs w:val="17"/>
          <w:color w:val="auto"/>
        </w:rPr>
        <w:t>” section below. We believe that these agreements help us from a retention standpoint, and they are particularly necessary in an industry such as ours, where there has been market consolidation. We believe that entering into these agreements helps the NEOs maintain continued focus and dedication to their assigned duties to maximize stockholder value. The terms of these agreements were determined after review by the Human Resources Committee of our retention goals for each NEO, as well as analysis of market data, similar agreements established by our peer group and applicable law.</w:t>
      </w:r>
    </w:p>
    <w:p>
      <w:pPr>
        <w:spacing w:after="0" w:line="17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i w:val="1"/>
          <w:iCs w:val="1"/>
          <w:color w:val="auto"/>
        </w:rPr>
        <w:t>Timing of Grants and Certain Equity Awards</w:t>
      </w:r>
    </w:p>
    <w:p>
      <w:pPr>
        <w:spacing w:after="0" w:line="22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7"/>
          <w:szCs w:val="17"/>
          <w:i w:val="1"/>
          <w:iCs w:val="1"/>
          <w:color w:val="auto"/>
        </w:rPr>
        <w:t>Timing of Equity Awards</w:t>
      </w:r>
    </w:p>
    <w:p>
      <w:pPr>
        <w:spacing w:after="0" w:line="147" w:lineRule="exact"/>
        <w:rPr>
          <w:sz w:val="20"/>
          <w:szCs w:val="20"/>
          <w:color w:val="auto"/>
        </w:rPr>
      </w:pPr>
    </w:p>
    <w:p>
      <w:pPr>
        <w:ind w:left="580" w:right="699" w:firstLine="349"/>
        <w:spacing w:after="0" w:line="267" w:lineRule="auto"/>
        <w:rPr>
          <w:sz w:val="20"/>
          <w:szCs w:val="20"/>
          <w:color w:val="auto"/>
        </w:rPr>
      </w:pPr>
      <w:r>
        <w:rPr>
          <w:rFonts w:ascii="Times New Roman" w:cs="Times New Roman" w:eastAsia="Times New Roman" w:hAnsi="Times New Roman"/>
          <w:sz w:val="17"/>
          <w:szCs w:val="17"/>
          <w:color w:val="auto"/>
        </w:rPr>
        <w:t>We grant equity awards on an annual basis and may grant equity awards on a discretionary basis in connection with certain events such as the commencement of employment, promotion or the closing of an acquisition. We do not grant awards in anticipation of the release of material nonpublic information, and we do not time the release of material nonpublic information for the purpose of affecting the value of executive compensation.</w:t>
      </w:r>
    </w:p>
    <w:p>
      <w:pPr>
        <w:spacing w:after="0" w:line="105" w:lineRule="exact"/>
        <w:rPr>
          <w:sz w:val="20"/>
          <w:szCs w:val="20"/>
          <w:color w:val="auto"/>
        </w:rPr>
      </w:pPr>
    </w:p>
    <w:p>
      <w:pPr>
        <w:ind w:left="580" w:right="679" w:firstLine="349"/>
        <w:spacing w:after="0" w:line="262" w:lineRule="auto"/>
        <w:rPr>
          <w:sz w:val="20"/>
          <w:szCs w:val="20"/>
          <w:color w:val="auto"/>
        </w:rPr>
      </w:pPr>
      <w:r>
        <w:rPr>
          <w:rFonts w:ascii="Times New Roman" w:cs="Times New Roman" w:eastAsia="Times New Roman" w:hAnsi="Times New Roman"/>
          <w:sz w:val="17"/>
          <w:szCs w:val="17"/>
          <w:color w:val="auto"/>
        </w:rPr>
        <w:t>We maintain an Equity Award Grant Policy, pursuant to which the Board of Directors and our Human Resources Committee have established consistent dates for the grant of new awards, which generally takes place in January and February of a particular year. The Human Resources Committee approved grants of RSUs and PSUs to our NEOs in January 2025 and grants of RSUs and PSUs to Ms. Ohlgart in July 2025. The Board of Directors and Human Resources Committee reserve the right, however, to grant stock options, RSUs, PSUs or other equity awards at other times during the year. With respect to newly hired employees, our practice is typically to grant equity awards at the first quarterly meeting of the Human Resources Committee following such employee’s hire date.</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8" w:name="page49"/>
    <w:bookmarkEnd w:id="48"/>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580" w:right="859" w:firstLine="349"/>
        <w:spacing w:after="0" w:line="270" w:lineRule="auto"/>
        <w:rPr>
          <w:sz w:val="20"/>
          <w:szCs w:val="20"/>
          <w:color w:val="auto"/>
        </w:rPr>
      </w:pPr>
      <w:r>
        <w:rPr>
          <w:rFonts w:ascii="Times New Roman" w:cs="Times New Roman" w:eastAsia="Times New Roman" w:hAnsi="Times New Roman"/>
          <w:sz w:val="17"/>
          <w:szCs w:val="17"/>
          <w:color w:val="auto"/>
        </w:rPr>
        <w:t>Pursuant to our Equity Award Grant Policy, equity awards are granted effective as of the date that is the tenth trading day on Nasdaq following the date of our next quarterly earnings announcement following the meetings of the Human Resources Committee or the Board of Directors when such equity awards were approved.</w:t>
      </w:r>
    </w:p>
    <w:p>
      <w:pPr>
        <w:spacing w:after="0" w:line="16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i w:val="1"/>
          <w:iCs w:val="1"/>
          <w:color w:val="auto"/>
        </w:rPr>
        <w:t>Performance-Based Compensation Recovery</w:t>
      </w:r>
    </w:p>
    <w:p>
      <w:pPr>
        <w:spacing w:after="0" w:line="162" w:lineRule="exact"/>
        <w:rPr>
          <w:sz w:val="20"/>
          <w:szCs w:val="20"/>
          <w:color w:val="auto"/>
        </w:rPr>
      </w:pPr>
    </w:p>
    <w:p>
      <w:pPr>
        <w:ind w:left="580" w:right="759" w:firstLine="349"/>
        <w:spacing w:after="0" w:line="276" w:lineRule="auto"/>
        <w:rPr>
          <w:sz w:val="20"/>
          <w:szCs w:val="20"/>
          <w:color w:val="auto"/>
        </w:rPr>
      </w:pPr>
      <w:r>
        <w:rPr>
          <w:rFonts w:ascii="Times New Roman" w:cs="Times New Roman" w:eastAsia="Times New Roman" w:hAnsi="Times New Roman"/>
          <w:sz w:val="17"/>
          <w:szCs w:val="17"/>
          <w:color w:val="auto"/>
        </w:rPr>
        <w:t>Performance-based compensation provided under the Bonus Program and PSUs granted to our NEOs are subject to recovery pursuant to the Clawback Policy discussed above in “</w:t>
      </w:r>
      <w:r>
        <w:rPr>
          <w:rFonts w:ascii="Times New Roman" w:cs="Times New Roman" w:eastAsia="Times New Roman" w:hAnsi="Times New Roman"/>
          <w:sz w:val="17"/>
          <w:szCs w:val="17"/>
          <w:i w:val="1"/>
          <w:iCs w:val="1"/>
          <w:color w:val="auto"/>
        </w:rPr>
        <w:t>— Corporate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Governance — Clawback Policy</w:t>
      </w:r>
      <w:r>
        <w:rPr>
          <w:rFonts w:ascii="Times New Roman" w:cs="Times New Roman" w:eastAsia="Times New Roman" w:hAnsi="Times New Roman"/>
          <w:sz w:val="17"/>
          <w:szCs w:val="17"/>
          <w:color w:val="auto"/>
        </w:rPr>
        <w:t>.”</w:t>
      </w:r>
    </w:p>
    <w:p>
      <w:pPr>
        <w:spacing w:after="0" w:line="16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i w:val="1"/>
          <w:iCs w:val="1"/>
          <w:color w:val="auto"/>
        </w:rPr>
        <w:t>Policy on Pledging and Hedging of Company Stock</w:t>
      </w:r>
    </w:p>
    <w:p>
      <w:pPr>
        <w:spacing w:after="0" w:line="162" w:lineRule="exact"/>
        <w:rPr>
          <w:sz w:val="20"/>
          <w:szCs w:val="20"/>
          <w:color w:val="auto"/>
        </w:rPr>
      </w:pPr>
    </w:p>
    <w:p>
      <w:pPr>
        <w:ind w:left="580" w:right="679" w:firstLine="349"/>
        <w:spacing w:after="0" w:line="262" w:lineRule="auto"/>
        <w:rPr>
          <w:sz w:val="20"/>
          <w:szCs w:val="20"/>
          <w:color w:val="auto"/>
        </w:rPr>
      </w:pPr>
      <w:r>
        <w:rPr>
          <w:rFonts w:ascii="Times New Roman" w:cs="Times New Roman" w:eastAsia="Times New Roman" w:hAnsi="Times New Roman"/>
          <w:sz w:val="17"/>
          <w:szCs w:val="17"/>
          <w:color w:val="auto"/>
        </w:rPr>
        <w:t>Certain transactions in our securities (such as purchases and sales of publicly traded put and call options, and short sales) create a heightened compliance risk or could create the appearance of misalignment between management and stockholders. In addition, securities held in a margin account or pledged as collateral may be sold without consent if the owner fails to meet a margin call or defaults on the loan, thus creating the risk that a sale may occur at a time when an officer or director is aware of material, nonpublic information or otherwise is not permitted to trade in our securities. Our insider trading policy expressly prohibits short sales and derivative transactions of our stock by our officers, directors, employees and certain designated consultants and contractors, including short sales of our securities and the purchase or sale of puts, calls, or other derivative securities of the company or any derivative securities that provide the economic equivalent of ownership.</w:t>
      </w:r>
    </w:p>
    <w:p>
      <w:pPr>
        <w:spacing w:after="0" w:line="17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i w:val="1"/>
          <w:iCs w:val="1"/>
          <w:color w:val="auto"/>
        </w:rPr>
        <w:t>Effect of Accounting and Tax Treatment on Compensation Decisions</w:t>
      </w:r>
    </w:p>
    <w:p>
      <w:pPr>
        <w:spacing w:after="0" w:line="149" w:lineRule="exact"/>
        <w:rPr>
          <w:sz w:val="20"/>
          <w:szCs w:val="20"/>
          <w:color w:val="auto"/>
        </w:rPr>
      </w:pPr>
    </w:p>
    <w:p>
      <w:pPr>
        <w:ind w:left="580" w:right="639" w:firstLine="349"/>
        <w:spacing w:after="0" w:line="262" w:lineRule="auto"/>
        <w:rPr>
          <w:sz w:val="20"/>
          <w:szCs w:val="20"/>
          <w:color w:val="auto"/>
        </w:rPr>
      </w:pPr>
      <w:r>
        <w:rPr>
          <w:rFonts w:ascii="Times New Roman" w:cs="Times New Roman" w:eastAsia="Times New Roman" w:hAnsi="Times New Roman"/>
          <w:sz w:val="17"/>
          <w:szCs w:val="17"/>
          <w:color w:val="auto"/>
        </w:rPr>
        <w:t>In the review and establishment of our compensation program, we consider the anticipated accounting and tax implications for us and our executives. In this regard, we have historically used stock options, RSUs and PSUs, and we reserve the right to use other forms of equity, as additional forms of equity incentives in response to changes in the accounting treatment of equity awards and taking into consideration potential impact on dilution and competitive practices. While the Human Resources Committee considers the applicable accounting and tax treatment, these factors alone are not determinative, and the Human Resources Committee also considers the cash and non-cash impact of the programs and whether a program is consistent with our overall compensation philosophy and objectives.</w:t>
      </w:r>
    </w:p>
    <w:p>
      <w:pPr>
        <w:spacing w:after="0" w:line="113" w:lineRule="exact"/>
        <w:rPr>
          <w:sz w:val="20"/>
          <w:szCs w:val="20"/>
          <w:color w:val="auto"/>
        </w:rPr>
      </w:pPr>
    </w:p>
    <w:p>
      <w:pPr>
        <w:ind w:left="580" w:right="699" w:firstLine="349"/>
        <w:spacing w:after="0" w:line="261" w:lineRule="auto"/>
        <w:rPr>
          <w:sz w:val="20"/>
          <w:szCs w:val="20"/>
          <w:color w:val="auto"/>
        </w:rPr>
      </w:pPr>
      <w:r>
        <w:rPr>
          <w:rFonts w:ascii="Times New Roman" w:cs="Times New Roman" w:eastAsia="Times New Roman" w:hAnsi="Times New Roman"/>
          <w:sz w:val="17"/>
          <w:szCs w:val="17"/>
          <w:color w:val="auto"/>
        </w:rPr>
        <w:t>Section 162(m) of the Internal Revenue Code of 1986, as amended (the “Code”), imposes limitations on the deductibility for corporate federal income tax purposes of compensation in excess of $1 million paid to any person who has served as chief executive officer, chief financial officer and each of the three next most highly compensated executive officers of a public company. As a result, we expect that compensation awarded to our NEOs will not be deductible to the extent it is in excess of the $1 million threshold. We expect that the Human Resources Committee will continue to seek to balance the cost and benefit of tax deductibility with our executive compensation goals designed to promote stockholder interests, retaining discretion to approve compensation that is non-deductible when it believes that such payments are appropriate to attract and retain executive talent. As a result, we expect that a significant portion of future cash and equity payments to our executive officers will not be tax deductible under Section 162(m).</w:t>
      </w:r>
    </w:p>
    <w:p>
      <w:pPr>
        <w:spacing w:after="0" w:line="17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i w:val="1"/>
          <w:iCs w:val="1"/>
          <w:color w:val="auto"/>
        </w:rPr>
        <w:t>Human Resources Committee Report</w:t>
      </w:r>
    </w:p>
    <w:p>
      <w:pPr>
        <w:spacing w:after="0" w:line="162" w:lineRule="exact"/>
        <w:rPr>
          <w:sz w:val="20"/>
          <w:szCs w:val="20"/>
          <w:color w:val="auto"/>
        </w:rPr>
      </w:pPr>
    </w:p>
    <w:p>
      <w:pPr>
        <w:ind w:left="580" w:right="679" w:firstLine="349"/>
        <w:spacing w:after="0" w:line="267" w:lineRule="auto"/>
        <w:rPr>
          <w:sz w:val="20"/>
          <w:szCs w:val="20"/>
          <w:color w:val="auto"/>
        </w:rPr>
      </w:pPr>
      <w:r>
        <w:rPr>
          <w:rFonts w:ascii="Times New Roman" w:cs="Times New Roman" w:eastAsia="Times New Roman" w:hAnsi="Times New Roman"/>
          <w:sz w:val="17"/>
          <w:szCs w:val="17"/>
          <w:color w:val="auto"/>
        </w:rPr>
        <w:t>The Human Resources Committee oversees our compensation policies, plans and benefit programs. The Human Resources Committee has reviewed and discussed the Compensation Discussion and Analysis required by Item 402(b) of Regulation S-K with management. Based on such review and discussions, the Human Resources Committee has recommended to the Board of Directors that the Compensation Discussion and Analysis be included in this Proxy Statement.</w:t>
      </w:r>
    </w:p>
    <w:p>
      <w:pPr>
        <w:spacing w:after="0" w:line="16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7"/>
          <w:szCs w:val="17"/>
          <w:i w:val="1"/>
          <w:iCs w:val="1"/>
          <w:color w:val="auto"/>
        </w:rPr>
        <w:t>Respectfully submitted by the members of the Human Resources Committee of the Board of Directors</w:t>
      </w:r>
    </w:p>
    <w:p>
      <w:pPr>
        <w:spacing w:after="0" w:line="147"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7"/>
          <w:szCs w:val="17"/>
          <w:color w:val="auto"/>
        </w:rPr>
        <w:t>Judith Sim (Chairperson)</w:t>
      </w:r>
    </w:p>
    <w:p>
      <w:pPr>
        <w:spacing w:after="0" w:line="32"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7"/>
          <w:szCs w:val="17"/>
          <w:color w:val="auto"/>
        </w:rPr>
        <w:t>Kenneth A. Goldman</w:t>
      </w:r>
    </w:p>
    <w:p>
      <w:pPr>
        <w:spacing w:after="0" w:line="14"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7"/>
          <w:szCs w:val="17"/>
          <w:color w:val="auto"/>
        </w:rPr>
        <w:t>Janet Napolitano</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9" w:name="page50"/>
    <w:bookmarkEnd w:id="49"/>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2025 Summary Compensation Table</w:t>
      </w:r>
    </w:p>
    <w:p>
      <w:pPr>
        <w:spacing w:after="0" w:line="147" w:lineRule="exact"/>
        <w:rPr>
          <w:sz w:val="20"/>
          <w:szCs w:val="20"/>
          <w:color w:val="auto"/>
        </w:rPr>
      </w:pPr>
    </w:p>
    <w:p>
      <w:pPr>
        <w:ind w:left="580" w:right="859" w:firstLine="349"/>
        <w:spacing w:after="0" w:line="296" w:lineRule="auto"/>
        <w:rPr>
          <w:sz w:val="20"/>
          <w:szCs w:val="20"/>
          <w:color w:val="auto"/>
        </w:rPr>
      </w:pPr>
      <w:r>
        <w:rPr>
          <w:rFonts w:ascii="Times New Roman" w:cs="Times New Roman" w:eastAsia="Times New Roman" w:hAnsi="Times New Roman"/>
          <w:sz w:val="17"/>
          <w:szCs w:val="17"/>
          <w:color w:val="auto"/>
        </w:rPr>
        <w:t>The following table presents information concerning the compensation of the NEOs for the years ended December 31, 2025, 2024 and 2023.</w:t>
      </w:r>
    </w:p>
    <w:p>
      <w:pPr>
        <w:spacing w:after="0" w:line="97"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8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9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All Other</w:t>
            </w: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960" w:type="dxa"/>
            <w:vAlign w:val="bottom"/>
            <w:gridSpan w:val="2"/>
          </w:tcPr>
          <w:p>
            <w:pPr>
              <w:jc w:val="right"/>
              <w:ind w:right="100"/>
              <w:spacing w:after="0" w:line="144" w:lineRule="exact"/>
              <w:rPr>
                <w:sz w:val="20"/>
                <w:szCs w:val="20"/>
                <w:color w:val="auto"/>
              </w:rPr>
            </w:pPr>
            <w:r>
              <w:rPr>
                <w:rFonts w:ascii="Times New Roman" w:cs="Times New Roman" w:eastAsia="Times New Roman" w:hAnsi="Times New Roman"/>
                <w:sz w:val="14"/>
                <w:szCs w:val="14"/>
                <w:b w:val="1"/>
                <w:bCs w:val="1"/>
                <w:color w:val="auto"/>
                <w:w w:val="97"/>
              </w:rPr>
              <w:t>Incentive Plan</w:t>
            </w:r>
          </w:p>
        </w:tc>
        <w:tc>
          <w:tcPr>
            <w:tcW w:w="940" w:type="dxa"/>
            <w:vAlign w:val="bottom"/>
            <w:gridSpan w:val="2"/>
            <w:vMerge w:val="continue"/>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7"/>
              </w:rPr>
              <w:t>Salary</w:t>
            </w: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Awards</w:t>
            </w: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Awards</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w w:val="97"/>
              </w:rPr>
              <w:t>Compensation</w:t>
            </w:r>
          </w:p>
        </w:tc>
        <w:tc>
          <w:tcPr>
            <w:tcW w:w="9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Compensation</w:t>
            </w:r>
          </w:p>
        </w:tc>
        <w:tc>
          <w:tcPr>
            <w:tcW w:w="82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24"/>
        </w:trPr>
        <w:tc>
          <w:tcPr>
            <w:tcW w:w="21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 and Principal Positions</w:t>
            </w:r>
          </w:p>
        </w:tc>
        <w:tc>
          <w:tcPr>
            <w:tcW w:w="80" w:type="dxa"/>
            <w:vAlign w:val="bottom"/>
          </w:tcPr>
          <w:p>
            <w:pPr>
              <w:spacing w:after="0"/>
              <w:rPr>
                <w:sz w:val="19"/>
                <w:szCs w:val="19"/>
                <w:color w:val="auto"/>
              </w:rPr>
            </w:pPr>
          </w:p>
        </w:tc>
        <w:tc>
          <w:tcPr>
            <w:tcW w:w="6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Year</w:t>
            </w:r>
          </w:p>
        </w:tc>
        <w:tc>
          <w:tcPr>
            <w:tcW w:w="680" w:type="dxa"/>
            <w:vAlign w:val="bottom"/>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9"/>
                <w:szCs w:val="19"/>
                <w:color w:val="auto"/>
              </w:rPr>
            </w:pPr>
          </w:p>
        </w:tc>
        <w:tc>
          <w:tcPr>
            <w:tcW w:w="680" w:type="dxa"/>
            <w:vAlign w:val="bottom"/>
          </w:tcPr>
          <w:p>
            <w:pPr>
              <w:jc w:val="center"/>
              <w:spacing w:after="0" w:line="225" w:lineRule="exact"/>
              <w:rPr>
                <w:sz w:val="20"/>
                <w:szCs w:val="20"/>
                <w:color w:val="auto"/>
              </w:rPr>
            </w:pPr>
            <w:r>
              <w:rPr>
                <w:rFonts w:ascii="Times New Roman" w:cs="Times New Roman" w:eastAsia="Times New Roman" w:hAnsi="Times New Roman"/>
                <w:sz w:val="14"/>
                <w:szCs w:val="14"/>
                <w:b w:val="1"/>
                <w:bCs w:val="1"/>
                <w:color w:val="auto"/>
                <w:w w:val="87"/>
              </w:rPr>
              <w:t>($)</w:t>
            </w:r>
            <w:r>
              <w:rPr>
                <w:rFonts w:ascii="Times New Roman" w:cs="Times New Roman" w:eastAsia="Times New Roman" w:hAnsi="Times New Roman"/>
                <w:sz w:val="20"/>
                <w:szCs w:val="20"/>
                <w:b w:val="1"/>
                <w:bCs w:val="1"/>
                <w:color w:val="auto"/>
                <w:w w:val="87"/>
                <w:vertAlign w:val="superscript"/>
              </w:rPr>
              <w:t>(1)</w:t>
            </w:r>
          </w:p>
        </w:tc>
        <w:tc>
          <w:tcPr>
            <w:tcW w:w="80" w:type="dxa"/>
            <w:vAlign w:val="bottom"/>
          </w:tcPr>
          <w:p>
            <w:pPr>
              <w:spacing w:after="0"/>
              <w:rPr>
                <w:sz w:val="19"/>
                <w:szCs w:val="19"/>
                <w:color w:val="auto"/>
              </w:rPr>
            </w:pPr>
          </w:p>
        </w:tc>
        <w:tc>
          <w:tcPr>
            <w:tcW w:w="700" w:type="dxa"/>
            <w:vAlign w:val="bottom"/>
          </w:tcPr>
          <w:p>
            <w:pPr>
              <w:jc w:val="center"/>
              <w:spacing w:after="0" w:line="225" w:lineRule="exact"/>
              <w:rPr>
                <w:sz w:val="20"/>
                <w:szCs w:val="20"/>
                <w:color w:val="auto"/>
              </w:rPr>
            </w:pPr>
            <w:r>
              <w:rPr>
                <w:rFonts w:ascii="Times New Roman" w:cs="Times New Roman" w:eastAsia="Times New Roman" w:hAnsi="Times New Roman"/>
                <w:sz w:val="14"/>
                <w:szCs w:val="14"/>
                <w:b w:val="1"/>
                <w:bCs w:val="1"/>
                <w:color w:val="auto"/>
                <w:w w:val="87"/>
              </w:rPr>
              <w:t>($)</w:t>
            </w:r>
            <w:r>
              <w:rPr>
                <w:rFonts w:ascii="Times New Roman" w:cs="Times New Roman" w:eastAsia="Times New Roman" w:hAnsi="Times New Roman"/>
                <w:sz w:val="20"/>
                <w:szCs w:val="20"/>
                <w:b w:val="1"/>
                <w:bCs w:val="1"/>
                <w:color w:val="auto"/>
                <w:w w:val="87"/>
                <w:vertAlign w:val="superscript"/>
              </w:rPr>
              <w:t>(1)</w:t>
            </w:r>
          </w:p>
        </w:tc>
        <w:tc>
          <w:tcPr>
            <w:tcW w:w="100" w:type="dxa"/>
            <w:vAlign w:val="bottom"/>
          </w:tcPr>
          <w:p>
            <w:pPr>
              <w:spacing w:after="0"/>
              <w:rPr>
                <w:sz w:val="19"/>
                <w:szCs w:val="19"/>
                <w:color w:val="auto"/>
              </w:rPr>
            </w:pPr>
          </w:p>
        </w:tc>
        <w:tc>
          <w:tcPr>
            <w:tcW w:w="860" w:type="dxa"/>
            <w:vAlign w:val="bottom"/>
          </w:tcPr>
          <w:p>
            <w:pPr>
              <w:jc w:val="right"/>
              <w:ind w:right="210"/>
              <w:spacing w:after="0" w:line="225" w:lineRule="exact"/>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20"/>
                <w:szCs w:val="20"/>
                <w:b w:val="1"/>
                <w:bCs w:val="1"/>
                <w:color w:val="auto"/>
                <w:vertAlign w:val="superscript"/>
              </w:rPr>
              <w:t>(2)</w:t>
            </w:r>
          </w:p>
        </w:tc>
        <w:tc>
          <w:tcPr>
            <w:tcW w:w="100" w:type="dxa"/>
            <w:vAlign w:val="bottom"/>
          </w:tcPr>
          <w:p>
            <w:pPr>
              <w:spacing w:after="0"/>
              <w:rPr>
                <w:sz w:val="19"/>
                <w:szCs w:val="19"/>
                <w:color w:val="auto"/>
              </w:rPr>
            </w:pPr>
          </w:p>
        </w:tc>
        <w:tc>
          <w:tcPr>
            <w:tcW w:w="860" w:type="dxa"/>
            <w:vAlign w:val="bottom"/>
          </w:tcPr>
          <w:p>
            <w:pPr>
              <w:jc w:val="center"/>
              <w:spacing w:after="0" w:line="225" w:lineRule="exact"/>
              <w:rPr>
                <w:sz w:val="20"/>
                <w:szCs w:val="20"/>
                <w:color w:val="auto"/>
              </w:rPr>
            </w:pPr>
            <w:r>
              <w:rPr>
                <w:rFonts w:ascii="Times New Roman" w:cs="Times New Roman" w:eastAsia="Times New Roman" w:hAnsi="Times New Roman"/>
                <w:sz w:val="14"/>
                <w:szCs w:val="14"/>
                <w:b w:val="1"/>
                <w:bCs w:val="1"/>
                <w:color w:val="auto"/>
                <w:w w:val="87"/>
              </w:rPr>
              <w:t>($)</w:t>
            </w:r>
            <w:r>
              <w:rPr>
                <w:rFonts w:ascii="Times New Roman" w:cs="Times New Roman" w:eastAsia="Times New Roman" w:hAnsi="Times New Roman"/>
                <w:sz w:val="20"/>
                <w:szCs w:val="20"/>
                <w:b w:val="1"/>
                <w:bCs w:val="1"/>
                <w:color w:val="auto"/>
                <w:w w:val="87"/>
                <w:vertAlign w:val="superscript"/>
              </w:rPr>
              <w:t>(3)</w:t>
            </w:r>
          </w:p>
        </w:tc>
        <w:tc>
          <w:tcPr>
            <w:tcW w:w="80" w:type="dxa"/>
            <w:vAlign w:val="bottom"/>
          </w:tcPr>
          <w:p>
            <w:pPr>
              <w:spacing w:after="0"/>
              <w:rPr>
                <w:sz w:val="19"/>
                <w:szCs w:val="19"/>
                <w:color w:val="auto"/>
              </w:rPr>
            </w:pPr>
          </w:p>
        </w:tc>
        <w:tc>
          <w:tcPr>
            <w:tcW w:w="800" w:type="dxa"/>
            <w:vAlign w:val="bottom"/>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80" w:type="dxa"/>
            <w:vAlign w:val="bottom"/>
            <w:shd w:val="clear" w:color="auto" w:fill="CDE9F6"/>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shd w:val="clear" w:color="auto" w:fill="CDE9F6"/>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DE9F6"/>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shd w:val="clear" w:color="auto" w:fill="CDE9F6"/>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DE9F6"/>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DE9F6"/>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shd w:val="clear" w:color="auto" w:fill="CDE9F6"/>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20" w:type="dxa"/>
            <w:vAlign w:val="bottom"/>
          </w:tcPr>
          <w:p>
            <w:pPr>
              <w:spacing w:after="0"/>
              <w:rPr>
                <w:sz w:val="20"/>
                <w:szCs w:val="20"/>
                <w:color w:val="auto"/>
              </w:rPr>
            </w:pPr>
          </w:p>
        </w:tc>
        <w:tc>
          <w:tcPr>
            <w:tcW w:w="2100" w:type="dxa"/>
            <w:vAlign w:val="bottom"/>
            <w:shd w:val="clear" w:color="auto" w:fill="CDE9F6"/>
          </w:tcPr>
          <w:p>
            <w:pPr>
              <w:spacing w:after="0"/>
              <w:rPr>
                <w:sz w:val="20"/>
                <w:szCs w:val="20"/>
                <w:color w:val="auto"/>
              </w:rPr>
            </w:pPr>
            <w:r>
              <w:rPr>
                <w:rFonts w:ascii="Times New Roman" w:cs="Times New Roman" w:eastAsia="Times New Roman" w:hAnsi="Times New Roman"/>
                <w:sz w:val="14"/>
                <w:szCs w:val="14"/>
                <w:color w:val="auto"/>
              </w:rPr>
              <w:t>Ken Xie</w:t>
            </w:r>
          </w:p>
        </w:tc>
        <w:tc>
          <w:tcPr>
            <w:tcW w:w="80" w:type="dxa"/>
            <w:vAlign w:val="bottom"/>
            <w:shd w:val="clear" w:color="auto" w:fill="CDE9F6"/>
          </w:tcPr>
          <w:p>
            <w:pPr>
              <w:spacing w:after="0"/>
              <w:rPr>
                <w:sz w:val="20"/>
                <w:szCs w:val="20"/>
                <w:color w:val="auto"/>
              </w:rPr>
            </w:pPr>
          </w:p>
        </w:tc>
        <w:tc>
          <w:tcPr>
            <w:tcW w:w="540" w:type="dxa"/>
            <w:vAlign w:val="bottom"/>
            <w:shd w:val="clear" w:color="auto" w:fill="CDE9F6"/>
          </w:tcPr>
          <w:p>
            <w:pPr>
              <w:ind w:left="120"/>
              <w:spacing w:after="0"/>
              <w:rPr>
                <w:sz w:val="20"/>
                <w:szCs w:val="20"/>
                <w:color w:val="auto"/>
              </w:rPr>
            </w:pPr>
            <w:r>
              <w:rPr>
                <w:rFonts w:ascii="Times New Roman" w:cs="Times New Roman" w:eastAsia="Times New Roman" w:hAnsi="Times New Roman"/>
                <w:sz w:val="14"/>
                <w:szCs w:val="14"/>
                <w:color w:val="auto"/>
              </w:rPr>
              <w:t>2025</w:t>
            </w:r>
          </w:p>
        </w:tc>
        <w:tc>
          <w:tcPr>
            <w:tcW w:w="80" w:type="dxa"/>
            <w:vAlign w:val="bottom"/>
            <w:shd w:val="clear" w:color="auto" w:fill="CDE9F6"/>
          </w:tcPr>
          <w:p>
            <w:pPr>
              <w:spacing w:after="0"/>
              <w:rPr>
                <w:sz w:val="20"/>
                <w:szCs w:val="20"/>
                <w:color w:val="auto"/>
              </w:rPr>
            </w:pPr>
          </w:p>
        </w:tc>
        <w:tc>
          <w:tcPr>
            <w:tcW w:w="780" w:type="dxa"/>
            <w:vAlign w:val="bottom"/>
            <w:gridSpan w:val="2"/>
            <w:shd w:val="clear" w:color="auto" w:fill="CDE9F6"/>
          </w:tcPr>
          <w:p>
            <w:pPr>
              <w:jc w:val="right"/>
              <w:ind w:right="100"/>
              <w:spacing w:after="0"/>
              <w:rPr>
                <w:sz w:val="20"/>
                <w:szCs w:val="20"/>
                <w:color w:val="auto"/>
              </w:rPr>
            </w:pPr>
            <w:r>
              <w:rPr>
                <w:rFonts w:ascii="Times New Roman" w:cs="Times New Roman" w:eastAsia="Times New Roman" w:hAnsi="Times New Roman"/>
                <w:sz w:val="14"/>
                <w:szCs w:val="14"/>
                <w:color w:val="auto"/>
              </w:rPr>
              <w:t>597,000</w:t>
            </w:r>
          </w:p>
        </w:tc>
        <w:tc>
          <w:tcPr>
            <w:tcW w:w="760" w:type="dxa"/>
            <w:vAlign w:val="bottom"/>
            <w:gridSpan w:val="2"/>
            <w:shd w:val="clear" w:color="auto" w:fill="CDE9F6"/>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DE9F6"/>
          </w:tcPr>
          <w:p>
            <w:pPr>
              <w:jc w:val="right"/>
              <w:ind w:right="100"/>
              <w:spacing w:after="0"/>
              <w:rPr>
                <w:sz w:val="20"/>
                <w:szCs w:val="20"/>
                <w:color w:val="auto"/>
              </w:rPr>
            </w:pPr>
            <w:r>
              <w:rPr>
                <w:rFonts w:ascii="Times New Roman" w:cs="Times New Roman" w:eastAsia="Times New Roman" w:hAnsi="Times New Roman"/>
                <w:sz w:val="14"/>
                <w:szCs w:val="14"/>
                <w:color w:val="auto"/>
              </w:rPr>
              <w:t>10,155,102</w:t>
            </w:r>
          </w:p>
        </w:tc>
        <w:tc>
          <w:tcPr>
            <w:tcW w:w="960" w:type="dxa"/>
            <w:vAlign w:val="bottom"/>
            <w:gridSpan w:val="2"/>
            <w:shd w:val="clear" w:color="auto" w:fill="CDE9F6"/>
          </w:tcPr>
          <w:p>
            <w:pPr>
              <w:jc w:val="right"/>
              <w:ind w:right="100"/>
              <w:spacing w:after="0"/>
              <w:rPr>
                <w:sz w:val="20"/>
                <w:szCs w:val="20"/>
                <w:color w:val="auto"/>
              </w:rPr>
            </w:pPr>
            <w:r>
              <w:rPr>
                <w:rFonts w:ascii="Times New Roman" w:cs="Times New Roman" w:eastAsia="Times New Roman" w:hAnsi="Times New Roman"/>
                <w:sz w:val="14"/>
                <w:szCs w:val="14"/>
                <w:color w:val="auto"/>
              </w:rPr>
              <w:t>705,937</w:t>
            </w:r>
          </w:p>
        </w:tc>
        <w:tc>
          <w:tcPr>
            <w:tcW w:w="940" w:type="dxa"/>
            <w:vAlign w:val="bottom"/>
            <w:gridSpan w:val="2"/>
            <w:shd w:val="clear" w:color="auto" w:fill="CDE9F6"/>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DE9F6"/>
          </w:tcPr>
          <w:p>
            <w:pPr>
              <w:jc w:val="right"/>
              <w:spacing w:after="0"/>
              <w:rPr>
                <w:sz w:val="20"/>
                <w:szCs w:val="20"/>
                <w:color w:val="auto"/>
              </w:rPr>
            </w:pPr>
            <w:r>
              <w:rPr>
                <w:rFonts w:ascii="Times New Roman" w:cs="Times New Roman" w:eastAsia="Times New Roman" w:hAnsi="Times New Roman"/>
                <w:sz w:val="14"/>
                <w:szCs w:val="14"/>
                <w:color w:val="auto"/>
              </w:rPr>
              <w:t>11,458,039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2100" w:type="dxa"/>
            <w:vAlign w:val="bottom"/>
            <w:shd w:val="clear" w:color="auto" w:fill="CDE9F6"/>
          </w:tcPr>
          <w:p>
            <w:pPr>
              <w:ind w:left="140"/>
              <w:spacing w:after="0"/>
              <w:rPr>
                <w:sz w:val="20"/>
                <w:szCs w:val="20"/>
                <w:color w:val="auto"/>
              </w:rPr>
            </w:pPr>
            <w:r>
              <w:rPr>
                <w:rFonts w:ascii="Times New Roman" w:cs="Times New Roman" w:eastAsia="Times New Roman" w:hAnsi="Times New Roman"/>
                <w:sz w:val="14"/>
                <w:szCs w:val="14"/>
                <w:i w:val="1"/>
                <w:iCs w:val="1"/>
                <w:color w:val="auto"/>
              </w:rPr>
              <w:t>Chief Executive Officer</w:t>
            </w:r>
          </w:p>
        </w:tc>
        <w:tc>
          <w:tcPr>
            <w:tcW w:w="80" w:type="dxa"/>
            <w:vAlign w:val="bottom"/>
            <w:shd w:val="clear" w:color="auto" w:fill="CDE9F6"/>
          </w:tcPr>
          <w:p>
            <w:pPr>
              <w:spacing w:after="0"/>
              <w:rPr>
                <w:sz w:val="23"/>
                <w:szCs w:val="23"/>
                <w:color w:val="auto"/>
              </w:rPr>
            </w:pPr>
          </w:p>
        </w:tc>
        <w:tc>
          <w:tcPr>
            <w:tcW w:w="540" w:type="dxa"/>
            <w:vAlign w:val="bottom"/>
            <w:shd w:val="clear" w:color="auto" w:fill="CDE9F6"/>
          </w:tcPr>
          <w:p>
            <w:pPr>
              <w:ind w:left="120"/>
              <w:spacing w:after="0"/>
              <w:rPr>
                <w:sz w:val="20"/>
                <w:szCs w:val="20"/>
                <w:color w:val="auto"/>
              </w:rPr>
            </w:pPr>
            <w:r>
              <w:rPr>
                <w:rFonts w:ascii="Times New Roman" w:cs="Times New Roman" w:eastAsia="Times New Roman" w:hAnsi="Times New Roman"/>
                <w:sz w:val="14"/>
                <w:szCs w:val="14"/>
                <w:color w:val="auto"/>
              </w:rPr>
              <w:t>2024</w:t>
            </w:r>
          </w:p>
        </w:tc>
        <w:tc>
          <w:tcPr>
            <w:tcW w:w="80" w:type="dxa"/>
            <w:vAlign w:val="bottom"/>
            <w:shd w:val="clear" w:color="auto" w:fill="CDE9F6"/>
          </w:tcPr>
          <w:p>
            <w:pPr>
              <w:spacing w:after="0"/>
              <w:rPr>
                <w:sz w:val="23"/>
                <w:szCs w:val="23"/>
                <w:color w:val="auto"/>
              </w:rPr>
            </w:pPr>
          </w:p>
        </w:tc>
        <w:tc>
          <w:tcPr>
            <w:tcW w:w="780" w:type="dxa"/>
            <w:vAlign w:val="bottom"/>
            <w:gridSpan w:val="2"/>
            <w:shd w:val="clear" w:color="auto" w:fill="CDE9F6"/>
          </w:tcPr>
          <w:p>
            <w:pPr>
              <w:jc w:val="right"/>
              <w:ind w:right="100"/>
              <w:spacing w:after="0"/>
              <w:rPr>
                <w:sz w:val="20"/>
                <w:szCs w:val="20"/>
                <w:color w:val="auto"/>
              </w:rPr>
            </w:pPr>
            <w:r>
              <w:rPr>
                <w:rFonts w:ascii="Times New Roman" w:cs="Times New Roman" w:eastAsia="Times New Roman" w:hAnsi="Times New Roman"/>
                <w:sz w:val="14"/>
                <w:szCs w:val="14"/>
                <w:color w:val="auto"/>
              </w:rPr>
              <w:t>597,000</w:t>
            </w:r>
          </w:p>
        </w:tc>
        <w:tc>
          <w:tcPr>
            <w:tcW w:w="760" w:type="dxa"/>
            <w:vAlign w:val="bottom"/>
            <w:gridSpan w:val="2"/>
            <w:shd w:val="clear" w:color="auto" w:fill="CDE9F6"/>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DE9F6"/>
          </w:tcPr>
          <w:p>
            <w:pPr>
              <w:jc w:val="right"/>
              <w:ind w:right="100"/>
              <w:spacing w:after="0"/>
              <w:rPr>
                <w:sz w:val="20"/>
                <w:szCs w:val="20"/>
                <w:color w:val="auto"/>
              </w:rPr>
            </w:pPr>
            <w:r>
              <w:rPr>
                <w:rFonts w:ascii="Times New Roman" w:cs="Times New Roman" w:eastAsia="Times New Roman" w:hAnsi="Times New Roman"/>
                <w:sz w:val="14"/>
                <w:szCs w:val="14"/>
                <w:color w:val="auto"/>
              </w:rPr>
              <w:t>11,939,796</w:t>
            </w:r>
          </w:p>
        </w:tc>
        <w:tc>
          <w:tcPr>
            <w:tcW w:w="960" w:type="dxa"/>
            <w:vAlign w:val="bottom"/>
            <w:gridSpan w:val="2"/>
            <w:shd w:val="clear" w:color="auto" w:fill="CDE9F6"/>
          </w:tcPr>
          <w:p>
            <w:pPr>
              <w:jc w:val="right"/>
              <w:ind w:right="100"/>
              <w:spacing w:after="0"/>
              <w:rPr>
                <w:sz w:val="20"/>
                <w:szCs w:val="20"/>
                <w:color w:val="auto"/>
              </w:rPr>
            </w:pPr>
            <w:r>
              <w:rPr>
                <w:rFonts w:ascii="Times New Roman" w:cs="Times New Roman" w:eastAsia="Times New Roman" w:hAnsi="Times New Roman"/>
                <w:sz w:val="14"/>
                <w:szCs w:val="14"/>
                <w:color w:val="auto"/>
              </w:rPr>
              <w:t>606,493</w:t>
            </w:r>
          </w:p>
        </w:tc>
        <w:tc>
          <w:tcPr>
            <w:tcW w:w="940" w:type="dxa"/>
            <w:vAlign w:val="bottom"/>
            <w:gridSpan w:val="2"/>
            <w:shd w:val="clear" w:color="auto" w:fill="CDE9F6"/>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DE9F6"/>
          </w:tcPr>
          <w:p>
            <w:pPr>
              <w:jc w:val="right"/>
              <w:spacing w:after="0"/>
              <w:rPr>
                <w:sz w:val="20"/>
                <w:szCs w:val="20"/>
                <w:color w:val="auto"/>
              </w:rPr>
            </w:pPr>
            <w:r>
              <w:rPr>
                <w:rFonts w:ascii="Times New Roman" w:cs="Times New Roman" w:eastAsia="Times New Roman" w:hAnsi="Times New Roman"/>
                <w:sz w:val="14"/>
                <w:szCs w:val="14"/>
                <w:color w:val="auto"/>
              </w:rPr>
              <w:t>13,143,289</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2100" w:type="dxa"/>
            <w:vAlign w:val="bottom"/>
            <w:tcBorders>
              <w:bottom w:val="single" w:sz="8" w:color="CDE9F6"/>
            </w:tcBorders>
            <w:shd w:val="clear" w:color="auto" w:fill="CDE9F6"/>
          </w:tcPr>
          <w:p>
            <w:pPr>
              <w:spacing w:after="0"/>
              <w:rPr>
                <w:sz w:val="24"/>
                <w:szCs w:val="24"/>
                <w:color w:val="auto"/>
              </w:rPr>
            </w:pPr>
          </w:p>
        </w:tc>
        <w:tc>
          <w:tcPr>
            <w:tcW w:w="80" w:type="dxa"/>
            <w:vAlign w:val="bottom"/>
            <w:tcBorders>
              <w:bottom w:val="single" w:sz="8" w:color="CDE9F6"/>
            </w:tcBorders>
            <w:shd w:val="clear" w:color="auto" w:fill="CDE9F6"/>
          </w:tcPr>
          <w:p>
            <w:pPr>
              <w:spacing w:after="0"/>
              <w:rPr>
                <w:sz w:val="24"/>
                <w:szCs w:val="24"/>
                <w:color w:val="auto"/>
              </w:rPr>
            </w:pPr>
          </w:p>
        </w:tc>
        <w:tc>
          <w:tcPr>
            <w:tcW w:w="540" w:type="dxa"/>
            <w:vAlign w:val="bottom"/>
            <w:tcBorders>
              <w:bottom w:val="single" w:sz="8" w:color="CDE9F6"/>
            </w:tcBorders>
            <w:shd w:val="clear" w:color="auto" w:fill="CDE9F6"/>
          </w:tcPr>
          <w:p>
            <w:pPr>
              <w:ind w:left="120"/>
              <w:spacing w:after="0"/>
              <w:rPr>
                <w:sz w:val="20"/>
                <w:szCs w:val="20"/>
                <w:color w:val="auto"/>
              </w:rPr>
            </w:pPr>
            <w:r>
              <w:rPr>
                <w:rFonts w:ascii="Times New Roman" w:cs="Times New Roman" w:eastAsia="Times New Roman" w:hAnsi="Times New Roman"/>
                <w:sz w:val="14"/>
                <w:szCs w:val="14"/>
                <w:color w:val="auto"/>
              </w:rPr>
              <w:t>2023</w:t>
            </w:r>
          </w:p>
        </w:tc>
        <w:tc>
          <w:tcPr>
            <w:tcW w:w="80" w:type="dxa"/>
            <w:vAlign w:val="bottom"/>
            <w:tcBorders>
              <w:bottom w:val="single" w:sz="8" w:color="CDE9F6"/>
            </w:tcBorders>
            <w:shd w:val="clear" w:color="auto" w:fill="CDE9F6"/>
          </w:tcPr>
          <w:p>
            <w:pPr>
              <w:spacing w:after="0"/>
              <w:rPr>
                <w:sz w:val="24"/>
                <w:szCs w:val="24"/>
                <w:color w:val="auto"/>
              </w:rPr>
            </w:pPr>
          </w:p>
        </w:tc>
        <w:tc>
          <w:tcPr>
            <w:tcW w:w="780" w:type="dxa"/>
            <w:vAlign w:val="bottom"/>
            <w:tcBorders>
              <w:bottom w:val="single" w:sz="8" w:color="CDE9F6"/>
            </w:tcBorders>
            <w:gridSpan w:val="2"/>
            <w:shd w:val="clear" w:color="auto" w:fill="CDE9F6"/>
          </w:tcPr>
          <w:p>
            <w:pPr>
              <w:jc w:val="right"/>
              <w:ind w:right="100"/>
              <w:spacing w:after="0"/>
              <w:rPr>
                <w:sz w:val="20"/>
                <w:szCs w:val="20"/>
                <w:color w:val="auto"/>
              </w:rPr>
            </w:pPr>
            <w:r>
              <w:rPr>
                <w:rFonts w:ascii="Times New Roman" w:cs="Times New Roman" w:eastAsia="Times New Roman" w:hAnsi="Times New Roman"/>
                <w:sz w:val="14"/>
                <w:szCs w:val="14"/>
                <w:color w:val="auto"/>
              </w:rPr>
              <w:t>622,000</w:t>
            </w:r>
          </w:p>
        </w:tc>
        <w:tc>
          <w:tcPr>
            <w:tcW w:w="760" w:type="dxa"/>
            <w:vAlign w:val="bottom"/>
            <w:tcBorders>
              <w:bottom w:val="single" w:sz="8" w:color="CDE9F6"/>
            </w:tcBorders>
            <w:gridSpan w:val="2"/>
            <w:shd w:val="clear" w:color="auto" w:fill="CDE9F6"/>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CDE9F6"/>
            </w:tcBorders>
            <w:gridSpan w:val="2"/>
            <w:shd w:val="clear" w:color="auto" w:fill="CDE9F6"/>
          </w:tcPr>
          <w:p>
            <w:pPr>
              <w:jc w:val="right"/>
              <w:ind w:right="100"/>
              <w:spacing w:after="0"/>
              <w:rPr>
                <w:sz w:val="20"/>
                <w:szCs w:val="20"/>
                <w:color w:val="auto"/>
              </w:rPr>
            </w:pPr>
            <w:r>
              <w:rPr>
                <w:rFonts w:ascii="Times New Roman" w:cs="Times New Roman" w:eastAsia="Times New Roman" w:hAnsi="Times New Roman"/>
                <w:sz w:val="14"/>
                <w:szCs w:val="14"/>
                <w:color w:val="auto"/>
              </w:rPr>
              <w:t>15,081,692</w:t>
            </w:r>
          </w:p>
        </w:tc>
        <w:tc>
          <w:tcPr>
            <w:tcW w:w="960" w:type="dxa"/>
            <w:vAlign w:val="bottom"/>
            <w:tcBorders>
              <w:bottom w:val="single" w:sz="8" w:color="CDE9F6"/>
            </w:tcBorders>
            <w:gridSpan w:val="2"/>
            <w:shd w:val="clear" w:color="auto" w:fill="CDE9F6"/>
          </w:tcPr>
          <w:p>
            <w:pPr>
              <w:jc w:val="right"/>
              <w:ind w:right="100"/>
              <w:spacing w:after="0"/>
              <w:rPr>
                <w:sz w:val="20"/>
                <w:szCs w:val="20"/>
                <w:color w:val="auto"/>
              </w:rPr>
            </w:pPr>
            <w:r>
              <w:rPr>
                <w:rFonts w:ascii="Times New Roman" w:cs="Times New Roman" w:eastAsia="Times New Roman" w:hAnsi="Times New Roman"/>
                <w:sz w:val="14"/>
                <w:szCs w:val="14"/>
                <w:color w:val="auto"/>
              </w:rPr>
              <w:t>597,921</w:t>
            </w:r>
          </w:p>
        </w:tc>
        <w:tc>
          <w:tcPr>
            <w:tcW w:w="940" w:type="dxa"/>
            <w:vAlign w:val="bottom"/>
            <w:tcBorders>
              <w:bottom w:val="single" w:sz="8" w:color="CDE9F6"/>
            </w:tcBorders>
            <w:gridSpan w:val="2"/>
            <w:shd w:val="clear" w:color="auto" w:fill="CDE9F6"/>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CDE9F6"/>
            </w:tcBorders>
            <w:shd w:val="clear" w:color="auto" w:fill="CDE9F6"/>
          </w:tcPr>
          <w:p>
            <w:pPr>
              <w:jc w:val="right"/>
              <w:spacing w:after="0"/>
              <w:rPr>
                <w:sz w:val="20"/>
                <w:szCs w:val="20"/>
                <w:color w:val="auto"/>
              </w:rPr>
            </w:pPr>
            <w:r>
              <w:rPr>
                <w:rFonts w:ascii="Times New Roman" w:cs="Times New Roman" w:eastAsia="Times New Roman" w:hAnsi="Times New Roman"/>
                <w:sz w:val="14"/>
                <w:szCs w:val="14"/>
                <w:color w:val="auto"/>
              </w:rPr>
              <w:t>16,301,613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Michael Xie</w:t>
            </w:r>
          </w:p>
        </w:tc>
        <w:tc>
          <w:tcPr>
            <w:tcW w:w="62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2025</w:t>
            </w:r>
          </w:p>
        </w:tc>
        <w:tc>
          <w:tcPr>
            <w:tcW w:w="80" w:type="dxa"/>
            <w:vAlign w:val="bottom"/>
          </w:tcPr>
          <w:p>
            <w:pPr>
              <w:spacing w:after="0"/>
              <w:rPr>
                <w:sz w:val="21"/>
                <w:szCs w:val="21"/>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445,000</w:t>
            </w:r>
          </w:p>
        </w:tc>
        <w:tc>
          <w:tcPr>
            <w:tcW w:w="76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5,802,680</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328,876</w:t>
            </w: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6,576,556</w:t>
            </w: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2100" w:type="dxa"/>
            <w:vAlign w:val="bottom"/>
          </w:tcPr>
          <w:p>
            <w:pPr>
              <w:ind w:left="140"/>
              <w:spacing w:after="0"/>
              <w:rPr>
                <w:sz w:val="20"/>
                <w:szCs w:val="20"/>
                <w:color w:val="auto"/>
              </w:rPr>
            </w:pPr>
            <w:r>
              <w:rPr>
                <w:rFonts w:ascii="Times New Roman" w:cs="Times New Roman" w:eastAsia="Times New Roman" w:hAnsi="Times New Roman"/>
                <w:sz w:val="14"/>
                <w:szCs w:val="14"/>
                <w:i w:val="1"/>
                <w:iCs w:val="1"/>
                <w:color w:val="auto"/>
              </w:rPr>
              <w:t>President and Chief Technology</w:t>
            </w:r>
          </w:p>
        </w:tc>
        <w:tc>
          <w:tcPr>
            <w:tcW w:w="62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2024</w:t>
            </w:r>
          </w:p>
        </w:tc>
        <w:tc>
          <w:tcPr>
            <w:tcW w:w="80" w:type="dxa"/>
            <w:vAlign w:val="bottom"/>
          </w:tcPr>
          <w:p>
            <w:pPr>
              <w:spacing w:after="0"/>
              <w:rPr>
                <w:sz w:val="23"/>
                <w:szCs w:val="23"/>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445,000</w:t>
            </w:r>
          </w:p>
        </w:tc>
        <w:tc>
          <w:tcPr>
            <w:tcW w:w="76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5,874,196</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278,245</w:t>
            </w: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6,597,441</w:t>
            </w: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2100" w:type="dxa"/>
            <w:vAlign w:val="bottom"/>
          </w:tcPr>
          <w:p>
            <w:pPr>
              <w:ind w:left="140"/>
              <w:spacing w:after="0"/>
              <w:rPr>
                <w:sz w:val="20"/>
                <w:szCs w:val="20"/>
                <w:color w:val="auto"/>
              </w:rPr>
            </w:pPr>
            <w:r>
              <w:rPr>
                <w:rFonts w:ascii="Times New Roman" w:cs="Times New Roman" w:eastAsia="Times New Roman" w:hAnsi="Times New Roman"/>
                <w:sz w:val="14"/>
                <w:szCs w:val="14"/>
                <w:i w:val="1"/>
                <w:iCs w:val="1"/>
                <w:color w:val="auto"/>
              </w:rPr>
              <w:t>Officer</w:t>
            </w:r>
          </w:p>
        </w:tc>
        <w:tc>
          <w:tcPr>
            <w:tcW w:w="62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2023</w:t>
            </w:r>
          </w:p>
        </w:tc>
        <w:tc>
          <w:tcPr>
            <w:tcW w:w="80" w:type="dxa"/>
            <w:vAlign w:val="bottom"/>
          </w:tcPr>
          <w:p>
            <w:pPr>
              <w:spacing w:after="0"/>
              <w:rPr>
                <w:sz w:val="23"/>
                <w:szCs w:val="23"/>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445,000</w:t>
            </w:r>
          </w:p>
        </w:tc>
        <w:tc>
          <w:tcPr>
            <w:tcW w:w="76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6,657,577</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271,402</w:t>
            </w: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7,373,979</w:t>
            </w: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rPr>
                <w:sz w:val="2"/>
                <w:szCs w:val="2"/>
                <w:color w:val="auto"/>
              </w:rPr>
            </w:pPr>
          </w:p>
        </w:tc>
        <w:tc>
          <w:tcPr>
            <w:tcW w:w="210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vMerge w:val="continue"/>
          </w:tcPr>
          <w:p>
            <w:pPr>
              <w:spacing w:after="0"/>
              <w:rPr>
                <w:sz w:val="15"/>
                <w:szCs w:val="15"/>
                <w:color w:val="auto"/>
              </w:rPr>
            </w:pPr>
          </w:p>
        </w:tc>
        <w:tc>
          <w:tcPr>
            <w:tcW w:w="2100" w:type="dxa"/>
            <w:vAlign w:val="bottom"/>
            <w:shd w:val="clear" w:color="auto" w:fill="CDE9F6"/>
          </w:tcPr>
          <w:p>
            <w:pPr>
              <w:spacing w:after="0"/>
              <w:rPr>
                <w:sz w:val="20"/>
                <w:szCs w:val="20"/>
                <w:color w:val="auto"/>
              </w:rPr>
            </w:pPr>
            <w:r>
              <w:rPr>
                <w:rFonts w:ascii="Times New Roman" w:cs="Times New Roman" w:eastAsia="Times New Roman" w:hAnsi="Times New Roman"/>
                <w:sz w:val="14"/>
                <w:szCs w:val="14"/>
                <w:color w:val="auto"/>
              </w:rPr>
              <w:t>Christiane Ohlgart</w:t>
            </w:r>
          </w:p>
        </w:tc>
        <w:tc>
          <w:tcPr>
            <w:tcW w:w="620" w:type="dxa"/>
            <w:vAlign w:val="bottom"/>
            <w:gridSpan w:val="2"/>
            <w:shd w:val="clear" w:color="auto" w:fill="CDE9F6"/>
          </w:tcPr>
          <w:p>
            <w:pPr>
              <w:ind w:left="200"/>
              <w:spacing w:after="0"/>
              <w:rPr>
                <w:sz w:val="20"/>
                <w:szCs w:val="20"/>
                <w:color w:val="auto"/>
              </w:rPr>
            </w:pPr>
            <w:r>
              <w:rPr>
                <w:rFonts w:ascii="Times New Roman" w:cs="Times New Roman" w:eastAsia="Times New Roman" w:hAnsi="Times New Roman"/>
                <w:sz w:val="14"/>
                <w:szCs w:val="14"/>
                <w:color w:val="auto"/>
              </w:rPr>
              <w:t>2025</w:t>
            </w:r>
          </w:p>
        </w:tc>
        <w:tc>
          <w:tcPr>
            <w:tcW w:w="80" w:type="dxa"/>
            <w:vAlign w:val="bottom"/>
            <w:shd w:val="clear" w:color="auto" w:fill="CDE9F6"/>
          </w:tcPr>
          <w:p>
            <w:pPr>
              <w:spacing w:after="0"/>
              <w:rPr>
                <w:sz w:val="15"/>
                <w:szCs w:val="15"/>
                <w:color w:val="auto"/>
              </w:rPr>
            </w:pPr>
          </w:p>
        </w:tc>
        <w:tc>
          <w:tcPr>
            <w:tcW w:w="780" w:type="dxa"/>
            <w:vAlign w:val="bottom"/>
            <w:gridSpan w:val="2"/>
            <w:shd w:val="clear" w:color="auto" w:fill="CDE9F6"/>
          </w:tcPr>
          <w:p>
            <w:pPr>
              <w:jc w:val="right"/>
              <w:ind w:right="100"/>
              <w:spacing w:after="0"/>
              <w:rPr>
                <w:sz w:val="20"/>
                <w:szCs w:val="20"/>
                <w:color w:val="auto"/>
              </w:rPr>
            </w:pPr>
            <w:r>
              <w:rPr>
                <w:rFonts w:ascii="Times New Roman" w:cs="Times New Roman" w:eastAsia="Times New Roman" w:hAnsi="Times New Roman"/>
                <w:sz w:val="14"/>
                <w:szCs w:val="14"/>
                <w:color w:val="auto"/>
              </w:rPr>
              <w:t>468,864</w:t>
            </w:r>
          </w:p>
        </w:tc>
        <w:tc>
          <w:tcPr>
            <w:tcW w:w="760" w:type="dxa"/>
            <w:vAlign w:val="bottom"/>
            <w:gridSpan w:val="2"/>
            <w:shd w:val="clear" w:color="auto" w:fill="CDE9F6"/>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DE9F6"/>
          </w:tcPr>
          <w:p>
            <w:pPr>
              <w:jc w:val="right"/>
              <w:ind w:right="100"/>
              <w:spacing w:after="0"/>
              <w:rPr>
                <w:sz w:val="20"/>
                <w:szCs w:val="20"/>
                <w:color w:val="auto"/>
              </w:rPr>
            </w:pPr>
            <w:r>
              <w:rPr>
                <w:rFonts w:ascii="Times New Roman" w:cs="Times New Roman" w:eastAsia="Times New Roman" w:hAnsi="Times New Roman"/>
                <w:sz w:val="14"/>
                <w:szCs w:val="14"/>
                <w:color w:val="auto"/>
              </w:rPr>
              <w:t>3,650,228</w:t>
            </w:r>
          </w:p>
        </w:tc>
        <w:tc>
          <w:tcPr>
            <w:tcW w:w="960" w:type="dxa"/>
            <w:vAlign w:val="bottom"/>
            <w:gridSpan w:val="2"/>
            <w:shd w:val="clear" w:color="auto" w:fill="CDE9F6"/>
          </w:tcPr>
          <w:p>
            <w:pPr>
              <w:jc w:val="right"/>
              <w:ind w:right="100"/>
              <w:spacing w:after="0"/>
              <w:rPr>
                <w:sz w:val="20"/>
                <w:szCs w:val="20"/>
                <w:color w:val="auto"/>
              </w:rPr>
            </w:pPr>
            <w:r>
              <w:rPr>
                <w:rFonts w:ascii="Times New Roman" w:cs="Times New Roman" w:eastAsia="Times New Roman" w:hAnsi="Times New Roman"/>
                <w:sz w:val="14"/>
                <w:szCs w:val="14"/>
                <w:color w:val="auto"/>
              </w:rPr>
              <w:t>298,651</w:t>
            </w:r>
          </w:p>
        </w:tc>
        <w:tc>
          <w:tcPr>
            <w:tcW w:w="940" w:type="dxa"/>
            <w:vAlign w:val="bottom"/>
            <w:gridSpan w:val="2"/>
            <w:shd w:val="clear" w:color="auto" w:fill="CDE9F6"/>
          </w:tcPr>
          <w:p>
            <w:pPr>
              <w:jc w:val="right"/>
              <w:ind w:right="80"/>
              <w:spacing w:after="0"/>
              <w:rPr>
                <w:sz w:val="20"/>
                <w:szCs w:val="20"/>
                <w:color w:val="auto"/>
              </w:rPr>
            </w:pPr>
            <w:r>
              <w:rPr>
                <w:rFonts w:ascii="Times New Roman" w:cs="Times New Roman" w:eastAsia="Times New Roman" w:hAnsi="Times New Roman"/>
                <w:sz w:val="14"/>
                <w:szCs w:val="14"/>
                <w:color w:val="auto"/>
              </w:rPr>
              <w:t>7,000</w:t>
            </w:r>
          </w:p>
        </w:tc>
        <w:tc>
          <w:tcPr>
            <w:tcW w:w="800" w:type="dxa"/>
            <w:vAlign w:val="bottom"/>
            <w:shd w:val="clear" w:color="auto" w:fill="CDE9F6"/>
          </w:tcPr>
          <w:p>
            <w:pPr>
              <w:jc w:val="right"/>
              <w:spacing w:after="0"/>
              <w:rPr>
                <w:sz w:val="20"/>
                <w:szCs w:val="20"/>
                <w:color w:val="auto"/>
              </w:rPr>
            </w:pPr>
            <w:r>
              <w:rPr>
                <w:rFonts w:ascii="Times New Roman" w:cs="Times New Roman" w:eastAsia="Times New Roman" w:hAnsi="Times New Roman"/>
                <w:sz w:val="14"/>
                <w:szCs w:val="14"/>
                <w:color w:val="auto"/>
              </w:rPr>
              <w:t>4,424,743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68"/>
        </w:trPr>
        <w:tc>
          <w:tcPr>
            <w:tcW w:w="20" w:type="dxa"/>
            <w:vAlign w:val="bottom"/>
          </w:tcPr>
          <w:p>
            <w:pPr>
              <w:spacing w:after="0"/>
              <w:rPr>
                <w:sz w:val="24"/>
                <w:szCs w:val="24"/>
                <w:color w:val="auto"/>
              </w:rPr>
            </w:pPr>
          </w:p>
        </w:tc>
        <w:tc>
          <w:tcPr>
            <w:tcW w:w="2100" w:type="dxa"/>
            <w:vAlign w:val="bottom"/>
            <w:shd w:val="clear" w:color="auto" w:fill="CDE9F6"/>
          </w:tcPr>
          <w:p>
            <w:pPr>
              <w:ind w:left="140"/>
              <w:spacing w:after="0"/>
              <w:rPr>
                <w:sz w:val="20"/>
                <w:szCs w:val="20"/>
                <w:color w:val="auto"/>
              </w:rPr>
            </w:pPr>
            <w:r>
              <w:rPr>
                <w:rFonts w:ascii="Times New Roman" w:cs="Times New Roman" w:eastAsia="Times New Roman" w:hAnsi="Times New Roman"/>
                <w:sz w:val="14"/>
                <w:szCs w:val="14"/>
                <w:i w:val="1"/>
                <w:iCs w:val="1"/>
                <w:color w:val="auto"/>
              </w:rPr>
              <w:t>Chief Financial Officer</w:t>
            </w:r>
            <w:r>
              <w:rPr>
                <w:rFonts w:ascii="Times New Roman" w:cs="Times New Roman" w:eastAsia="Times New Roman" w:hAnsi="Times New Roman"/>
                <w:sz w:val="20"/>
                <w:szCs w:val="20"/>
                <w:i w:val="1"/>
                <w:iCs w:val="1"/>
                <w:color w:val="auto"/>
                <w:vertAlign w:val="superscript"/>
              </w:rPr>
              <w:t>(4)</w:t>
            </w:r>
          </w:p>
        </w:tc>
        <w:tc>
          <w:tcPr>
            <w:tcW w:w="80" w:type="dxa"/>
            <w:vAlign w:val="bottom"/>
            <w:shd w:val="clear" w:color="auto" w:fill="CDE9F6"/>
          </w:tcPr>
          <w:p>
            <w:pPr>
              <w:spacing w:after="0"/>
              <w:rPr>
                <w:sz w:val="24"/>
                <w:szCs w:val="24"/>
                <w:color w:val="auto"/>
              </w:rPr>
            </w:pPr>
          </w:p>
        </w:tc>
        <w:tc>
          <w:tcPr>
            <w:tcW w:w="540" w:type="dxa"/>
            <w:vAlign w:val="bottom"/>
            <w:shd w:val="clear" w:color="auto" w:fill="CDE9F6"/>
          </w:tcPr>
          <w:p>
            <w:pPr>
              <w:spacing w:after="0"/>
              <w:rPr>
                <w:sz w:val="24"/>
                <w:szCs w:val="24"/>
                <w:color w:val="auto"/>
              </w:rPr>
            </w:pPr>
          </w:p>
        </w:tc>
        <w:tc>
          <w:tcPr>
            <w:tcW w:w="80" w:type="dxa"/>
            <w:vAlign w:val="bottom"/>
            <w:shd w:val="clear" w:color="auto" w:fill="CDE9F6"/>
          </w:tcPr>
          <w:p>
            <w:pPr>
              <w:spacing w:after="0"/>
              <w:rPr>
                <w:sz w:val="24"/>
                <w:szCs w:val="24"/>
                <w:color w:val="auto"/>
              </w:rPr>
            </w:pPr>
          </w:p>
        </w:tc>
        <w:tc>
          <w:tcPr>
            <w:tcW w:w="680" w:type="dxa"/>
            <w:vAlign w:val="bottom"/>
            <w:shd w:val="clear" w:color="auto" w:fill="CDE9F6"/>
          </w:tcPr>
          <w:p>
            <w:pPr>
              <w:spacing w:after="0"/>
              <w:rPr>
                <w:sz w:val="24"/>
                <w:szCs w:val="24"/>
                <w:color w:val="auto"/>
              </w:rPr>
            </w:pPr>
          </w:p>
        </w:tc>
        <w:tc>
          <w:tcPr>
            <w:tcW w:w="100" w:type="dxa"/>
            <w:vAlign w:val="bottom"/>
            <w:shd w:val="clear" w:color="auto" w:fill="CDE9F6"/>
          </w:tcPr>
          <w:p>
            <w:pPr>
              <w:spacing w:after="0"/>
              <w:rPr>
                <w:sz w:val="24"/>
                <w:szCs w:val="24"/>
                <w:color w:val="auto"/>
              </w:rPr>
            </w:pPr>
          </w:p>
        </w:tc>
        <w:tc>
          <w:tcPr>
            <w:tcW w:w="680" w:type="dxa"/>
            <w:vAlign w:val="bottom"/>
            <w:shd w:val="clear" w:color="auto" w:fill="CDE9F6"/>
          </w:tcPr>
          <w:p>
            <w:pPr>
              <w:spacing w:after="0"/>
              <w:rPr>
                <w:sz w:val="24"/>
                <w:szCs w:val="24"/>
                <w:color w:val="auto"/>
              </w:rPr>
            </w:pPr>
          </w:p>
        </w:tc>
        <w:tc>
          <w:tcPr>
            <w:tcW w:w="80" w:type="dxa"/>
            <w:vAlign w:val="bottom"/>
            <w:shd w:val="clear" w:color="auto" w:fill="CDE9F6"/>
          </w:tcPr>
          <w:p>
            <w:pPr>
              <w:spacing w:after="0"/>
              <w:rPr>
                <w:sz w:val="24"/>
                <w:szCs w:val="24"/>
                <w:color w:val="auto"/>
              </w:rPr>
            </w:pPr>
          </w:p>
        </w:tc>
        <w:tc>
          <w:tcPr>
            <w:tcW w:w="700" w:type="dxa"/>
            <w:vAlign w:val="bottom"/>
            <w:shd w:val="clear" w:color="auto" w:fill="CDE9F6"/>
          </w:tcPr>
          <w:p>
            <w:pPr>
              <w:spacing w:after="0"/>
              <w:rPr>
                <w:sz w:val="24"/>
                <w:szCs w:val="24"/>
                <w:color w:val="auto"/>
              </w:rPr>
            </w:pPr>
          </w:p>
        </w:tc>
        <w:tc>
          <w:tcPr>
            <w:tcW w:w="100" w:type="dxa"/>
            <w:vAlign w:val="bottom"/>
            <w:shd w:val="clear" w:color="auto" w:fill="CDE9F6"/>
          </w:tcPr>
          <w:p>
            <w:pPr>
              <w:spacing w:after="0"/>
              <w:rPr>
                <w:sz w:val="24"/>
                <w:szCs w:val="24"/>
                <w:color w:val="auto"/>
              </w:rPr>
            </w:pPr>
          </w:p>
        </w:tc>
        <w:tc>
          <w:tcPr>
            <w:tcW w:w="860" w:type="dxa"/>
            <w:vAlign w:val="bottom"/>
            <w:shd w:val="clear" w:color="auto" w:fill="CDE9F6"/>
          </w:tcPr>
          <w:p>
            <w:pPr>
              <w:spacing w:after="0"/>
              <w:rPr>
                <w:sz w:val="24"/>
                <w:szCs w:val="24"/>
                <w:color w:val="auto"/>
              </w:rPr>
            </w:pPr>
          </w:p>
        </w:tc>
        <w:tc>
          <w:tcPr>
            <w:tcW w:w="100" w:type="dxa"/>
            <w:vAlign w:val="bottom"/>
            <w:shd w:val="clear" w:color="auto" w:fill="CDE9F6"/>
          </w:tcPr>
          <w:p>
            <w:pPr>
              <w:spacing w:after="0"/>
              <w:rPr>
                <w:sz w:val="24"/>
                <w:szCs w:val="24"/>
                <w:color w:val="auto"/>
              </w:rPr>
            </w:pPr>
          </w:p>
        </w:tc>
        <w:tc>
          <w:tcPr>
            <w:tcW w:w="860" w:type="dxa"/>
            <w:vAlign w:val="bottom"/>
            <w:shd w:val="clear" w:color="auto" w:fill="CDE9F6"/>
          </w:tcPr>
          <w:p>
            <w:pPr>
              <w:spacing w:after="0"/>
              <w:rPr>
                <w:sz w:val="24"/>
                <w:szCs w:val="24"/>
                <w:color w:val="auto"/>
              </w:rPr>
            </w:pPr>
          </w:p>
        </w:tc>
        <w:tc>
          <w:tcPr>
            <w:tcW w:w="80" w:type="dxa"/>
            <w:vAlign w:val="bottom"/>
            <w:shd w:val="clear" w:color="auto" w:fill="CDE9F6"/>
          </w:tcPr>
          <w:p>
            <w:pPr>
              <w:spacing w:after="0"/>
              <w:rPr>
                <w:sz w:val="24"/>
                <w:szCs w:val="24"/>
                <w:color w:val="auto"/>
              </w:rPr>
            </w:pPr>
          </w:p>
        </w:tc>
        <w:tc>
          <w:tcPr>
            <w:tcW w:w="800" w:type="dxa"/>
            <w:vAlign w:val="bottom"/>
            <w:shd w:val="clear" w:color="auto" w:fill="CDE9F6"/>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Keith Jensen</w:t>
            </w:r>
          </w:p>
        </w:tc>
        <w:tc>
          <w:tcPr>
            <w:tcW w:w="62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2025</w:t>
            </w:r>
          </w:p>
        </w:tc>
        <w:tc>
          <w:tcPr>
            <w:tcW w:w="80" w:type="dxa"/>
            <w:vAlign w:val="bottom"/>
          </w:tcPr>
          <w:p>
            <w:pPr>
              <w:spacing w:after="0"/>
              <w:rPr>
                <w:sz w:val="21"/>
                <w:szCs w:val="21"/>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253,000</w:t>
            </w:r>
          </w:p>
        </w:tc>
        <w:tc>
          <w:tcPr>
            <w:tcW w:w="76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5,124,296</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254,686</w:t>
            </w: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26,404</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5,658,386</w:t>
            </w: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2100" w:type="dxa"/>
            <w:vAlign w:val="bottom"/>
          </w:tcPr>
          <w:p>
            <w:pPr>
              <w:ind w:left="140"/>
              <w:spacing w:after="0"/>
              <w:rPr>
                <w:sz w:val="20"/>
                <w:szCs w:val="20"/>
                <w:color w:val="auto"/>
              </w:rPr>
            </w:pPr>
            <w:r>
              <w:rPr>
                <w:rFonts w:ascii="Times New Roman" w:cs="Times New Roman" w:eastAsia="Times New Roman" w:hAnsi="Times New Roman"/>
                <w:sz w:val="14"/>
                <w:szCs w:val="14"/>
                <w:i w:val="1"/>
                <w:iCs w:val="1"/>
                <w:color w:val="auto"/>
              </w:rPr>
              <w:t>Former Chief Financial Officer</w:t>
            </w:r>
            <w:r>
              <w:rPr>
                <w:rFonts w:ascii="Times New Roman" w:cs="Times New Roman" w:eastAsia="Times New Roman" w:hAnsi="Times New Roman"/>
                <w:sz w:val="20"/>
                <w:szCs w:val="20"/>
                <w:i w:val="1"/>
                <w:iCs w:val="1"/>
                <w:color w:val="auto"/>
                <w:vertAlign w:val="superscript"/>
              </w:rPr>
              <w:t>(5)</w:t>
            </w:r>
          </w:p>
        </w:tc>
        <w:tc>
          <w:tcPr>
            <w:tcW w:w="62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2024</w:t>
            </w:r>
          </w:p>
        </w:tc>
        <w:tc>
          <w:tcPr>
            <w:tcW w:w="80" w:type="dxa"/>
            <w:vAlign w:val="bottom"/>
          </w:tcPr>
          <w:p>
            <w:pPr>
              <w:spacing w:after="0"/>
              <w:rPr>
                <w:sz w:val="24"/>
                <w:szCs w:val="24"/>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506,000</w:t>
            </w:r>
          </w:p>
        </w:tc>
        <w:tc>
          <w:tcPr>
            <w:tcW w:w="76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4,785,851</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353,128</w:t>
            </w: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6,900</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5,651,879</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62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2023</w:t>
            </w:r>
          </w:p>
        </w:tc>
        <w:tc>
          <w:tcPr>
            <w:tcW w:w="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506,000</w:t>
            </w:r>
          </w:p>
        </w:tc>
        <w:tc>
          <w:tcPr>
            <w:tcW w:w="76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6,199,073</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339,218</w:t>
            </w: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6,600</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7,050,891</w:t>
            </w:r>
          </w:p>
        </w:tc>
        <w:tc>
          <w:tcPr>
            <w:tcW w:w="0" w:type="dxa"/>
            <w:vAlign w:val="bottom"/>
          </w:tcPr>
          <w:p>
            <w:pPr>
              <w:spacing w:after="0"/>
              <w:rPr>
                <w:sz w:val="1"/>
                <w:szCs w:val="1"/>
                <w:color w:val="auto"/>
              </w:rPr>
            </w:pPr>
          </w:p>
        </w:tc>
      </w:tr>
      <w:tr>
        <w:trPr>
          <w:trHeight w:val="23"/>
        </w:trPr>
        <w:tc>
          <w:tcPr>
            <w:tcW w:w="2120" w:type="dxa"/>
            <w:vAlign w:val="bottom"/>
            <w:gridSpan w:val="2"/>
          </w:tcPr>
          <w:p>
            <w:pPr>
              <w:spacing w:after="0"/>
              <w:rPr>
                <w:sz w:val="2"/>
                <w:szCs w:val="2"/>
                <w:color w:val="auto"/>
              </w:rPr>
            </w:pPr>
          </w:p>
        </w:tc>
        <w:tc>
          <w:tcPr>
            <w:tcW w:w="6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2"/>
        </w:trPr>
        <w:tc>
          <w:tcPr>
            <w:tcW w:w="20" w:type="dxa"/>
            <w:vAlign w:val="bottom"/>
          </w:tcPr>
          <w:p>
            <w:pPr>
              <w:spacing w:after="0"/>
              <w:rPr>
                <w:sz w:val="21"/>
                <w:szCs w:val="21"/>
                <w:color w:val="auto"/>
              </w:rPr>
            </w:pPr>
          </w:p>
        </w:tc>
        <w:tc>
          <w:tcPr>
            <w:tcW w:w="2100" w:type="dxa"/>
            <w:vAlign w:val="bottom"/>
            <w:shd w:val="clear" w:color="auto" w:fill="CDE9F6"/>
          </w:tcPr>
          <w:p>
            <w:pPr>
              <w:spacing w:after="0"/>
              <w:rPr>
                <w:sz w:val="20"/>
                <w:szCs w:val="20"/>
                <w:color w:val="auto"/>
              </w:rPr>
            </w:pPr>
            <w:r>
              <w:rPr>
                <w:rFonts w:ascii="Times New Roman" w:cs="Times New Roman" w:eastAsia="Times New Roman" w:hAnsi="Times New Roman"/>
                <w:sz w:val="14"/>
                <w:szCs w:val="14"/>
                <w:color w:val="auto"/>
              </w:rPr>
              <w:t>John Whittle</w:t>
            </w:r>
          </w:p>
        </w:tc>
        <w:tc>
          <w:tcPr>
            <w:tcW w:w="620" w:type="dxa"/>
            <w:vAlign w:val="bottom"/>
            <w:gridSpan w:val="2"/>
            <w:shd w:val="clear" w:color="auto" w:fill="CDE9F6"/>
          </w:tcPr>
          <w:p>
            <w:pPr>
              <w:ind w:left="200"/>
              <w:spacing w:after="0"/>
              <w:rPr>
                <w:sz w:val="20"/>
                <w:szCs w:val="20"/>
                <w:color w:val="auto"/>
              </w:rPr>
            </w:pPr>
            <w:r>
              <w:rPr>
                <w:rFonts w:ascii="Times New Roman" w:cs="Times New Roman" w:eastAsia="Times New Roman" w:hAnsi="Times New Roman"/>
                <w:sz w:val="14"/>
                <w:szCs w:val="14"/>
                <w:color w:val="auto"/>
              </w:rPr>
              <w:t>2025</w:t>
            </w:r>
          </w:p>
        </w:tc>
        <w:tc>
          <w:tcPr>
            <w:tcW w:w="80" w:type="dxa"/>
            <w:vAlign w:val="bottom"/>
            <w:shd w:val="clear" w:color="auto" w:fill="CDE9F6"/>
          </w:tcPr>
          <w:p>
            <w:pPr>
              <w:spacing w:after="0"/>
              <w:rPr>
                <w:sz w:val="21"/>
                <w:szCs w:val="21"/>
                <w:color w:val="auto"/>
              </w:rPr>
            </w:pPr>
          </w:p>
        </w:tc>
        <w:tc>
          <w:tcPr>
            <w:tcW w:w="780" w:type="dxa"/>
            <w:vAlign w:val="bottom"/>
            <w:gridSpan w:val="2"/>
            <w:shd w:val="clear" w:color="auto" w:fill="CDE9F6"/>
          </w:tcPr>
          <w:p>
            <w:pPr>
              <w:jc w:val="right"/>
              <w:ind w:right="100"/>
              <w:spacing w:after="0"/>
              <w:rPr>
                <w:sz w:val="20"/>
                <w:szCs w:val="20"/>
                <w:color w:val="auto"/>
              </w:rPr>
            </w:pPr>
            <w:r>
              <w:rPr>
                <w:rFonts w:ascii="Times New Roman" w:cs="Times New Roman" w:eastAsia="Times New Roman" w:hAnsi="Times New Roman"/>
                <w:sz w:val="14"/>
                <w:szCs w:val="14"/>
                <w:color w:val="auto"/>
              </w:rPr>
              <w:t>506,000</w:t>
            </w:r>
          </w:p>
        </w:tc>
        <w:tc>
          <w:tcPr>
            <w:tcW w:w="760" w:type="dxa"/>
            <w:vAlign w:val="bottom"/>
            <w:gridSpan w:val="2"/>
            <w:shd w:val="clear" w:color="auto" w:fill="CDE9F6"/>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DE9F6"/>
          </w:tcPr>
          <w:p>
            <w:pPr>
              <w:jc w:val="right"/>
              <w:ind w:right="100"/>
              <w:spacing w:after="0"/>
              <w:rPr>
                <w:sz w:val="20"/>
                <w:szCs w:val="20"/>
                <w:color w:val="auto"/>
              </w:rPr>
            </w:pPr>
            <w:r>
              <w:rPr>
                <w:rFonts w:ascii="Times New Roman" w:cs="Times New Roman" w:eastAsia="Times New Roman" w:hAnsi="Times New Roman"/>
                <w:sz w:val="14"/>
                <w:szCs w:val="14"/>
                <w:color w:val="auto"/>
              </w:rPr>
              <w:t>5,077,415</w:t>
            </w:r>
          </w:p>
        </w:tc>
        <w:tc>
          <w:tcPr>
            <w:tcW w:w="960" w:type="dxa"/>
            <w:vAlign w:val="bottom"/>
            <w:gridSpan w:val="2"/>
            <w:shd w:val="clear" w:color="auto" w:fill="CDE9F6"/>
          </w:tcPr>
          <w:p>
            <w:pPr>
              <w:jc w:val="right"/>
              <w:ind w:right="100"/>
              <w:spacing w:after="0"/>
              <w:rPr>
                <w:sz w:val="20"/>
                <w:szCs w:val="20"/>
                <w:color w:val="auto"/>
              </w:rPr>
            </w:pPr>
            <w:r>
              <w:rPr>
                <w:rFonts w:ascii="Times New Roman" w:cs="Times New Roman" w:eastAsia="Times New Roman" w:hAnsi="Times New Roman"/>
                <w:sz w:val="14"/>
                <w:szCs w:val="14"/>
                <w:color w:val="auto"/>
              </w:rPr>
              <w:t>447,000</w:t>
            </w:r>
          </w:p>
        </w:tc>
        <w:tc>
          <w:tcPr>
            <w:tcW w:w="940" w:type="dxa"/>
            <w:vAlign w:val="bottom"/>
            <w:gridSpan w:val="2"/>
            <w:shd w:val="clear" w:color="auto" w:fill="CDE9F6"/>
          </w:tcPr>
          <w:p>
            <w:pPr>
              <w:jc w:val="right"/>
              <w:ind w:right="80"/>
              <w:spacing w:after="0"/>
              <w:rPr>
                <w:sz w:val="20"/>
                <w:szCs w:val="20"/>
                <w:color w:val="auto"/>
              </w:rPr>
            </w:pPr>
            <w:r>
              <w:rPr>
                <w:rFonts w:ascii="Times New Roman" w:cs="Times New Roman" w:eastAsia="Times New Roman" w:hAnsi="Times New Roman"/>
                <w:sz w:val="14"/>
                <w:szCs w:val="14"/>
                <w:color w:val="auto"/>
              </w:rPr>
              <w:t>7,000</w:t>
            </w:r>
          </w:p>
        </w:tc>
        <w:tc>
          <w:tcPr>
            <w:tcW w:w="800" w:type="dxa"/>
            <w:vAlign w:val="bottom"/>
            <w:shd w:val="clear" w:color="auto" w:fill="CDE9F6"/>
          </w:tcPr>
          <w:p>
            <w:pPr>
              <w:jc w:val="right"/>
              <w:spacing w:after="0"/>
              <w:rPr>
                <w:sz w:val="20"/>
                <w:szCs w:val="20"/>
                <w:color w:val="auto"/>
              </w:rPr>
            </w:pPr>
            <w:r>
              <w:rPr>
                <w:rFonts w:ascii="Times New Roman" w:cs="Times New Roman" w:eastAsia="Times New Roman" w:hAnsi="Times New Roman"/>
                <w:sz w:val="14"/>
                <w:szCs w:val="14"/>
                <w:color w:val="auto"/>
              </w:rPr>
              <w:t>6,037,415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2100" w:type="dxa"/>
            <w:vAlign w:val="bottom"/>
            <w:shd w:val="clear" w:color="auto" w:fill="CDE9F6"/>
          </w:tcPr>
          <w:p>
            <w:pPr>
              <w:ind w:left="140"/>
              <w:spacing w:after="0"/>
              <w:rPr>
                <w:sz w:val="20"/>
                <w:szCs w:val="20"/>
                <w:color w:val="auto"/>
              </w:rPr>
            </w:pPr>
            <w:r>
              <w:rPr>
                <w:rFonts w:ascii="Times New Roman" w:cs="Times New Roman" w:eastAsia="Times New Roman" w:hAnsi="Times New Roman"/>
                <w:sz w:val="14"/>
                <w:szCs w:val="14"/>
                <w:i w:val="1"/>
                <w:iCs w:val="1"/>
                <w:color w:val="auto"/>
              </w:rPr>
              <w:t>Chief Operating Officer</w:t>
            </w:r>
          </w:p>
        </w:tc>
        <w:tc>
          <w:tcPr>
            <w:tcW w:w="80" w:type="dxa"/>
            <w:vAlign w:val="bottom"/>
            <w:shd w:val="clear" w:color="auto" w:fill="CDE9F6"/>
          </w:tcPr>
          <w:p>
            <w:pPr>
              <w:spacing w:after="0"/>
              <w:rPr>
                <w:sz w:val="23"/>
                <w:szCs w:val="23"/>
                <w:color w:val="auto"/>
              </w:rPr>
            </w:pPr>
          </w:p>
        </w:tc>
        <w:tc>
          <w:tcPr>
            <w:tcW w:w="540" w:type="dxa"/>
            <w:vAlign w:val="bottom"/>
            <w:shd w:val="clear" w:color="auto" w:fill="CDE9F6"/>
          </w:tcPr>
          <w:p>
            <w:pPr>
              <w:ind w:left="120"/>
              <w:spacing w:after="0"/>
              <w:rPr>
                <w:sz w:val="20"/>
                <w:szCs w:val="20"/>
                <w:color w:val="auto"/>
              </w:rPr>
            </w:pPr>
            <w:r>
              <w:rPr>
                <w:rFonts w:ascii="Times New Roman" w:cs="Times New Roman" w:eastAsia="Times New Roman" w:hAnsi="Times New Roman"/>
                <w:sz w:val="14"/>
                <w:szCs w:val="14"/>
                <w:color w:val="auto"/>
              </w:rPr>
              <w:t>2024</w:t>
            </w:r>
          </w:p>
        </w:tc>
        <w:tc>
          <w:tcPr>
            <w:tcW w:w="80" w:type="dxa"/>
            <w:vAlign w:val="bottom"/>
            <w:shd w:val="clear" w:color="auto" w:fill="CDE9F6"/>
          </w:tcPr>
          <w:p>
            <w:pPr>
              <w:spacing w:after="0"/>
              <w:rPr>
                <w:sz w:val="23"/>
                <w:szCs w:val="23"/>
                <w:color w:val="auto"/>
              </w:rPr>
            </w:pPr>
          </w:p>
        </w:tc>
        <w:tc>
          <w:tcPr>
            <w:tcW w:w="780" w:type="dxa"/>
            <w:vAlign w:val="bottom"/>
            <w:gridSpan w:val="2"/>
            <w:shd w:val="clear" w:color="auto" w:fill="CDE9F6"/>
          </w:tcPr>
          <w:p>
            <w:pPr>
              <w:jc w:val="right"/>
              <w:ind w:right="100"/>
              <w:spacing w:after="0"/>
              <w:rPr>
                <w:sz w:val="20"/>
                <w:szCs w:val="20"/>
                <w:color w:val="auto"/>
              </w:rPr>
            </w:pPr>
            <w:r>
              <w:rPr>
                <w:rFonts w:ascii="Times New Roman" w:cs="Times New Roman" w:eastAsia="Times New Roman" w:hAnsi="Times New Roman"/>
                <w:sz w:val="14"/>
                <w:szCs w:val="14"/>
                <w:color w:val="auto"/>
              </w:rPr>
              <w:t>503,000</w:t>
            </w:r>
          </w:p>
        </w:tc>
        <w:tc>
          <w:tcPr>
            <w:tcW w:w="760" w:type="dxa"/>
            <w:vAlign w:val="bottom"/>
            <w:gridSpan w:val="2"/>
            <w:shd w:val="clear" w:color="auto" w:fill="CDE9F6"/>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DE9F6"/>
          </w:tcPr>
          <w:p>
            <w:pPr>
              <w:jc w:val="right"/>
              <w:ind w:right="100"/>
              <w:spacing w:after="0"/>
              <w:rPr>
                <w:sz w:val="20"/>
                <w:szCs w:val="20"/>
                <w:color w:val="auto"/>
              </w:rPr>
            </w:pPr>
            <w:r>
              <w:rPr>
                <w:rFonts w:ascii="Times New Roman" w:cs="Times New Roman" w:eastAsia="Times New Roman" w:hAnsi="Times New Roman"/>
                <w:sz w:val="14"/>
                <w:szCs w:val="14"/>
                <w:color w:val="auto"/>
              </w:rPr>
              <w:t>4,785,851</w:t>
            </w:r>
          </w:p>
        </w:tc>
        <w:tc>
          <w:tcPr>
            <w:tcW w:w="960" w:type="dxa"/>
            <w:vAlign w:val="bottom"/>
            <w:gridSpan w:val="2"/>
            <w:shd w:val="clear" w:color="auto" w:fill="CDE9F6"/>
          </w:tcPr>
          <w:p>
            <w:pPr>
              <w:jc w:val="right"/>
              <w:ind w:right="100"/>
              <w:spacing w:after="0"/>
              <w:rPr>
                <w:sz w:val="20"/>
                <w:szCs w:val="20"/>
                <w:color w:val="auto"/>
              </w:rPr>
            </w:pPr>
            <w:r>
              <w:rPr>
                <w:rFonts w:ascii="Times New Roman" w:cs="Times New Roman" w:eastAsia="Times New Roman" w:hAnsi="Times New Roman"/>
                <w:sz w:val="14"/>
                <w:szCs w:val="14"/>
                <w:color w:val="auto"/>
              </w:rPr>
              <w:t>356,367</w:t>
            </w:r>
          </w:p>
        </w:tc>
        <w:tc>
          <w:tcPr>
            <w:tcW w:w="940" w:type="dxa"/>
            <w:vAlign w:val="bottom"/>
            <w:gridSpan w:val="2"/>
            <w:shd w:val="clear" w:color="auto" w:fill="CDE9F6"/>
          </w:tcPr>
          <w:p>
            <w:pPr>
              <w:jc w:val="right"/>
              <w:ind w:right="80"/>
              <w:spacing w:after="0"/>
              <w:rPr>
                <w:sz w:val="20"/>
                <w:szCs w:val="20"/>
                <w:color w:val="auto"/>
              </w:rPr>
            </w:pPr>
            <w:r>
              <w:rPr>
                <w:rFonts w:ascii="Times New Roman" w:cs="Times New Roman" w:eastAsia="Times New Roman" w:hAnsi="Times New Roman"/>
                <w:sz w:val="14"/>
                <w:szCs w:val="14"/>
                <w:color w:val="auto"/>
              </w:rPr>
              <w:t>6,900</w:t>
            </w:r>
          </w:p>
        </w:tc>
        <w:tc>
          <w:tcPr>
            <w:tcW w:w="800" w:type="dxa"/>
            <w:vAlign w:val="bottom"/>
            <w:shd w:val="clear" w:color="auto" w:fill="CDE9F6"/>
          </w:tcPr>
          <w:p>
            <w:pPr>
              <w:jc w:val="right"/>
              <w:spacing w:after="0"/>
              <w:rPr>
                <w:sz w:val="20"/>
                <w:szCs w:val="20"/>
                <w:color w:val="auto"/>
              </w:rPr>
            </w:pPr>
            <w:r>
              <w:rPr>
                <w:rFonts w:ascii="Times New Roman" w:cs="Times New Roman" w:eastAsia="Times New Roman" w:hAnsi="Times New Roman"/>
                <w:sz w:val="14"/>
                <w:szCs w:val="14"/>
                <w:color w:val="auto"/>
              </w:rPr>
              <w:t>5,652,118</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2100" w:type="dxa"/>
            <w:vAlign w:val="bottom"/>
            <w:tcBorders>
              <w:bottom w:val="single" w:sz="8" w:color="CDE9F6"/>
            </w:tcBorders>
            <w:shd w:val="clear" w:color="auto" w:fill="CDE9F6"/>
          </w:tcPr>
          <w:p>
            <w:pPr>
              <w:spacing w:after="0"/>
              <w:rPr>
                <w:sz w:val="24"/>
                <w:szCs w:val="24"/>
                <w:color w:val="auto"/>
              </w:rPr>
            </w:pPr>
          </w:p>
        </w:tc>
        <w:tc>
          <w:tcPr>
            <w:tcW w:w="80" w:type="dxa"/>
            <w:vAlign w:val="bottom"/>
            <w:tcBorders>
              <w:bottom w:val="single" w:sz="8" w:color="CDE9F6"/>
            </w:tcBorders>
            <w:shd w:val="clear" w:color="auto" w:fill="CDE9F6"/>
          </w:tcPr>
          <w:p>
            <w:pPr>
              <w:spacing w:after="0"/>
              <w:rPr>
                <w:sz w:val="24"/>
                <w:szCs w:val="24"/>
                <w:color w:val="auto"/>
              </w:rPr>
            </w:pPr>
          </w:p>
        </w:tc>
        <w:tc>
          <w:tcPr>
            <w:tcW w:w="540" w:type="dxa"/>
            <w:vAlign w:val="bottom"/>
            <w:tcBorders>
              <w:bottom w:val="single" w:sz="8" w:color="CDE9F6"/>
            </w:tcBorders>
            <w:shd w:val="clear" w:color="auto" w:fill="CDE9F6"/>
          </w:tcPr>
          <w:p>
            <w:pPr>
              <w:ind w:left="120"/>
              <w:spacing w:after="0"/>
              <w:rPr>
                <w:sz w:val="20"/>
                <w:szCs w:val="20"/>
                <w:color w:val="auto"/>
              </w:rPr>
            </w:pPr>
            <w:r>
              <w:rPr>
                <w:rFonts w:ascii="Times New Roman" w:cs="Times New Roman" w:eastAsia="Times New Roman" w:hAnsi="Times New Roman"/>
                <w:sz w:val="14"/>
                <w:szCs w:val="14"/>
                <w:color w:val="auto"/>
              </w:rPr>
              <w:t>2023</w:t>
            </w:r>
          </w:p>
        </w:tc>
        <w:tc>
          <w:tcPr>
            <w:tcW w:w="80" w:type="dxa"/>
            <w:vAlign w:val="bottom"/>
            <w:tcBorders>
              <w:bottom w:val="single" w:sz="8" w:color="CDE9F6"/>
            </w:tcBorders>
            <w:shd w:val="clear" w:color="auto" w:fill="CDE9F6"/>
          </w:tcPr>
          <w:p>
            <w:pPr>
              <w:spacing w:after="0"/>
              <w:rPr>
                <w:sz w:val="24"/>
                <w:szCs w:val="24"/>
                <w:color w:val="auto"/>
              </w:rPr>
            </w:pPr>
          </w:p>
        </w:tc>
        <w:tc>
          <w:tcPr>
            <w:tcW w:w="780" w:type="dxa"/>
            <w:vAlign w:val="bottom"/>
            <w:tcBorders>
              <w:bottom w:val="single" w:sz="8" w:color="CDE9F6"/>
            </w:tcBorders>
            <w:gridSpan w:val="2"/>
            <w:shd w:val="clear" w:color="auto" w:fill="CDE9F6"/>
          </w:tcPr>
          <w:p>
            <w:pPr>
              <w:jc w:val="right"/>
              <w:ind w:right="100"/>
              <w:spacing w:after="0"/>
              <w:rPr>
                <w:sz w:val="20"/>
                <w:szCs w:val="20"/>
                <w:color w:val="auto"/>
              </w:rPr>
            </w:pPr>
            <w:r>
              <w:rPr>
                <w:rFonts w:ascii="Times New Roman" w:cs="Times New Roman" w:eastAsia="Times New Roman" w:hAnsi="Times New Roman"/>
                <w:sz w:val="14"/>
                <w:szCs w:val="14"/>
                <w:color w:val="auto"/>
              </w:rPr>
              <w:t>482,000</w:t>
            </w:r>
          </w:p>
        </w:tc>
        <w:tc>
          <w:tcPr>
            <w:tcW w:w="760" w:type="dxa"/>
            <w:vAlign w:val="bottom"/>
            <w:tcBorders>
              <w:bottom w:val="single" w:sz="8" w:color="CDE9F6"/>
            </w:tcBorders>
            <w:gridSpan w:val="2"/>
            <w:shd w:val="clear" w:color="auto" w:fill="CDE9F6"/>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CDE9F6"/>
            </w:tcBorders>
            <w:gridSpan w:val="2"/>
            <w:shd w:val="clear" w:color="auto" w:fill="CDE9F6"/>
          </w:tcPr>
          <w:p>
            <w:pPr>
              <w:jc w:val="right"/>
              <w:ind w:right="100"/>
              <w:spacing w:after="0"/>
              <w:rPr>
                <w:sz w:val="20"/>
                <w:szCs w:val="20"/>
                <w:color w:val="auto"/>
              </w:rPr>
            </w:pPr>
            <w:r>
              <w:rPr>
                <w:rFonts w:ascii="Times New Roman" w:cs="Times New Roman" w:eastAsia="Times New Roman" w:hAnsi="Times New Roman"/>
                <w:sz w:val="14"/>
                <w:szCs w:val="14"/>
                <w:color w:val="auto"/>
              </w:rPr>
              <w:t>3,874,320</w:t>
            </w:r>
          </w:p>
        </w:tc>
        <w:tc>
          <w:tcPr>
            <w:tcW w:w="960" w:type="dxa"/>
            <w:vAlign w:val="bottom"/>
            <w:tcBorders>
              <w:bottom w:val="single" w:sz="8" w:color="CDE9F6"/>
            </w:tcBorders>
            <w:gridSpan w:val="2"/>
            <w:shd w:val="clear" w:color="auto" w:fill="CDE9F6"/>
          </w:tcPr>
          <w:p>
            <w:pPr>
              <w:jc w:val="right"/>
              <w:ind w:right="100"/>
              <w:spacing w:after="0"/>
              <w:rPr>
                <w:sz w:val="20"/>
                <w:szCs w:val="20"/>
                <w:color w:val="auto"/>
              </w:rPr>
            </w:pPr>
            <w:r>
              <w:rPr>
                <w:rFonts w:ascii="Times New Roman" w:cs="Times New Roman" w:eastAsia="Times New Roman" w:hAnsi="Times New Roman"/>
                <w:sz w:val="14"/>
                <w:szCs w:val="14"/>
                <w:color w:val="auto"/>
              </w:rPr>
              <w:t>298,317</w:t>
            </w:r>
          </w:p>
        </w:tc>
        <w:tc>
          <w:tcPr>
            <w:tcW w:w="940" w:type="dxa"/>
            <w:vAlign w:val="bottom"/>
            <w:tcBorders>
              <w:bottom w:val="single" w:sz="8" w:color="CDE9F6"/>
            </w:tcBorders>
            <w:gridSpan w:val="2"/>
            <w:shd w:val="clear" w:color="auto" w:fill="CDE9F6"/>
          </w:tcPr>
          <w:p>
            <w:pPr>
              <w:jc w:val="right"/>
              <w:ind w:right="80"/>
              <w:spacing w:after="0"/>
              <w:rPr>
                <w:sz w:val="20"/>
                <w:szCs w:val="20"/>
                <w:color w:val="auto"/>
              </w:rPr>
            </w:pPr>
            <w:r>
              <w:rPr>
                <w:rFonts w:ascii="Times New Roman" w:cs="Times New Roman" w:eastAsia="Times New Roman" w:hAnsi="Times New Roman"/>
                <w:sz w:val="14"/>
                <w:szCs w:val="14"/>
                <w:color w:val="auto"/>
              </w:rPr>
              <w:t>6,600</w:t>
            </w:r>
          </w:p>
        </w:tc>
        <w:tc>
          <w:tcPr>
            <w:tcW w:w="800" w:type="dxa"/>
            <w:vAlign w:val="bottom"/>
            <w:tcBorders>
              <w:bottom w:val="single" w:sz="8" w:color="CDE9F6"/>
            </w:tcBorders>
            <w:shd w:val="clear" w:color="auto" w:fill="CDE9F6"/>
          </w:tcPr>
          <w:p>
            <w:pPr>
              <w:jc w:val="right"/>
              <w:spacing w:after="0"/>
              <w:rPr>
                <w:sz w:val="20"/>
                <w:szCs w:val="20"/>
                <w:color w:val="auto"/>
              </w:rPr>
            </w:pPr>
            <w:r>
              <w:rPr>
                <w:rFonts w:ascii="Times New Roman" w:cs="Times New Roman" w:eastAsia="Times New Roman" w:hAnsi="Times New Roman"/>
                <w:sz w:val="14"/>
                <w:szCs w:val="14"/>
                <w:color w:val="auto"/>
              </w:rPr>
              <w:t>4,661,237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21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________________________</w:t>
            </w: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ind w:left="920" w:right="599" w:hanging="346"/>
        <w:spacing w:after="0" w:line="261" w:lineRule="auto"/>
        <w:tabs>
          <w:tab w:leader="none" w:pos="905"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amounts shown represent the aggregate grant date fair value of equity awards granted in the years shown, computed in accordance with Financial Accounting Standards Board Accounting Standards Codification Topic 718 (“FASB ASC Topic 718”). The assumptions used in the valuation of these awards are set forth in note 13 to our consolidated financial statements, which are included in our Annual Report on Form 10-K for the year ended December 31, 2025, filed with the SEC on February 25, 2026. The PSUs granted in 2023, 2024, and 2025 are considered to have a “market condition” for accounting purposes and are therefore valued using a Monte Carlo simulation. For the PSUs, the amount reported is based on the probable outcome of the applicable performance condition at the time of grant. The grant date fair value of these awards is determined for financial statement reporting purposes and does not correspond to the actual value that the NEOs will receive from the awards.</w:t>
      </w:r>
    </w:p>
    <w:p>
      <w:pPr>
        <w:spacing w:after="0" w:line="33" w:lineRule="exact"/>
        <w:rPr>
          <w:rFonts w:ascii="Times New Roman" w:cs="Times New Roman" w:eastAsia="Times New Roman" w:hAnsi="Times New Roman"/>
          <w:sz w:val="17"/>
          <w:szCs w:val="17"/>
          <w:color w:val="auto"/>
        </w:rPr>
      </w:pPr>
    </w:p>
    <w:p>
      <w:pPr>
        <w:ind w:left="920" w:right="719" w:hanging="346"/>
        <w:spacing w:after="0" w:line="271" w:lineRule="auto"/>
        <w:tabs>
          <w:tab w:leader="none" w:pos="905"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See “</w:t>
      </w:r>
      <w:r>
        <w:rPr>
          <w:rFonts w:ascii="Times New Roman" w:cs="Times New Roman" w:eastAsia="Times New Roman" w:hAnsi="Times New Roman"/>
          <w:sz w:val="17"/>
          <w:szCs w:val="17"/>
          <w:i w:val="1"/>
          <w:iCs w:val="1"/>
          <w:color w:val="auto"/>
        </w:rPr>
        <w:t>— Grants of Plan-Based Awards in 2025 Table</w:t>
      </w:r>
      <w:r>
        <w:rPr>
          <w:rFonts w:ascii="Times New Roman" w:cs="Times New Roman" w:eastAsia="Times New Roman" w:hAnsi="Times New Roman"/>
          <w:sz w:val="17"/>
          <w:szCs w:val="17"/>
          <w:color w:val="auto"/>
        </w:rPr>
        <w:t>” under the column “Estimated Future Payouts Under Non-Equity Incentive Plan Awards” for the amounts NEOs were eligible to earn in 2025. See also “</w:t>
      </w:r>
      <w:r>
        <w:rPr>
          <w:rFonts w:ascii="Times New Roman" w:cs="Times New Roman" w:eastAsia="Times New Roman" w:hAnsi="Times New Roman"/>
          <w:sz w:val="17"/>
          <w:szCs w:val="17"/>
          <w:i w:val="1"/>
          <w:iCs w:val="1"/>
          <w:color w:val="auto"/>
        </w:rPr>
        <w:t>Executive Compensation — Compensation Discussion and Analysis — 2025 Compensation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Decisions — Variable Pay</w:t>
      </w:r>
      <w:r>
        <w:rPr>
          <w:rFonts w:ascii="Times New Roman" w:cs="Times New Roman" w:eastAsia="Times New Roman" w:hAnsi="Times New Roman"/>
          <w:sz w:val="17"/>
          <w:szCs w:val="17"/>
          <w:color w:val="auto"/>
        </w:rPr>
        <w:t>” above for a discussion regarding our Bonus Program.</w:t>
      </w:r>
    </w:p>
    <w:p>
      <w:pPr>
        <w:spacing w:after="0" w:line="22" w:lineRule="exact"/>
        <w:rPr>
          <w:rFonts w:ascii="Times New Roman" w:cs="Times New Roman" w:eastAsia="Times New Roman" w:hAnsi="Times New Roman"/>
          <w:sz w:val="17"/>
          <w:szCs w:val="17"/>
          <w:color w:val="auto"/>
        </w:rPr>
      </w:pPr>
    </w:p>
    <w:p>
      <w:pPr>
        <w:ind w:left="920" w:right="1259" w:hanging="346"/>
        <w:spacing w:after="0" w:line="289" w:lineRule="auto"/>
        <w:tabs>
          <w:tab w:leader="none" w:pos="905"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amounts shown for Messrs. Jensen and Whittle and Ms. Ohlgart represent company matching contributions to Fortinet’s 401(k) plan, a tax-qualified defined contribution plan.</w:t>
      </w:r>
    </w:p>
    <w:p>
      <w:pPr>
        <w:ind w:left="900" w:hanging="326"/>
        <w:spacing w:after="0"/>
        <w:tabs>
          <w:tab w:leader="none" w:pos="90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Ms. Ohlgart was appointed as our Chief Financial Officer in May 2025.</w:t>
      </w:r>
    </w:p>
    <w:p>
      <w:pPr>
        <w:spacing w:after="0" w:line="79" w:lineRule="exact"/>
        <w:rPr>
          <w:rFonts w:ascii="Times New Roman" w:cs="Times New Roman" w:eastAsia="Times New Roman" w:hAnsi="Times New Roman"/>
          <w:sz w:val="17"/>
          <w:szCs w:val="17"/>
          <w:color w:val="auto"/>
        </w:rPr>
      </w:pPr>
    </w:p>
    <w:p>
      <w:pPr>
        <w:ind w:left="920" w:right="699" w:hanging="346"/>
        <w:spacing w:after="0" w:line="264" w:lineRule="auto"/>
        <w:tabs>
          <w:tab w:leader="none" w:pos="905"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of May 15, 2025, upon his retirement, Mr. Jensen resigned from his role as our Chief Financial Officer and was no longer considered an executive officer of Fortinet. Mr. Jensen began serving as a member of Fortinet’s Strategic Advisory Council on August 5, 2025 and remains a member. The amount for</w:t>
      </w:r>
    </w:p>
    <w:p>
      <w:pPr>
        <w:spacing w:after="0" w:line="1" w:lineRule="exact"/>
        <w:rPr>
          <w:rFonts w:ascii="Times New Roman" w:cs="Times New Roman" w:eastAsia="Times New Roman" w:hAnsi="Times New Roman"/>
          <w:sz w:val="17"/>
          <w:szCs w:val="17"/>
          <w:color w:val="auto"/>
        </w:rPr>
      </w:pPr>
    </w:p>
    <w:p>
      <w:pPr>
        <w:ind w:left="920" w:right="899"/>
        <w:spacing w:after="0" w:line="274"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Mr. Jensen for fiscal 2025 under the “All Other Compensation” column includes his compensation as a member of Fortinet’s Strategic Advisory Council.</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0" w:name="page51"/>
    <w:bookmarkEnd w:id="50"/>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Grants of Plan-Based Awards in 2025 Table</w:t>
      </w:r>
    </w:p>
    <w:p>
      <w:pPr>
        <w:spacing w:after="0" w:line="147" w:lineRule="exact"/>
        <w:rPr>
          <w:sz w:val="20"/>
          <w:szCs w:val="20"/>
          <w:color w:val="auto"/>
        </w:rPr>
      </w:pPr>
    </w:p>
    <w:p>
      <w:pPr>
        <w:ind w:left="580" w:right="960" w:firstLine="349"/>
        <w:spacing w:after="0" w:line="296" w:lineRule="auto"/>
        <w:rPr>
          <w:sz w:val="20"/>
          <w:szCs w:val="20"/>
          <w:color w:val="auto"/>
        </w:rPr>
      </w:pPr>
      <w:r>
        <w:rPr>
          <w:rFonts w:ascii="Times New Roman" w:cs="Times New Roman" w:eastAsia="Times New Roman" w:hAnsi="Times New Roman"/>
          <w:sz w:val="17"/>
          <w:szCs w:val="17"/>
          <w:color w:val="auto"/>
        </w:rPr>
        <w:t>The following table presents information concerning each grant of an award made to the NEOs in 2025 under any plan.</w:t>
      </w:r>
    </w:p>
    <w:p>
      <w:pPr>
        <w:spacing w:after="0" w:line="187"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Grant Date</w:t>
            </w:r>
          </w:p>
        </w:tc>
        <w:tc>
          <w:tcPr>
            <w:tcW w:w="0" w:type="dxa"/>
            <w:vAlign w:val="bottom"/>
          </w:tcPr>
          <w:p>
            <w:pPr>
              <w:spacing w:after="0"/>
              <w:rPr>
                <w:sz w:val="1"/>
                <w:szCs w:val="1"/>
                <w:color w:val="auto"/>
              </w:rPr>
            </w:pPr>
          </w:p>
        </w:tc>
      </w:tr>
      <w:tr>
        <w:trPr>
          <w:trHeight w:val="144"/>
        </w:trPr>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960" w:type="dxa"/>
            <w:vAlign w:val="bottom"/>
            <w:gridSpan w:val="18"/>
          </w:tcPr>
          <w:p>
            <w:pPr>
              <w:ind w:left="60"/>
              <w:spacing w:after="0" w:line="144" w:lineRule="exact"/>
              <w:rPr>
                <w:sz w:val="20"/>
                <w:szCs w:val="20"/>
                <w:color w:val="auto"/>
              </w:rPr>
            </w:pPr>
            <w:r>
              <w:rPr>
                <w:rFonts w:ascii="Times New Roman" w:cs="Times New Roman" w:eastAsia="Times New Roman" w:hAnsi="Times New Roman"/>
                <w:sz w:val="10"/>
                <w:szCs w:val="10"/>
                <w:b w:val="1"/>
                <w:bCs w:val="1"/>
                <w:color w:val="auto"/>
              </w:rPr>
              <w:t xml:space="preserve">Estimated Future Payouts Under Estimated Future Payouts Under </w:t>
            </w:r>
            <w:r>
              <w:rPr>
                <w:rFonts w:ascii="Times New Roman" w:cs="Times New Roman" w:eastAsia="Times New Roman" w:hAnsi="Times New Roman"/>
                <w:sz w:val="16"/>
                <w:szCs w:val="16"/>
                <w:b w:val="1"/>
                <w:bCs w:val="1"/>
                <w:color w:val="auto"/>
                <w:vertAlign w:val="subscript"/>
              </w:rPr>
              <w:t>Stock Awards:</w:t>
            </w:r>
          </w:p>
        </w:tc>
        <w:tc>
          <w:tcPr>
            <w:tcW w:w="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3"/>
        </w:trPr>
        <w:tc>
          <w:tcPr>
            <w:tcW w:w="90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1980" w:type="dxa"/>
            <w:vAlign w:val="bottom"/>
            <w:gridSpan w:val="8"/>
          </w:tcPr>
          <w:p>
            <w:pPr>
              <w:jc w:val="center"/>
              <w:ind w:right="40"/>
              <w:spacing w:after="0" w:line="63" w:lineRule="exact"/>
              <w:rPr>
                <w:sz w:val="20"/>
                <w:szCs w:val="20"/>
                <w:color w:val="auto"/>
              </w:rPr>
            </w:pPr>
            <w:r>
              <w:rPr>
                <w:rFonts w:ascii="Times New Roman" w:cs="Times New Roman" w:eastAsia="Times New Roman" w:hAnsi="Times New Roman"/>
                <w:sz w:val="7"/>
                <w:szCs w:val="7"/>
                <w:b w:val="1"/>
                <w:bCs w:val="1"/>
                <w:color w:val="auto"/>
              </w:rPr>
              <w:t>Equity Incentive Plan</w:t>
            </w:r>
          </w:p>
        </w:tc>
        <w:tc>
          <w:tcPr>
            <w:tcW w:w="2000" w:type="dxa"/>
            <w:vAlign w:val="bottom"/>
            <w:gridSpan w:val="7"/>
          </w:tcPr>
          <w:p>
            <w:pPr>
              <w:jc w:val="center"/>
              <w:ind w:right="40"/>
              <w:spacing w:after="0" w:line="63" w:lineRule="exact"/>
              <w:rPr>
                <w:sz w:val="20"/>
                <w:szCs w:val="20"/>
                <w:color w:val="auto"/>
              </w:rPr>
            </w:pPr>
            <w:r>
              <w:rPr>
                <w:rFonts w:ascii="Times New Roman" w:cs="Times New Roman" w:eastAsia="Times New Roman" w:hAnsi="Times New Roman"/>
                <w:sz w:val="7"/>
                <w:szCs w:val="7"/>
                <w:b w:val="1"/>
                <w:bCs w:val="1"/>
                <w:color w:val="auto"/>
              </w:rPr>
              <w:t>Non-Equity Incentive Plan</w:t>
            </w:r>
          </w:p>
        </w:tc>
        <w:tc>
          <w:tcPr>
            <w:tcW w:w="920" w:type="dxa"/>
            <w:vAlign w:val="bottom"/>
            <w:gridSpan w:val="2"/>
            <w:vMerge w:val="restart"/>
          </w:tcPr>
          <w:p>
            <w:pPr>
              <w:jc w:val="center"/>
              <w:ind w:right="60"/>
              <w:spacing w:after="0" w:line="144"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780" w:type="dxa"/>
            <w:vAlign w:val="bottom"/>
            <w:vMerge w:val="restart"/>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w w:val="96"/>
              </w:rPr>
              <w:t>Fair Value</w:t>
            </w:r>
          </w:p>
        </w:tc>
        <w:tc>
          <w:tcPr>
            <w:tcW w:w="0" w:type="dxa"/>
            <w:vAlign w:val="bottom"/>
          </w:tcPr>
          <w:p>
            <w:pPr>
              <w:spacing w:after="0"/>
              <w:rPr>
                <w:sz w:val="1"/>
                <w:szCs w:val="1"/>
                <w:color w:val="auto"/>
              </w:rPr>
            </w:pPr>
          </w:p>
        </w:tc>
      </w:tr>
      <w:tr>
        <w:trPr>
          <w:trHeight w:val="81"/>
        </w:trPr>
        <w:tc>
          <w:tcPr>
            <w:tcW w:w="90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4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w w:val="94"/>
              </w:rPr>
              <w:t>Awards</w:t>
            </w:r>
          </w:p>
        </w:tc>
        <w:tc>
          <w:tcPr>
            <w:tcW w:w="140" w:type="dxa"/>
            <w:vAlign w:val="bottom"/>
            <w:gridSpan w:val="2"/>
          </w:tcPr>
          <w:p>
            <w:pPr>
              <w:jc w:val="right"/>
              <w:ind w:right="20"/>
              <w:spacing w:after="0" w:line="82" w:lineRule="exact"/>
              <w:rPr>
                <w:sz w:val="20"/>
                <w:szCs w:val="20"/>
                <w:color w:val="auto"/>
              </w:rPr>
            </w:pPr>
            <w:r>
              <w:rPr>
                <w:rFonts w:ascii="Times New Roman" w:cs="Times New Roman" w:eastAsia="Times New Roman" w:hAnsi="Times New Roman"/>
                <w:sz w:val="9"/>
                <w:szCs w:val="9"/>
                <w:b w:val="1"/>
                <w:bCs w:val="1"/>
                <w:color w:val="auto"/>
                <w:w w:val="94"/>
              </w:rPr>
              <w:t>(1)</w:t>
            </w: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640" w:type="dxa"/>
            <w:vAlign w:val="bottom"/>
            <w:gridSpan w:val="3"/>
          </w:tcPr>
          <w:p>
            <w:pPr>
              <w:jc w:val="right"/>
              <w:ind w:right="40"/>
              <w:spacing w:after="0" w:line="82" w:lineRule="exact"/>
              <w:rPr>
                <w:sz w:val="20"/>
                <w:szCs w:val="20"/>
                <w:color w:val="auto"/>
              </w:rPr>
            </w:pPr>
            <w:r>
              <w:rPr>
                <w:rFonts w:ascii="Times New Roman" w:cs="Times New Roman" w:eastAsia="Times New Roman" w:hAnsi="Times New Roman"/>
                <w:sz w:val="9"/>
                <w:szCs w:val="9"/>
                <w:b w:val="1"/>
                <w:bCs w:val="1"/>
                <w:color w:val="auto"/>
              </w:rPr>
              <w:t>(2)</w:t>
            </w: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0"/>
        </w:trPr>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gridSpan w:val="2"/>
            <w:vMerge w:val="continue"/>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gridSpan w:val="3"/>
          </w:tcPr>
          <w:p>
            <w:pPr>
              <w:jc w:val="right"/>
              <w:ind w:right="160"/>
              <w:spacing w:after="0" w:line="144"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64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gridSpan w:val="2"/>
          </w:tcPr>
          <w:p>
            <w:pPr>
              <w:jc w:val="center"/>
              <w:ind w:right="60"/>
              <w:spacing w:after="0" w:line="144" w:lineRule="exact"/>
              <w:rPr>
                <w:sz w:val="20"/>
                <w:szCs w:val="20"/>
                <w:color w:val="auto"/>
              </w:rPr>
            </w:pPr>
            <w:r>
              <w:rPr>
                <w:rFonts w:ascii="Times New Roman" w:cs="Times New Roman" w:eastAsia="Times New Roman" w:hAnsi="Times New Roman"/>
                <w:sz w:val="14"/>
                <w:szCs w:val="14"/>
                <w:b w:val="1"/>
                <w:bCs w:val="1"/>
                <w:color w:val="auto"/>
                <w:w w:val="97"/>
              </w:rPr>
              <w:t>Shares of</w:t>
            </w:r>
          </w:p>
        </w:tc>
        <w:tc>
          <w:tcPr>
            <w:tcW w:w="78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rPr>
              <w:t>of Stock</w:t>
            </w:r>
          </w:p>
        </w:tc>
        <w:tc>
          <w:tcPr>
            <w:tcW w:w="0" w:type="dxa"/>
            <w:vAlign w:val="bottom"/>
          </w:tcPr>
          <w:p>
            <w:pPr>
              <w:spacing w:after="0"/>
              <w:rPr>
                <w:sz w:val="1"/>
                <w:szCs w:val="1"/>
                <w:color w:val="auto"/>
              </w:rPr>
            </w:pPr>
          </w:p>
        </w:tc>
      </w:tr>
      <w:tr>
        <w:trPr>
          <w:trHeight w:val="118"/>
        </w:trPr>
        <w:tc>
          <w:tcPr>
            <w:tcW w:w="9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60" w:type="dxa"/>
            <w:vAlign w:val="bottom"/>
          </w:tcPr>
          <w:p>
            <w:pPr>
              <w:spacing w:after="0"/>
              <w:rPr>
                <w:sz w:val="10"/>
                <w:szCs w:val="10"/>
                <w:color w:val="auto"/>
              </w:rPr>
            </w:pPr>
          </w:p>
        </w:tc>
        <w:tc>
          <w:tcPr>
            <w:tcW w:w="4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Type of</w:t>
            </w:r>
          </w:p>
        </w:tc>
        <w:tc>
          <w:tcPr>
            <w:tcW w:w="40" w:type="dxa"/>
            <w:vAlign w:val="bottom"/>
          </w:tcPr>
          <w:p>
            <w:pPr>
              <w:spacing w:after="0"/>
              <w:rPr>
                <w:sz w:val="10"/>
                <w:szCs w:val="10"/>
                <w:color w:val="auto"/>
              </w:rPr>
            </w:pPr>
          </w:p>
        </w:tc>
        <w:tc>
          <w:tcPr>
            <w:tcW w:w="6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Grant</w:t>
            </w:r>
          </w:p>
        </w:tc>
        <w:tc>
          <w:tcPr>
            <w:tcW w:w="40" w:type="dxa"/>
            <w:vAlign w:val="bottom"/>
          </w:tcPr>
          <w:p>
            <w:pPr>
              <w:spacing w:after="0"/>
              <w:rPr>
                <w:sz w:val="10"/>
                <w:szCs w:val="10"/>
                <w:color w:val="auto"/>
              </w:rPr>
            </w:pPr>
          </w:p>
        </w:tc>
        <w:tc>
          <w:tcPr>
            <w:tcW w:w="6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Approval</w:t>
            </w:r>
          </w:p>
        </w:tc>
        <w:tc>
          <w:tcPr>
            <w:tcW w:w="60" w:type="dxa"/>
            <w:vAlign w:val="bottom"/>
          </w:tcPr>
          <w:p>
            <w:pPr>
              <w:spacing w:after="0"/>
              <w:rPr>
                <w:sz w:val="10"/>
                <w:szCs w:val="10"/>
                <w:color w:val="auto"/>
              </w:rPr>
            </w:pPr>
          </w:p>
        </w:tc>
        <w:tc>
          <w:tcPr>
            <w:tcW w:w="660" w:type="dxa"/>
            <w:vAlign w:val="bottom"/>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Threshold</w:t>
            </w:r>
          </w:p>
        </w:tc>
        <w:tc>
          <w:tcPr>
            <w:tcW w:w="80" w:type="dxa"/>
            <w:vAlign w:val="bottom"/>
          </w:tcPr>
          <w:p>
            <w:pPr>
              <w:spacing w:after="0"/>
              <w:rPr>
                <w:sz w:val="10"/>
                <w:szCs w:val="10"/>
                <w:color w:val="auto"/>
              </w:rPr>
            </w:pPr>
          </w:p>
        </w:tc>
        <w:tc>
          <w:tcPr>
            <w:tcW w:w="540" w:type="dxa"/>
            <w:vAlign w:val="bottom"/>
            <w:gridSpan w:val="3"/>
          </w:tcPr>
          <w:p>
            <w:pPr>
              <w:jc w:val="center"/>
              <w:ind w:right="100"/>
              <w:spacing w:after="0" w:line="118" w:lineRule="exact"/>
              <w:rPr>
                <w:sz w:val="20"/>
                <w:szCs w:val="20"/>
                <w:color w:val="auto"/>
              </w:rPr>
            </w:pPr>
            <w:r>
              <w:rPr>
                <w:rFonts w:ascii="Times New Roman" w:cs="Times New Roman" w:eastAsia="Times New Roman" w:hAnsi="Times New Roman"/>
                <w:sz w:val="13"/>
                <w:szCs w:val="13"/>
                <w:b w:val="1"/>
                <w:bCs w:val="1"/>
                <w:color w:val="auto"/>
              </w:rPr>
              <w:t>Target</w:t>
            </w:r>
          </w:p>
        </w:tc>
        <w:tc>
          <w:tcPr>
            <w:tcW w:w="66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Maximum</w:t>
            </w:r>
          </w:p>
        </w:tc>
        <w:tc>
          <w:tcPr>
            <w:tcW w:w="40" w:type="dxa"/>
            <w:vAlign w:val="bottom"/>
          </w:tcPr>
          <w:p>
            <w:pPr>
              <w:spacing w:after="0"/>
              <w:rPr>
                <w:sz w:val="10"/>
                <w:szCs w:val="10"/>
                <w:color w:val="auto"/>
              </w:rPr>
            </w:pPr>
          </w:p>
        </w:tc>
        <w:tc>
          <w:tcPr>
            <w:tcW w:w="660" w:type="dxa"/>
            <w:vAlign w:val="bottom"/>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Threshold</w:t>
            </w:r>
          </w:p>
        </w:tc>
        <w:tc>
          <w:tcPr>
            <w:tcW w:w="60" w:type="dxa"/>
            <w:vAlign w:val="bottom"/>
          </w:tcPr>
          <w:p>
            <w:pPr>
              <w:spacing w:after="0"/>
              <w:rPr>
                <w:sz w:val="10"/>
                <w:szCs w:val="10"/>
                <w:color w:val="auto"/>
              </w:rPr>
            </w:pPr>
          </w:p>
        </w:tc>
        <w:tc>
          <w:tcPr>
            <w:tcW w:w="580" w:type="dxa"/>
            <w:vAlign w:val="bottom"/>
            <w:gridSpan w:val="2"/>
          </w:tcPr>
          <w:p>
            <w:pPr>
              <w:jc w:val="center"/>
              <w:ind w:right="80"/>
              <w:spacing w:after="0" w:line="118" w:lineRule="exact"/>
              <w:rPr>
                <w:sz w:val="20"/>
                <w:szCs w:val="20"/>
                <w:color w:val="auto"/>
              </w:rPr>
            </w:pPr>
            <w:r>
              <w:rPr>
                <w:rFonts w:ascii="Times New Roman" w:cs="Times New Roman" w:eastAsia="Times New Roman" w:hAnsi="Times New Roman"/>
                <w:sz w:val="13"/>
                <w:szCs w:val="13"/>
                <w:b w:val="1"/>
                <w:bCs w:val="1"/>
                <w:color w:val="auto"/>
              </w:rPr>
              <w:t>Target</w:t>
            </w:r>
          </w:p>
        </w:tc>
        <w:tc>
          <w:tcPr>
            <w:tcW w:w="6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Maximum</w:t>
            </w:r>
          </w:p>
        </w:tc>
        <w:tc>
          <w:tcPr>
            <w:tcW w:w="60" w:type="dxa"/>
            <w:vAlign w:val="bottom"/>
          </w:tcPr>
          <w:p>
            <w:pPr>
              <w:spacing w:after="0"/>
              <w:rPr>
                <w:sz w:val="10"/>
                <w:szCs w:val="10"/>
                <w:color w:val="auto"/>
              </w:rPr>
            </w:pPr>
          </w:p>
        </w:tc>
        <w:tc>
          <w:tcPr>
            <w:tcW w:w="920" w:type="dxa"/>
            <w:vAlign w:val="bottom"/>
            <w:gridSpan w:val="2"/>
          </w:tcPr>
          <w:p>
            <w:pPr>
              <w:jc w:val="center"/>
              <w:ind w:right="60"/>
              <w:spacing w:after="0" w:line="118" w:lineRule="exact"/>
              <w:rPr>
                <w:sz w:val="20"/>
                <w:szCs w:val="20"/>
                <w:color w:val="auto"/>
              </w:rPr>
            </w:pPr>
            <w:r>
              <w:rPr>
                <w:rFonts w:ascii="Times New Roman" w:cs="Times New Roman" w:eastAsia="Times New Roman" w:hAnsi="Times New Roman"/>
                <w:sz w:val="13"/>
                <w:szCs w:val="13"/>
                <w:b w:val="1"/>
                <w:bCs w:val="1"/>
                <w:color w:val="auto"/>
              </w:rPr>
              <w:t>Stock or</w:t>
            </w:r>
          </w:p>
        </w:tc>
        <w:tc>
          <w:tcPr>
            <w:tcW w:w="7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and Option</w:t>
            </w:r>
          </w:p>
        </w:tc>
        <w:tc>
          <w:tcPr>
            <w:tcW w:w="0" w:type="dxa"/>
            <w:vAlign w:val="bottom"/>
          </w:tcPr>
          <w:p>
            <w:pPr>
              <w:spacing w:after="0"/>
              <w:rPr>
                <w:sz w:val="1"/>
                <w:szCs w:val="1"/>
                <w:color w:val="auto"/>
              </w:rPr>
            </w:pPr>
          </w:p>
        </w:tc>
      </w:tr>
      <w:tr>
        <w:trPr>
          <w:trHeight w:val="210"/>
        </w:trPr>
        <w:tc>
          <w:tcPr>
            <w:tcW w:w="900" w:type="dxa"/>
            <w:vAlign w:val="bottom"/>
            <w:tcBorders>
              <w:bottom w:val="single" w:sz="8" w:color="auto"/>
            </w:tcBorders>
            <w:vMerge w:val="continue"/>
          </w:tcPr>
          <w:p>
            <w:pPr>
              <w:spacing w:after="0"/>
              <w:rPr>
                <w:sz w:val="18"/>
                <w:szCs w:val="18"/>
                <w:color w:val="auto"/>
              </w:rPr>
            </w:pPr>
          </w:p>
        </w:tc>
        <w:tc>
          <w:tcPr>
            <w:tcW w:w="60" w:type="dxa"/>
            <w:vAlign w:val="bottom"/>
            <w:tcBorders>
              <w:bottom w:val="single" w:sz="8" w:color="CDE9F6"/>
            </w:tcBorders>
          </w:tcPr>
          <w:p>
            <w:pPr>
              <w:spacing w:after="0"/>
              <w:rPr>
                <w:sz w:val="18"/>
                <w:szCs w:val="18"/>
                <w:color w:val="auto"/>
              </w:rPr>
            </w:pPr>
          </w:p>
        </w:tc>
        <w:tc>
          <w:tcPr>
            <w:tcW w:w="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Award</w:t>
            </w:r>
          </w:p>
        </w:tc>
        <w:tc>
          <w:tcPr>
            <w:tcW w:w="40" w:type="dxa"/>
            <w:vAlign w:val="bottom"/>
            <w:tcBorders>
              <w:bottom w:val="single" w:sz="8" w:color="CDE9F6"/>
            </w:tcBorders>
          </w:tcPr>
          <w:p>
            <w:pPr>
              <w:spacing w:after="0"/>
              <w:rPr>
                <w:sz w:val="18"/>
                <w:szCs w:val="18"/>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40" w:type="dxa"/>
            <w:vAlign w:val="bottom"/>
            <w:tcBorders>
              <w:bottom w:val="single" w:sz="8" w:color="CDE9F6"/>
            </w:tcBorders>
          </w:tcPr>
          <w:p>
            <w:pPr>
              <w:spacing w:after="0"/>
              <w:rPr>
                <w:sz w:val="18"/>
                <w:szCs w:val="18"/>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60" w:type="dxa"/>
            <w:vAlign w:val="bottom"/>
            <w:tcBorders>
              <w:bottom w:val="single" w:sz="8" w:color="CDE9F6"/>
            </w:tcBorders>
          </w:tcPr>
          <w:p>
            <w:pPr>
              <w:spacing w:after="0"/>
              <w:rPr>
                <w:sz w:val="18"/>
                <w:szCs w:val="18"/>
                <w:color w:val="auto"/>
              </w:rPr>
            </w:pPr>
          </w:p>
        </w:tc>
        <w:tc>
          <w:tcPr>
            <w:tcW w:w="6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Borders>
              <w:bottom w:val="single" w:sz="8" w:color="CDE9F6"/>
            </w:tcBorders>
          </w:tcPr>
          <w:p>
            <w:pPr>
              <w:spacing w:after="0"/>
              <w:rPr>
                <w:sz w:val="18"/>
                <w:szCs w:val="18"/>
                <w:color w:val="auto"/>
              </w:rPr>
            </w:pPr>
          </w:p>
        </w:tc>
        <w:tc>
          <w:tcPr>
            <w:tcW w:w="80" w:type="dxa"/>
            <w:vAlign w:val="bottom"/>
            <w:tcBorders>
              <w:bottom w:val="single" w:sz="8" w:color="CDE9F6"/>
            </w:tcBorders>
          </w:tcPr>
          <w:p>
            <w:pPr>
              <w:spacing w:after="0"/>
              <w:rPr>
                <w:sz w:val="18"/>
                <w:szCs w:val="18"/>
                <w:color w:val="auto"/>
              </w:rPr>
            </w:pPr>
          </w:p>
        </w:tc>
        <w:tc>
          <w:tcPr>
            <w:tcW w:w="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DE9F6"/>
            </w:tcBorders>
          </w:tcPr>
          <w:p>
            <w:pPr>
              <w:spacing w:after="0"/>
              <w:rPr>
                <w:sz w:val="18"/>
                <w:szCs w:val="18"/>
                <w:color w:val="auto"/>
              </w:rPr>
            </w:pPr>
          </w:p>
        </w:tc>
        <w:tc>
          <w:tcPr>
            <w:tcW w:w="6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Borders>
              <w:bottom w:val="single" w:sz="8" w:color="CDE9F6"/>
            </w:tcBorders>
          </w:tcPr>
          <w:p>
            <w:pPr>
              <w:spacing w:after="0"/>
              <w:rPr>
                <w:sz w:val="18"/>
                <w:szCs w:val="18"/>
                <w:color w:val="auto"/>
              </w:rPr>
            </w:pPr>
          </w:p>
        </w:tc>
        <w:tc>
          <w:tcPr>
            <w:tcW w:w="64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Borders>
              <w:bottom w:val="single" w:sz="8" w:color="CDE9F6"/>
            </w:tcBorders>
          </w:tcPr>
          <w:p>
            <w:pPr>
              <w:spacing w:after="0"/>
              <w:rPr>
                <w:sz w:val="18"/>
                <w:szCs w:val="18"/>
                <w:color w:val="auto"/>
              </w:rPr>
            </w:pPr>
          </w:p>
        </w:tc>
        <w:tc>
          <w:tcPr>
            <w:tcW w:w="60" w:type="dxa"/>
            <w:vAlign w:val="bottom"/>
            <w:tcBorders>
              <w:bottom w:val="single" w:sz="8" w:color="CDE9F6"/>
            </w:tcBorders>
          </w:tcPr>
          <w:p>
            <w:pPr>
              <w:spacing w:after="0"/>
              <w:rPr>
                <w:sz w:val="18"/>
                <w:szCs w:val="18"/>
                <w:color w:val="auto"/>
              </w:rPr>
            </w:pPr>
          </w:p>
        </w:tc>
        <w:tc>
          <w:tcPr>
            <w:tcW w:w="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CDE9F6"/>
            </w:tcBorders>
          </w:tcPr>
          <w:p>
            <w:pPr>
              <w:spacing w:after="0"/>
              <w:rPr>
                <w:sz w:val="18"/>
                <w:szCs w:val="18"/>
                <w:color w:val="auto"/>
              </w:rPr>
            </w:pPr>
          </w:p>
        </w:tc>
        <w:tc>
          <w:tcPr>
            <w:tcW w:w="6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Borders>
              <w:bottom w:val="single" w:sz="8" w:color="CDE9F6"/>
            </w:tcBorders>
          </w:tcPr>
          <w:p>
            <w:pPr>
              <w:spacing w:after="0"/>
              <w:rPr>
                <w:sz w:val="18"/>
                <w:szCs w:val="18"/>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Units (#)</w:t>
            </w:r>
          </w:p>
        </w:tc>
        <w:tc>
          <w:tcPr>
            <w:tcW w:w="60" w:type="dxa"/>
            <w:vAlign w:val="bottom"/>
            <w:tcBorders>
              <w:bottom w:val="single" w:sz="8" w:color="CDE9F6"/>
            </w:tcBorders>
          </w:tcPr>
          <w:p>
            <w:pPr>
              <w:spacing w:after="0"/>
              <w:rPr>
                <w:sz w:val="18"/>
                <w:szCs w:val="18"/>
                <w:color w:val="auto"/>
              </w:rPr>
            </w:pPr>
          </w:p>
        </w:tc>
        <w:tc>
          <w:tcPr>
            <w:tcW w:w="780" w:type="dxa"/>
            <w:vAlign w:val="bottom"/>
            <w:tcBorders>
              <w:bottom w:val="single" w:sz="8" w:color="auto"/>
            </w:tcBorders>
          </w:tcPr>
          <w:p>
            <w:pPr>
              <w:jc w:val="center"/>
              <w:spacing w:after="0" w:line="209" w:lineRule="exact"/>
              <w:rPr>
                <w:sz w:val="20"/>
                <w:szCs w:val="20"/>
                <w:color w:val="auto"/>
              </w:rPr>
            </w:pPr>
            <w:r>
              <w:rPr>
                <w:rFonts w:ascii="Times New Roman" w:cs="Times New Roman" w:eastAsia="Times New Roman" w:hAnsi="Times New Roman"/>
                <w:sz w:val="14"/>
                <w:szCs w:val="14"/>
                <w:b w:val="1"/>
                <w:bCs w:val="1"/>
                <w:color w:val="auto"/>
                <w:w w:val="95"/>
              </w:rPr>
              <w:t>Awards ($)</w:t>
            </w:r>
            <w:r>
              <w:rPr>
                <w:rFonts w:ascii="Times New Roman" w:cs="Times New Roman" w:eastAsia="Times New Roman" w:hAnsi="Times New Roman"/>
                <w:sz w:val="20"/>
                <w:szCs w:val="20"/>
                <w:b w:val="1"/>
                <w:bCs w:val="1"/>
                <w:color w:val="auto"/>
                <w:w w:val="95"/>
                <w:vertAlign w:val="superscript"/>
              </w:rPr>
              <w:t>(3)</w:t>
            </w:r>
          </w:p>
        </w:tc>
        <w:tc>
          <w:tcPr>
            <w:tcW w:w="0" w:type="dxa"/>
            <w:vAlign w:val="bottom"/>
          </w:tcPr>
          <w:p>
            <w:pPr>
              <w:spacing w:after="0"/>
              <w:rPr>
                <w:sz w:val="1"/>
                <w:szCs w:val="1"/>
                <w:color w:val="auto"/>
              </w:rPr>
            </w:pPr>
          </w:p>
        </w:tc>
      </w:tr>
      <w:tr>
        <w:trPr>
          <w:trHeight w:val="245"/>
        </w:trPr>
        <w:tc>
          <w:tcPr>
            <w:tcW w:w="900" w:type="dxa"/>
            <w:vAlign w:val="bottom"/>
            <w:shd w:val="clear" w:color="auto" w:fill="CDE9F6"/>
          </w:tcPr>
          <w:p>
            <w:pPr>
              <w:spacing w:after="0"/>
              <w:rPr>
                <w:sz w:val="20"/>
                <w:szCs w:val="20"/>
                <w:color w:val="auto"/>
              </w:rPr>
            </w:pPr>
            <w:r>
              <w:rPr>
                <w:rFonts w:ascii="Times New Roman" w:cs="Times New Roman" w:eastAsia="Times New Roman" w:hAnsi="Times New Roman"/>
                <w:sz w:val="14"/>
                <w:szCs w:val="14"/>
                <w:color w:val="auto"/>
              </w:rPr>
              <w:t>Ken Xie</w:t>
            </w:r>
          </w:p>
        </w:tc>
        <w:tc>
          <w:tcPr>
            <w:tcW w:w="60" w:type="dxa"/>
            <w:vAlign w:val="bottom"/>
            <w:shd w:val="clear" w:color="auto" w:fill="CDE9F6"/>
          </w:tcPr>
          <w:p>
            <w:pPr>
              <w:spacing w:after="0"/>
              <w:rPr>
                <w:sz w:val="21"/>
                <w:szCs w:val="21"/>
                <w:color w:val="auto"/>
              </w:rPr>
            </w:pPr>
          </w:p>
        </w:tc>
        <w:tc>
          <w:tcPr>
            <w:tcW w:w="440" w:type="dxa"/>
            <w:vAlign w:val="bottom"/>
            <w:shd w:val="clear" w:color="auto" w:fill="CDE9F6"/>
          </w:tcPr>
          <w:p>
            <w:pPr>
              <w:jc w:val="center"/>
              <w:spacing w:after="0"/>
              <w:rPr>
                <w:sz w:val="20"/>
                <w:szCs w:val="20"/>
                <w:color w:val="auto"/>
              </w:rPr>
            </w:pPr>
            <w:r>
              <w:rPr>
                <w:rFonts w:ascii="Times New Roman" w:cs="Times New Roman" w:eastAsia="Times New Roman" w:hAnsi="Times New Roman"/>
                <w:sz w:val="14"/>
                <w:szCs w:val="14"/>
                <w:color w:val="auto"/>
                <w:w w:val="99"/>
              </w:rPr>
              <w:t>Cash</w:t>
            </w:r>
          </w:p>
        </w:tc>
        <w:tc>
          <w:tcPr>
            <w:tcW w:w="40" w:type="dxa"/>
            <w:vAlign w:val="bottom"/>
            <w:shd w:val="clear" w:color="auto" w:fill="CDE9F6"/>
          </w:tcPr>
          <w:p>
            <w:pPr>
              <w:spacing w:after="0"/>
              <w:rPr>
                <w:sz w:val="21"/>
                <w:szCs w:val="21"/>
                <w:color w:val="auto"/>
              </w:rPr>
            </w:pPr>
          </w:p>
        </w:tc>
        <w:tc>
          <w:tcPr>
            <w:tcW w:w="660" w:type="dxa"/>
            <w:vAlign w:val="bottom"/>
            <w:shd w:val="clear" w:color="auto" w:fill="CDE9F6"/>
          </w:tcPr>
          <w:p>
            <w:pPr>
              <w:spacing w:after="0"/>
              <w:rPr>
                <w:sz w:val="21"/>
                <w:szCs w:val="21"/>
                <w:color w:val="auto"/>
              </w:rPr>
            </w:pPr>
          </w:p>
        </w:tc>
        <w:tc>
          <w:tcPr>
            <w:tcW w:w="40" w:type="dxa"/>
            <w:vAlign w:val="bottom"/>
            <w:shd w:val="clear" w:color="auto" w:fill="CDE9F6"/>
          </w:tcPr>
          <w:p>
            <w:pPr>
              <w:spacing w:after="0"/>
              <w:rPr>
                <w:sz w:val="21"/>
                <w:szCs w:val="21"/>
                <w:color w:val="auto"/>
              </w:rPr>
            </w:pPr>
          </w:p>
        </w:tc>
        <w:tc>
          <w:tcPr>
            <w:tcW w:w="640" w:type="dxa"/>
            <w:vAlign w:val="bottom"/>
            <w:shd w:val="clear" w:color="auto" w:fill="CDE9F6"/>
          </w:tcPr>
          <w:p>
            <w:pPr>
              <w:spacing w:after="0"/>
              <w:rPr>
                <w:sz w:val="21"/>
                <w:szCs w:val="21"/>
                <w:color w:val="auto"/>
              </w:rPr>
            </w:pPr>
          </w:p>
        </w:tc>
        <w:tc>
          <w:tcPr>
            <w:tcW w:w="60" w:type="dxa"/>
            <w:vAlign w:val="bottom"/>
            <w:shd w:val="clear" w:color="auto" w:fill="CDE9F6"/>
          </w:tcPr>
          <w:p>
            <w:pPr>
              <w:spacing w:after="0"/>
              <w:rPr>
                <w:sz w:val="21"/>
                <w:szCs w:val="21"/>
                <w:color w:val="auto"/>
              </w:rPr>
            </w:pPr>
          </w:p>
        </w:tc>
        <w:tc>
          <w:tcPr>
            <w:tcW w:w="660" w:type="dxa"/>
            <w:vAlign w:val="bottom"/>
            <w:gridSpan w:val="2"/>
            <w:shd w:val="clear" w:color="auto" w:fill="CDE9F6"/>
          </w:tcPr>
          <w:p>
            <w:pPr>
              <w:ind w:left="500"/>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shd w:val="clear" w:color="auto" w:fill="CDE9F6"/>
          </w:tcPr>
          <w:p>
            <w:pPr>
              <w:spacing w:after="0"/>
              <w:rPr>
                <w:sz w:val="21"/>
                <w:szCs w:val="21"/>
                <w:color w:val="auto"/>
              </w:rPr>
            </w:pPr>
          </w:p>
        </w:tc>
        <w:tc>
          <w:tcPr>
            <w:tcW w:w="540" w:type="dxa"/>
            <w:vAlign w:val="bottom"/>
            <w:gridSpan w:val="3"/>
            <w:shd w:val="clear" w:color="auto" w:fill="CDE9F6"/>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DE9F6"/>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DE9F6"/>
          </w:tcPr>
          <w:p>
            <w:pPr>
              <w:jc w:val="right"/>
              <w:ind w:right="20"/>
              <w:spacing w:after="0"/>
              <w:rPr>
                <w:sz w:val="20"/>
                <w:szCs w:val="20"/>
                <w:color w:val="auto"/>
              </w:rPr>
            </w:pPr>
            <w:r>
              <w:rPr>
                <w:rFonts w:ascii="Times New Roman" w:cs="Times New Roman" w:eastAsia="Times New Roman" w:hAnsi="Times New Roman"/>
                <w:sz w:val="14"/>
                <w:szCs w:val="14"/>
                <w:color w:val="auto"/>
              </w:rPr>
              <w:t>17,194</w:t>
            </w:r>
          </w:p>
        </w:tc>
        <w:tc>
          <w:tcPr>
            <w:tcW w:w="640" w:type="dxa"/>
            <w:vAlign w:val="bottom"/>
            <w:gridSpan w:val="3"/>
            <w:shd w:val="clear" w:color="auto" w:fill="CDE9F6"/>
          </w:tcPr>
          <w:p>
            <w:pPr>
              <w:jc w:val="right"/>
              <w:ind w:right="80"/>
              <w:spacing w:after="0"/>
              <w:rPr>
                <w:sz w:val="20"/>
                <w:szCs w:val="20"/>
                <w:color w:val="auto"/>
              </w:rPr>
            </w:pPr>
            <w:r>
              <w:rPr>
                <w:rFonts w:ascii="Times New Roman" w:cs="Times New Roman" w:eastAsia="Times New Roman" w:hAnsi="Times New Roman"/>
                <w:sz w:val="14"/>
                <w:szCs w:val="14"/>
                <w:color w:val="auto"/>
              </w:rPr>
              <w:t>716,400</w:t>
            </w:r>
          </w:p>
        </w:tc>
        <w:tc>
          <w:tcPr>
            <w:tcW w:w="700" w:type="dxa"/>
            <w:vAlign w:val="bottom"/>
            <w:gridSpan w:val="2"/>
            <w:shd w:val="clear" w:color="auto" w:fill="CDE9F6"/>
          </w:tcPr>
          <w:p>
            <w:pPr>
              <w:jc w:val="right"/>
              <w:ind w:right="60"/>
              <w:spacing w:after="0"/>
              <w:rPr>
                <w:sz w:val="20"/>
                <w:szCs w:val="20"/>
                <w:color w:val="auto"/>
              </w:rPr>
            </w:pPr>
            <w:r>
              <w:rPr>
                <w:rFonts w:ascii="Times New Roman" w:cs="Times New Roman" w:eastAsia="Times New Roman" w:hAnsi="Times New Roman"/>
                <w:sz w:val="14"/>
                <w:szCs w:val="14"/>
                <w:color w:val="auto"/>
              </w:rPr>
              <w:t>1,002,960</w:t>
            </w:r>
          </w:p>
        </w:tc>
        <w:tc>
          <w:tcPr>
            <w:tcW w:w="920" w:type="dxa"/>
            <w:vAlign w:val="bottom"/>
            <w:gridSpan w:val="2"/>
            <w:shd w:val="clear" w:color="auto" w:fill="CDE9F6"/>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DE9F6"/>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5"/>
        </w:trPr>
        <w:tc>
          <w:tcPr>
            <w:tcW w:w="900" w:type="dxa"/>
            <w:vAlign w:val="bottom"/>
            <w:shd w:val="clear" w:color="auto" w:fill="CDE9F6"/>
          </w:tcPr>
          <w:p>
            <w:pPr>
              <w:spacing w:after="0"/>
              <w:rPr>
                <w:sz w:val="23"/>
                <w:szCs w:val="23"/>
                <w:color w:val="auto"/>
              </w:rPr>
            </w:pPr>
          </w:p>
        </w:tc>
        <w:tc>
          <w:tcPr>
            <w:tcW w:w="60" w:type="dxa"/>
            <w:vAlign w:val="bottom"/>
            <w:shd w:val="clear" w:color="auto" w:fill="CDE9F6"/>
          </w:tcPr>
          <w:p>
            <w:pPr>
              <w:spacing w:after="0"/>
              <w:rPr>
                <w:sz w:val="23"/>
                <w:szCs w:val="23"/>
                <w:color w:val="auto"/>
              </w:rPr>
            </w:pPr>
          </w:p>
        </w:tc>
        <w:tc>
          <w:tcPr>
            <w:tcW w:w="440" w:type="dxa"/>
            <w:vAlign w:val="bottom"/>
            <w:shd w:val="clear" w:color="auto" w:fill="CDE9F6"/>
          </w:tcPr>
          <w:p>
            <w:pPr>
              <w:jc w:val="center"/>
              <w:spacing w:after="0"/>
              <w:rPr>
                <w:sz w:val="20"/>
                <w:szCs w:val="20"/>
                <w:color w:val="auto"/>
              </w:rPr>
            </w:pPr>
            <w:r>
              <w:rPr>
                <w:rFonts w:ascii="Times New Roman" w:cs="Times New Roman" w:eastAsia="Times New Roman" w:hAnsi="Times New Roman"/>
                <w:sz w:val="14"/>
                <w:szCs w:val="14"/>
                <w:color w:val="auto"/>
                <w:w w:val="95"/>
              </w:rPr>
              <w:t>RSU</w:t>
            </w:r>
          </w:p>
        </w:tc>
        <w:tc>
          <w:tcPr>
            <w:tcW w:w="700" w:type="dxa"/>
            <w:vAlign w:val="bottom"/>
            <w:gridSpan w:val="2"/>
            <w:shd w:val="clear" w:color="auto" w:fill="CDE9F6"/>
          </w:tcPr>
          <w:p>
            <w:pPr>
              <w:jc w:val="center"/>
              <w:spacing w:after="0"/>
              <w:rPr>
                <w:sz w:val="20"/>
                <w:szCs w:val="20"/>
                <w:color w:val="auto"/>
              </w:rPr>
            </w:pPr>
            <w:r>
              <w:rPr>
                <w:rFonts w:ascii="Times New Roman" w:cs="Times New Roman" w:eastAsia="Times New Roman" w:hAnsi="Times New Roman"/>
                <w:sz w:val="14"/>
                <w:szCs w:val="14"/>
                <w:color w:val="auto"/>
              </w:rPr>
              <w:t>2/21/2025</w:t>
            </w:r>
          </w:p>
        </w:tc>
        <w:tc>
          <w:tcPr>
            <w:tcW w:w="680" w:type="dxa"/>
            <w:vAlign w:val="bottom"/>
            <w:gridSpan w:val="2"/>
            <w:shd w:val="clear" w:color="auto" w:fill="CDE9F6"/>
          </w:tcPr>
          <w:p>
            <w:pPr>
              <w:jc w:val="center"/>
              <w:spacing w:after="0"/>
              <w:rPr>
                <w:sz w:val="20"/>
                <w:szCs w:val="20"/>
                <w:color w:val="auto"/>
              </w:rPr>
            </w:pPr>
            <w:r>
              <w:rPr>
                <w:rFonts w:ascii="Times New Roman" w:cs="Times New Roman" w:eastAsia="Times New Roman" w:hAnsi="Times New Roman"/>
                <w:sz w:val="14"/>
                <w:szCs w:val="14"/>
                <w:color w:val="auto"/>
                <w:w w:val="98"/>
              </w:rPr>
              <w:t>1/17/2025</w:t>
            </w:r>
          </w:p>
        </w:tc>
        <w:tc>
          <w:tcPr>
            <w:tcW w:w="60" w:type="dxa"/>
            <w:vAlign w:val="bottom"/>
            <w:shd w:val="clear" w:color="auto" w:fill="CDE9F6"/>
          </w:tcPr>
          <w:p>
            <w:pPr>
              <w:spacing w:after="0"/>
              <w:rPr>
                <w:sz w:val="23"/>
                <w:szCs w:val="23"/>
                <w:color w:val="auto"/>
              </w:rPr>
            </w:pPr>
          </w:p>
        </w:tc>
        <w:tc>
          <w:tcPr>
            <w:tcW w:w="660" w:type="dxa"/>
            <w:vAlign w:val="bottom"/>
            <w:gridSpan w:val="2"/>
            <w:shd w:val="clear" w:color="auto" w:fill="CDE9F6"/>
          </w:tcPr>
          <w:p>
            <w:pPr>
              <w:ind w:left="500"/>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shd w:val="clear" w:color="auto" w:fill="CDE9F6"/>
          </w:tcPr>
          <w:p>
            <w:pPr>
              <w:spacing w:after="0"/>
              <w:rPr>
                <w:sz w:val="23"/>
                <w:szCs w:val="23"/>
                <w:color w:val="auto"/>
              </w:rPr>
            </w:pPr>
          </w:p>
        </w:tc>
        <w:tc>
          <w:tcPr>
            <w:tcW w:w="540" w:type="dxa"/>
            <w:vAlign w:val="bottom"/>
            <w:gridSpan w:val="3"/>
            <w:shd w:val="clear" w:color="auto" w:fill="CDE9F6"/>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DE9F6"/>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DE9F6"/>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DE9F6"/>
          </w:tcPr>
          <w:p>
            <w:pPr>
              <w:spacing w:after="0"/>
              <w:rPr>
                <w:sz w:val="23"/>
                <w:szCs w:val="23"/>
                <w:color w:val="auto"/>
              </w:rPr>
            </w:pPr>
          </w:p>
        </w:tc>
        <w:tc>
          <w:tcPr>
            <w:tcW w:w="580" w:type="dxa"/>
            <w:vAlign w:val="bottom"/>
            <w:gridSpan w:val="2"/>
            <w:shd w:val="clear" w:color="auto" w:fill="CDE9F6"/>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DE9F6"/>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DE9F6"/>
          </w:tcPr>
          <w:p>
            <w:pPr>
              <w:jc w:val="right"/>
              <w:ind w:right="60"/>
              <w:spacing w:after="0"/>
              <w:rPr>
                <w:sz w:val="20"/>
                <w:szCs w:val="20"/>
                <w:color w:val="auto"/>
              </w:rPr>
            </w:pPr>
            <w:r>
              <w:rPr>
                <w:rFonts w:ascii="Times New Roman" w:cs="Times New Roman" w:eastAsia="Times New Roman" w:hAnsi="Times New Roman"/>
                <w:sz w:val="14"/>
                <w:szCs w:val="14"/>
                <w:color w:val="auto"/>
              </w:rPr>
              <w:t>36,405</w:t>
            </w:r>
          </w:p>
        </w:tc>
        <w:tc>
          <w:tcPr>
            <w:tcW w:w="780" w:type="dxa"/>
            <w:vAlign w:val="bottom"/>
            <w:shd w:val="clear" w:color="auto" w:fill="CDE9F6"/>
          </w:tcPr>
          <w:p>
            <w:pPr>
              <w:jc w:val="right"/>
              <w:spacing w:after="0"/>
              <w:rPr>
                <w:sz w:val="20"/>
                <w:szCs w:val="20"/>
                <w:color w:val="auto"/>
              </w:rPr>
            </w:pPr>
            <w:r>
              <w:rPr>
                <w:rFonts w:ascii="Times New Roman" w:cs="Times New Roman" w:eastAsia="Times New Roman" w:hAnsi="Times New Roman"/>
                <w:sz w:val="14"/>
                <w:szCs w:val="14"/>
                <w:color w:val="auto"/>
              </w:rPr>
              <w:t>4,005,278</w:t>
            </w:r>
          </w:p>
        </w:tc>
        <w:tc>
          <w:tcPr>
            <w:tcW w:w="0" w:type="dxa"/>
            <w:vAlign w:val="bottom"/>
          </w:tcPr>
          <w:p>
            <w:pPr>
              <w:spacing w:after="0"/>
              <w:rPr>
                <w:sz w:val="1"/>
                <w:szCs w:val="1"/>
                <w:color w:val="auto"/>
              </w:rPr>
            </w:pPr>
          </w:p>
        </w:tc>
      </w:tr>
      <w:tr>
        <w:trPr>
          <w:trHeight w:val="279"/>
        </w:trPr>
        <w:tc>
          <w:tcPr>
            <w:tcW w:w="900" w:type="dxa"/>
            <w:vAlign w:val="bottom"/>
            <w:tcBorders>
              <w:bottom w:val="single" w:sz="8" w:color="CDE9F6"/>
            </w:tcBorders>
            <w:shd w:val="clear" w:color="auto" w:fill="CDE9F6"/>
          </w:tcPr>
          <w:p>
            <w:pPr>
              <w:spacing w:after="0"/>
              <w:rPr>
                <w:sz w:val="24"/>
                <w:szCs w:val="24"/>
                <w:color w:val="auto"/>
              </w:rPr>
            </w:pPr>
          </w:p>
        </w:tc>
        <w:tc>
          <w:tcPr>
            <w:tcW w:w="60" w:type="dxa"/>
            <w:vAlign w:val="bottom"/>
            <w:tcBorders>
              <w:bottom w:val="single" w:sz="8" w:color="CDE9F6"/>
            </w:tcBorders>
            <w:shd w:val="clear" w:color="auto" w:fill="CDE9F6"/>
          </w:tcPr>
          <w:p>
            <w:pPr>
              <w:spacing w:after="0"/>
              <w:rPr>
                <w:sz w:val="24"/>
                <w:szCs w:val="24"/>
                <w:color w:val="auto"/>
              </w:rPr>
            </w:pPr>
          </w:p>
        </w:tc>
        <w:tc>
          <w:tcPr>
            <w:tcW w:w="440" w:type="dxa"/>
            <w:vAlign w:val="bottom"/>
            <w:tcBorders>
              <w:bottom w:val="single" w:sz="8" w:color="CDE9F6"/>
            </w:tcBorders>
            <w:shd w:val="clear" w:color="auto" w:fill="CDE9F6"/>
          </w:tcPr>
          <w:p>
            <w:pPr>
              <w:jc w:val="center"/>
              <w:spacing w:after="0"/>
              <w:rPr>
                <w:sz w:val="20"/>
                <w:szCs w:val="20"/>
                <w:color w:val="auto"/>
              </w:rPr>
            </w:pPr>
            <w:r>
              <w:rPr>
                <w:rFonts w:ascii="Times New Roman" w:cs="Times New Roman" w:eastAsia="Times New Roman" w:hAnsi="Times New Roman"/>
                <w:sz w:val="14"/>
                <w:szCs w:val="14"/>
                <w:color w:val="auto"/>
              </w:rPr>
              <w:t>PSU</w:t>
            </w:r>
          </w:p>
        </w:tc>
        <w:tc>
          <w:tcPr>
            <w:tcW w:w="700" w:type="dxa"/>
            <w:vAlign w:val="bottom"/>
            <w:tcBorders>
              <w:bottom w:val="single" w:sz="8" w:color="CDE9F6"/>
            </w:tcBorders>
            <w:gridSpan w:val="2"/>
            <w:shd w:val="clear" w:color="auto" w:fill="CDE9F6"/>
          </w:tcPr>
          <w:p>
            <w:pPr>
              <w:jc w:val="center"/>
              <w:spacing w:after="0"/>
              <w:rPr>
                <w:sz w:val="20"/>
                <w:szCs w:val="20"/>
                <w:color w:val="auto"/>
              </w:rPr>
            </w:pPr>
            <w:r>
              <w:rPr>
                <w:rFonts w:ascii="Times New Roman" w:cs="Times New Roman" w:eastAsia="Times New Roman" w:hAnsi="Times New Roman"/>
                <w:sz w:val="14"/>
                <w:szCs w:val="14"/>
                <w:color w:val="auto"/>
              </w:rPr>
              <w:t>2/21/2025</w:t>
            </w:r>
          </w:p>
        </w:tc>
        <w:tc>
          <w:tcPr>
            <w:tcW w:w="680" w:type="dxa"/>
            <w:vAlign w:val="bottom"/>
            <w:tcBorders>
              <w:bottom w:val="single" w:sz="8" w:color="CDE9F6"/>
            </w:tcBorders>
            <w:gridSpan w:val="2"/>
            <w:shd w:val="clear" w:color="auto" w:fill="CDE9F6"/>
          </w:tcPr>
          <w:p>
            <w:pPr>
              <w:jc w:val="center"/>
              <w:spacing w:after="0"/>
              <w:rPr>
                <w:sz w:val="20"/>
                <w:szCs w:val="20"/>
                <w:color w:val="auto"/>
              </w:rPr>
            </w:pPr>
            <w:r>
              <w:rPr>
                <w:rFonts w:ascii="Times New Roman" w:cs="Times New Roman" w:eastAsia="Times New Roman" w:hAnsi="Times New Roman"/>
                <w:sz w:val="14"/>
                <w:szCs w:val="14"/>
                <w:color w:val="auto"/>
                <w:w w:val="98"/>
              </w:rPr>
              <w:t>1/17/2025</w:t>
            </w:r>
          </w:p>
        </w:tc>
        <w:tc>
          <w:tcPr>
            <w:tcW w:w="60" w:type="dxa"/>
            <w:vAlign w:val="bottom"/>
            <w:tcBorders>
              <w:bottom w:val="single" w:sz="8" w:color="CDE9F6"/>
            </w:tcBorders>
            <w:shd w:val="clear" w:color="auto" w:fill="CDE9F6"/>
          </w:tcPr>
          <w:p>
            <w:pPr>
              <w:spacing w:after="0"/>
              <w:rPr>
                <w:sz w:val="24"/>
                <w:szCs w:val="24"/>
                <w:color w:val="auto"/>
              </w:rPr>
            </w:pPr>
          </w:p>
        </w:tc>
        <w:tc>
          <w:tcPr>
            <w:tcW w:w="660" w:type="dxa"/>
            <w:vAlign w:val="bottom"/>
            <w:tcBorders>
              <w:bottom w:val="single" w:sz="8" w:color="CDE9F6"/>
            </w:tcBorders>
            <w:gridSpan w:val="2"/>
            <w:shd w:val="clear" w:color="auto" w:fill="CDE9F6"/>
          </w:tcPr>
          <w:p>
            <w:pPr>
              <w:ind w:left="500"/>
              <w:spacing w:after="0"/>
              <w:rPr>
                <w:sz w:val="20"/>
                <w:szCs w:val="20"/>
                <w:color w:val="auto"/>
              </w:rPr>
            </w:pPr>
            <w:r>
              <w:rPr>
                <w:rFonts w:ascii="Times New Roman" w:cs="Times New Roman" w:eastAsia="Times New Roman" w:hAnsi="Times New Roman"/>
                <w:sz w:val="14"/>
                <w:szCs w:val="14"/>
                <w:color w:val="auto"/>
                <w:w w:val="99"/>
              </w:rPr>
              <w:t>—</w:t>
            </w:r>
          </w:p>
        </w:tc>
        <w:tc>
          <w:tcPr>
            <w:tcW w:w="620" w:type="dxa"/>
            <w:vAlign w:val="bottom"/>
            <w:tcBorders>
              <w:bottom w:val="single" w:sz="8" w:color="CDE9F6"/>
            </w:tcBorders>
            <w:gridSpan w:val="4"/>
            <w:shd w:val="clear" w:color="auto" w:fill="CDE9F6"/>
          </w:tcPr>
          <w:p>
            <w:pPr>
              <w:jc w:val="right"/>
              <w:ind w:right="100"/>
              <w:spacing w:after="0"/>
              <w:rPr>
                <w:sz w:val="20"/>
                <w:szCs w:val="20"/>
                <w:color w:val="auto"/>
              </w:rPr>
            </w:pPr>
            <w:r>
              <w:rPr>
                <w:rFonts w:ascii="Times New Roman" w:cs="Times New Roman" w:eastAsia="Times New Roman" w:hAnsi="Times New Roman"/>
                <w:sz w:val="14"/>
                <w:szCs w:val="14"/>
                <w:color w:val="auto"/>
              </w:rPr>
              <w:t>36,405</w:t>
            </w:r>
          </w:p>
        </w:tc>
        <w:tc>
          <w:tcPr>
            <w:tcW w:w="700" w:type="dxa"/>
            <w:vAlign w:val="bottom"/>
            <w:tcBorders>
              <w:bottom w:val="single" w:sz="8" w:color="CDE9F6"/>
            </w:tcBorders>
            <w:gridSpan w:val="2"/>
            <w:shd w:val="clear" w:color="auto" w:fill="CDE9F6"/>
          </w:tcPr>
          <w:p>
            <w:pPr>
              <w:jc w:val="right"/>
              <w:ind w:right="40"/>
              <w:spacing w:after="0"/>
              <w:rPr>
                <w:sz w:val="20"/>
                <w:szCs w:val="20"/>
                <w:color w:val="auto"/>
              </w:rPr>
            </w:pPr>
            <w:r>
              <w:rPr>
                <w:rFonts w:ascii="Times New Roman" w:cs="Times New Roman" w:eastAsia="Times New Roman" w:hAnsi="Times New Roman"/>
                <w:sz w:val="14"/>
                <w:szCs w:val="14"/>
                <w:color w:val="auto"/>
              </w:rPr>
              <w:t>72,810</w:t>
            </w:r>
          </w:p>
        </w:tc>
        <w:tc>
          <w:tcPr>
            <w:tcW w:w="660" w:type="dxa"/>
            <w:vAlign w:val="bottom"/>
            <w:tcBorders>
              <w:bottom w:val="single" w:sz="8" w:color="CDE9F6"/>
            </w:tcBorders>
            <w:gridSpan w:val="2"/>
            <w:shd w:val="clear" w:color="auto" w:fill="CDE9F6"/>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DE9F6"/>
            </w:tcBorders>
            <w:shd w:val="clear" w:color="auto" w:fill="CDE9F6"/>
          </w:tcPr>
          <w:p>
            <w:pPr>
              <w:spacing w:after="0"/>
              <w:rPr>
                <w:sz w:val="24"/>
                <w:szCs w:val="24"/>
                <w:color w:val="auto"/>
              </w:rPr>
            </w:pPr>
          </w:p>
        </w:tc>
        <w:tc>
          <w:tcPr>
            <w:tcW w:w="580" w:type="dxa"/>
            <w:vAlign w:val="bottom"/>
            <w:tcBorders>
              <w:bottom w:val="single" w:sz="8" w:color="CDE9F6"/>
            </w:tcBorders>
            <w:gridSpan w:val="2"/>
            <w:shd w:val="clear" w:color="auto" w:fill="CDE9F6"/>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DE9F6"/>
            </w:tcBorders>
            <w:gridSpan w:val="2"/>
            <w:shd w:val="clear" w:color="auto" w:fill="CDE9F6"/>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CDE9F6"/>
            </w:tcBorders>
            <w:gridSpan w:val="2"/>
            <w:shd w:val="clear" w:color="auto" w:fill="CDE9F6"/>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CDE9F6"/>
            </w:tcBorders>
            <w:shd w:val="clear" w:color="auto" w:fill="CDE9F6"/>
          </w:tcPr>
          <w:p>
            <w:pPr>
              <w:jc w:val="right"/>
              <w:spacing w:after="0"/>
              <w:rPr>
                <w:sz w:val="20"/>
                <w:szCs w:val="20"/>
                <w:color w:val="auto"/>
              </w:rPr>
            </w:pPr>
            <w:r>
              <w:rPr>
                <w:rFonts w:ascii="Times New Roman" w:cs="Times New Roman" w:eastAsia="Times New Roman" w:hAnsi="Times New Roman"/>
                <w:sz w:val="14"/>
                <w:szCs w:val="14"/>
                <w:color w:val="auto"/>
              </w:rPr>
              <w:t>6,149,824</w:t>
            </w:r>
          </w:p>
        </w:tc>
        <w:tc>
          <w:tcPr>
            <w:tcW w:w="0" w:type="dxa"/>
            <w:vAlign w:val="bottom"/>
          </w:tcPr>
          <w:p>
            <w:pPr>
              <w:spacing w:after="0"/>
              <w:rPr>
                <w:sz w:val="1"/>
                <w:szCs w:val="1"/>
                <w:color w:val="auto"/>
              </w:rPr>
            </w:pPr>
          </w:p>
        </w:tc>
      </w:tr>
      <w:tr>
        <w:trPr>
          <w:trHeight w:val="252"/>
        </w:trPr>
        <w:tc>
          <w:tcPr>
            <w:tcW w:w="900" w:type="dxa"/>
            <w:vAlign w:val="bottom"/>
          </w:tcPr>
          <w:p>
            <w:pPr>
              <w:spacing w:after="0"/>
              <w:rPr>
                <w:sz w:val="20"/>
                <w:szCs w:val="20"/>
                <w:color w:val="auto"/>
              </w:rPr>
            </w:pPr>
            <w:r>
              <w:rPr>
                <w:rFonts w:ascii="Times New Roman" w:cs="Times New Roman" w:eastAsia="Times New Roman" w:hAnsi="Times New Roman"/>
                <w:sz w:val="14"/>
                <w:szCs w:val="14"/>
                <w:color w:val="auto"/>
              </w:rPr>
              <w:t>Michael Xie</w:t>
            </w:r>
          </w:p>
        </w:tc>
        <w:tc>
          <w:tcPr>
            <w:tcW w:w="60" w:type="dxa"/>
            <w:vAlign w:val="bottom"/>
          </w:tcPr>
          <w:p>
            <w:pPr>
              <w:spacing w:after="0"/>
              <w:rPr>
                <w:sz w:val="21"/>
                <w:szCs w:val="21"/>
                <w:color w:val="auto"/>
              </w:rPr>
            </w:pPr>
          </w:p>
        </w:tc>
        <w:tc>
          <w:tcPr>
            <w:tcW w:w="4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Cash</w:t>
            </w:r>
          </w:p>
        </w:tc>
        <w:tc>
          <w:tcPr>
            <w:tcW w:w="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6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tcPr>
          <w:p>
            <w:pPr>
              <w:spacing w:after="0"/>
              <w:rPr>
                <w:sz w:val="21"/>
                <w:szCs w:val="21"/>
                <w:color w:val="auto"/>
              </w:rPr>
            </w:pPr>
          </w:p>
        </w:tc>
        <w:tc>
          <w:tcPr>
            <w:tcW w:w="54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8,010</w:t>
            </w:r>
          </w:p>
        </w:tc>
        <w:tc>
          <w:tcPr>
            <w:tcW w:w="64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333,750</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467,250</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5"/>
        </w:trPr>
        <w:tc>
          <w:tcPr>
            <w:tcW w:w="9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RSU</w:t>
            </w:r>
          </w:p>
        </w:tc>
        <w:tc>
          <w:tcPr>
            <w:tcW w:w="70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2/21/2025</w:t>
            </w: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8"/>
              </w:rPr>
              <w:t>1/17/2025</w:t>
            </w:r>
          </w:p>
        </w:tc>
        <w:tc>
          <w:tcPr>
            <w:tcW w:w="60" w:type="dxa"/>
            <w:vAlign w:val="bottom"/>
          </w:tcPr>
          <w:p>
            <w:pPr>
              <w:spacing w:after="0"/>
              <w:rPr>
                <w:sz w:val="23"/>
                <w:szCs w:val="23"/>
                <w:color w:val="auto"/>
              </w:rPr>
            </w:pPr>
          </w:p>
        </w:tc>
        <w:tc>
          <w:tcPr>
            <w:tcW w:w="66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tcPr>
          <w:p>
            <w:pPr>
              <w:spacing w:after="0"/>
              <w:rPr>
                <w:sz w:val="23"/>
                <w:szCs w:val="23"/>
                <w:color w:val="auto"/>
              </w:rPr>
            </w:pPr>
          </w:p>
        </w:tc>
        <w:tc>
          <w:tcPr>
            <w:tcW w:w="54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3"/>
                <w:szCs w:val="23"/>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20,802</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2,288,636</w:t>
            </w:r>
          </w:p>
        </w:tc>
        <w:tc>
          <w:tcPr>
            <w:tcW w:w="0" w:type="dxa"/>
            <w:vAlign w:val="bottom"/>
          </w:tcPr>
          <w:p>
            <w:pPr>
              <w:spacing w:after="0"/>
              <w:rPr>
                <w:sz w:val="1"/>
                <w:szCs w:val="1"/>
                <w:color w:val="auto"/>
              </w:rPr>
            </w:pPr>
          </w:p>
        </w:tc>
      </w:tr>
      <w:tr>
        <w:trPr>
          <w:trHeight w:val="275"/>
        </w:trPr>
        <w:tc>
          <w:tcPr>
            <w:tcW w:w="9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PSU</w:t>
            </w:r>
          </w:p>
        </w:tc>
        <w:tc>
          <w:tcPr>
            <w:tcW w:w="70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2/21/2025</w:t>
            </w: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8"/>
              </w:rPr>
              <w:t>1/17/2025</w:t>
            </w:r>
          </w:p>
        </w:tc>
        <w:tc>
          <w:tcPr>
            <w:tcW w:w="60" w:type="dxa"/>
            <w:vAlign w:val="bottom"/>
          </w:tcPr>
          <w:p>
            <w:pPr>
              <w:spacing w:after="0"/>
              <w:rPr>
                <w:sz w:val="23"/>
                <w:szCs w:val="23"/>
                <w:color w:val="auto"/>
              </w:rPr>
            </w:pPr>
          </w:p>
        </w:tc>
        <w:tc>
          <w:tcPr>
            <w:tcW w:w="66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w w:val="99"/>
              </w:rPr>
              <w:t>—</w:t>
            </w:r>
          </w:p>
        </w:tc>
        <w:tc>
          <w:tcPr>
            <w:tcW w:w="620" w:type="dxa"/>
            <w:vAlign w:val="bottom"/>
            <w:gridSpan w:val="4"/>
          </w:tcPr>
          <w:p>
            <w:pPr>
              <w:jc w:val="right"/>
              <w:ind w:right="100"/>
              <w:spacing w:after="0"/>
              <w:rPr>
                <w:sz w:val="20"/>
                <w:szCs w:val="20"/>
                <w:color w:val="auto"/>
              </w:rPr>
            </w:pPr>
            <w:r>
              <w:rPr>
                <w:rFonts w:ascii="Times New Roman" w:cs="Times New Roman" w:eastAsia="Times New Roman" w:hAnsi="Times New Roman"/>
                <w:sz w:val="14"/>
                <w:szCs w:val="14"/>
                <w:color w:val="auto"/>
              </w:rPr>
              <w:t>20,802</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41,604</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3"/>
                <w:szCs w:val="23"/>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3,514,044</w:t>
            </w:r>
          </w:p>
        </w:tc>
        <w:tc>
          <w:tcPr>
            <w:tcW w:w="0" w:type="dxa"/>
            <w:vAlign w:val="bottom"/>
          </w:tcPr>
          <w:p>
            <w:pPr>
              <w:spacing w:after="0"/>
              <w:rPr>
                <w:sz w:val="1"/>
                <w:szCs w:val="1"/>
                <w:color w:val="auto"/>
              </w:rPr>
            </w:pPr>
          </w:p>
        </w:tc>
      </w:tr>
      <w:tr>
        <w:trPr>
          <w:trHeight w:val="23"/>
        </w:trPr>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2"/>
        </w:trPr>
        <w:tc>
          <w:tcPr>
            <w:tcW w:w="900" w:type="dxa"/>
            <w:vAlign w:val="bottom"/>
            <w:vMerge w:val="restart"/>
            <w:shd w:val="clear" w:color="auto" w:fill="CDE9F6"/>
          </w:tcPr>
          <w:p>
            <w:pPr>
              <w:spacing w:after="0"/>
              <w:rPr>
                <w:sz w:val="20"/>
                <w:szCs w:val="20"/>
                <w:color w:val="auto"/>
              </w:rPr>
            </w:pPr>
            <w:r>
              <w:rPr>
                <w:rFonts w:ascii="Times New Roman" w:cs="Times New Roman" w:eastAsia="Times New Roman" w:hAnsi="Times New Roman"/>
                <w:sz w:val="14"/>
                <w:szCs w:val="14"/>
                <w:color w:val="auto"/>
              </w:rPr>
              <w:t>Christiane</w:t>
            </w:r>
          </w:p>
        </w:tc>
        <w:tc>
          <w:tcPr>
            <w:tcW w:w="60" w:type="dxa"/>
            <w:vAlign w:val="bottom"/>
            <w:shd w:val="clear" w:color="auto" w:fill="CDE9F6"/>
          </w:tcPr>
          <w:p>
            <w:pPr>
              <w:spacing w:after="0"/>
              <w:rPr>
                <w:sz w:val="21"/>
                <w:szCs w:val="21"/>
                <w:color w:val="auto"/>
              </w:rPr>
            </w:pPr>
          </w:p>
        </w:tc>
        <w:tc>
          <w:tcPr>
            <w:tcW w:w="440" w:type="dxa"/>
            <w:vAlign w:val="bottom"/>
            <w:shd w:val="clear" w:color="auto" w:fill="CDE9F6"/>
          </w:tcPr>
          <w:p>
            <w:pPr>
              <w:jc w:val="center"/>
              <w:spacing w:after="0"/>
              <w:rPr>
                <w:sz w:val="20"/>
                <w:szCs w:val="20"/>
                <w:color w:val="auto"/>
              </w:rPr>
            </w:pPr>
            <w:r>
              <w:rPr>
                <w:rFonts w:ascii="Times New Roman" w:cs="Times New Roman" w:eastAsia="Times New Roman" w:hAnsi="Times New Roman"/>
                <w:sz w:val="14"/>
                <w:szCs w:val="14"/>
                <w:color w:val="auto"/>
                <w:w w:val="99"/>
              </w:rPr>
              <w:t>Cash</w:t>
            </w:r>
          </w:p>
        </w:tc>
        <w:tc>
          <w:tcPr>
            <w:tcW w:w="40" w:type="dxa"/>
            <w:vAlign w:val="bottom"/>
            <w:shd w:val="clear" w:color="auto" w:fill="CDE9F6"/>
          </w:tcPr>
          <w:p>
            <w:pPr>
              <w:spacing w:after="0"/>
              <w:rPr>
                <w:sz w:val="21"/>
                <w:szCs w:val="21"/>
                <w:color w:val="auto"/>
              </w:rPr>
            </w:pPr>
          </w:p>
        </w:tc>
        <w:tc>
          <w:tcPr>
            <w:tcW w:w="660" w:type="dxa"/>
            <w:vAlign w:val="bottom"/>
            <w:shd w:val="clear" w:color="auto" w:fill="CDE9F6"/>
          </w:tcPr>
          <w:p>
            <w:pPr>
              <w:spacing w:after="0"/>
              <w:rPr>
                <w:sz w:val="21"/>
                <w:szCs w:val="21"/>
                <w:color w:val="auto"/>
              </w:rPr>
            </w:pPr>
          </w:p>
        </w:tc>
        <w:tc>
          <w:tcPr>
            <w:tcW w:w="40" w:type="dxa"/>
            <w:vAlign w:val="bottom"/>
            <w:shd w:val="clear" w:color="auto" w:fill="CDE9F6"/>
          </w:tcPr>
          <w:p>
            <w:pPr>
              <w:spacing w:after="0"/>
              <w:rPr>
                <w:sz w:val="21"/>
                <w:szCs w:val="21"/>
                <w:color w:val="auto"/>
              </w:rPr>
            </w:pPr>
          </w:p>
        </w:tc>
        <w:tc>
          <w:tcPr>
            <w:tcW w:w="640" w:type="dxa"/>
            <w:vAlign w:val="bottom"/>
            <w:shd w:val="clear" w:color="auto" w:fill="CDE9F6"/>
          </w:tcPr>
          <w:p>
            <w:pPr>
              <w:spacing w:after="0"/>
              <w:rPr>
                <w:sz w:val="21"/>
                <w:szCs w:val="21"/>
                <w:color w:val="auto"/>
              </w:rPr>
            </w:pPr>
          </w:p>
        </w:tc>
        <w:tc>
          <w:tcPr>
            <w:tcW w:w="60" w:type="dxa"/>
            <w:vAlign w:val="bottom"/>
            <w:shd w:val="clear" w:color="auto" w:fill="CDE9F6"/>
          </w:tcPr>
          <w:p>
            <w:pPr>
              <w:spacing w:after="0"/>
              <w:rPr>
                <w:sz w:val="21"/>
                <w:szCs w:val="21"/>
                <w:color w:val="auto"/>
              </w:rPr>
            </w:pPr>
          </w:p>
        </w:tc>
        <w:tc>
          <w:tcPr>
            <w:tcW w:w="660" w:type="dxa"/>
            <w:vAlign w:val="bottom"/>
            <w:gridSpan w:val="2"/>
            <w:shd w:val="clear" w:color="auto" w:fill="CDE9F6"/>
          </w:tcPr>
          <w:p>
            <w:pPr>
              <w:ind w:left="500"/>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shd w:val="clear" w:color="auto" w:fill="CDE9F6"/>
          </w:tcPr>
          <w:p>
            <w:pPr>
              <w:spacing w:after="0"/>
              <w:rPr>
                <w:sz w:val="21"/>
                <w:szCs w:val="21"/>
                <w:color w:val="auto"/>
              </w:rPr>
            </w:pPr>
          </w:p>
        </w:tc>
        <w:tc>
          <w:tcPr>
            <w:tcW w:w="540" w:type="dxa"/>
            <w:vAlign w:val="bottom"/>
            <w:gridSpan w:val="3"/>
            <w:shd w:val="clear" w:color="auto" w:fill="CDE9F6"/>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DE9F6"/>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DE9F6"/>
          </w:tcPr>
          <w:p>
            <w:pPr>
              <w:jc w:val="right"/>
              <w:ind w:right="20"/>
              <w:spacing w:after="0"/>
              <w:rPr>
                <w:sz w:val="20"/>
                <w:szCs w:val="20"/>
                <w:color w:val="auto"/>
              </w:rPr>
            </w:pPr>
            <w:r>
              <w:rPr>
                <w:rFonts w:ascii="Times New Roman" w:cs="Times New Roman" w:eastAsia="Times New Roman" w:hAnsi="Times New Roman"/>
                <w:sz w:val="14"/>
                <w:szCs w:val="14"/>
                <w:color w:val="auto"/>
              </w:rPr>
              <w:t>9,216</w:t>
            </w:r>
          </w:p>
        </w:tc>
        <w:tc>
          <w:tcPr>
            <w:tcW w:w="640" w:type="dxa"/>
            <w:vAlign w:val="bottom"/>
            <w:gridSpan w:val="3"/>
            <w:shd w:val="clear" w:color="auto" w:fill="CDE9F6"/>
          </w:tcPr>
          <w:p>
            <w:pPr>
              <w:jc w:val="right"/>
              <w:ind w:right="80"/>
              <w:spacing w:after="0"/>
              <w:rPr>
                <w:sz w:val="20"/>
                <w:szCs w:val="20"/>
                <w:color w:val="auto"/>
              </w:rPr>
            </w:pPr>
            <w:r>
              <w:rPr>
                <w:rFonts w:ascii="Times New Roman" w:cs="Times New Roman" w:eastAsia="Times New Roman" w:hAnsi="Times New Roman"/>
                <w:sz w:val="14"/>
                <w:szCs w:val="14"/>
                <w:color w:val="auto"/>
              </w:rPr>
              <w:t>384,000</w:t>
            </w:r>
          </w:p>
        </w:tc>
        <w:tc>
          <w:tcPr>
            <w:tcW w:w="700" w:type="dxa"/>
            <w:vAlign w:val="bottom"/>
            <w:gridSpan w:val="2"/>
            <w:shd w:val="clear" w:color="auto" w:fill="CDE9F6"/>
          </w:tcPr>
          <w:p>
            <w:pPr>
              <w:jc w:val="right"/>
              <w:ind w:right="60"/>
              <w:spacing w:after="0"/>
              <w:rPr>
                <w:sz w:val="20"/>
                <w:szCs w:val="20"/>
                <w:color w:val="auto"/>
              </w:rPr>
            </w:pPr>
            <w:r>
              <w:rPr>
                <w:rFonts w:ascii="Times New Roman" w:cs="Times New Roman" w:eastAsia="Times New Roman" w:hAnsi="Times New Roman"/>
                <w:sz w:val="14"/>
                <w:szCs w:val="14"/>
                <w:color w:val="auto"/>
              </w:rPr>
              <w:t>537,600</w:t>
            </w:r>
          </w:p>
        </w:tc>
        <w:tc>
          <w:tcPr>
            <w:tcW w:w="920" w:type="dxa"/>
            <w:vAlign w:val="bottom"/>
            <w:gridSpan w:val="2"/>
            <w:shd w:val="clear" w:color="auto" w:fill="CDE9F6"/>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DE9F6"/>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62"/>
        </w:trPr>
        <w:tc>
          <w:tcPr>
            <w:tcW w:w="900" w:type="dxa"/>
            <w:vAlign w:val="bottom"/>
            <w:vMerge w:val="continue"/>
            <w:shd w:val="clear" w:color="auto" w:fill="CDE9F6"/>
          </w:tcPr>
          <w:p>
            <w:pPr>
              <w:spacing w:after="0"/>
              <w:rPr>
                <w:sz w:val="5"/>
                <w:szCs w:val="5"/>
                <w:color w:val="auto"/>
              </w:rPr>
            </w:pPr>
          </w:p>
        </w:tc>
        <w:tc>
          <w:tcPr>
            <w:tcW w:w="60" w:type="dxa"/>
            <w:vAlign w:val="bottom"/>
            <w:shd w:val="clear" w:color="auto" w:fill="CDE9F6"/>
          </w:tcPr>
          <w:p>
            <w:pPr>
              <w:spacing w:after="0"/>
              <w:rPr>
                <w:sz w:val="5"/>
                <w:szCs w:val="5"/>
                <w:color w:val="auto"/>
              </w:rPr>
            </w:pPr>
          </w:p>
        </w:tc>
        <w:tc>
          <w:tcPr>
            <w:tcW w:w="440" w:type="dxa"/>
            <w:vAlign w:val="bottom"/>
            <w:shd w:val="clear" w:color="auto" w:fill="CDE9F6"/>
          </w:tcPr>
          <w:p>
            <w:pPr>
              <w:spacing w:after="0"/>
              <w:rPr>
                <w:sz w:val="5"/>
                <w:szCs w:val="5"/>
                <w:color w:val="auto"/>
              </w:rPr>
            </w:pPr>
          </w:p>
        </w:tc>
        <w:tc>
          <w:tcPr>
            <w:tcW w:w="40" w:type="dxa"/>
            <w:vAlign w:val="bottom"/>
            <w:shd w:val="clear" w:color="auto" w:fill="CDE9F6"/>
          </w:tcPr>
          <w:p>
            <w:pPr>
              <w:spacing w:after="0"/>
              <w:rPr>
                <w:sz w:val="5"/>
                <w:szCs w:val="5"/>
                <w:color w:val="auto"/>
              </w:rPr>
            </w:pPr>
          </w:p>
        </w:tc>
        <w:tc>
          <w:tcPr>
            <w:tcW w:w="660" w:type="dxa"/>
            <w:vAlign w:val="bottom"/>
            <w:shd w:val="clear" w:color="auto" w:fill="CDE9F6"/>
          </w:tcPr>
          <w:p>
            <w:pPr>
              <w:spacing w:after="0"/>
              <w:rPr>
                <w:sz w:val="5"/>
                <w:szCs w:val="5"/>
                <w:color w:val="auto"/>
              </w:rPr>
            </w:pPr>
          </w:p>
        </w:tc>
        <w:tc>
          <w:tcPr>
            <w:tcW w:w="40" w:type="dxa"/>
            <w:vAlign w:val="bottom"/>
            <w:shd w:val="clear" w:color="auto" w:fill="CDE9F6"/>
          </w:tcPr>
          <w:p>
            <w:pPr>
              <w:spacing w:after="0"/>
              <w:rPr>
                <w:sz w:val="5"/>
                <w:szCs w:val="5"/>
                <w:color w:val="auto"/>
              </w:rPr>
            </w:pPr>
          </w:p>
        </w:tc>
        <w:tc>
          <w:tcPr>
            <w:tcW w:w="640" w:type="dxa"/>
            <w:vAlign w:val="bottom"/>
            <w:shd w:val="clear" w:color="auto" w:fill="CDE9F6"/>
          </w:tcPr>
          <w:p>
            <w:pPr>
              <w:spacing w:after="0"/>
              <w:rPr>
                <w:sz w:val="5"/>
                <w:szCs w:val="5"/>
                <w:color w:val="auto"/>
              </w:rPr>
            </w:pPr>
          </w:p>
        </w:tc>
        <w:tc>
          <w:tcPr>
            <w:tcW w:w="60" w:type="dxa"/>
            <w:vAlign w:val="bottom"/>
            <w:shd w:val="clear" w:color="auto" w:fill="CDE9F6"/>
          </w:tcPr>
          <w:p>
            <w:pPr>
              <w:spacing w:after="0"/>
              <w:rPr>
                <w:sz w:val="5"/>
                <w:szCs w:val="5"/>
                <w:color w:val="auto"/>
              </w:rPr>
            </w:pPr>
          </w:p>
        </w:tc>
        <w:tc>
          <w:tcPr>
            <w:tcW w:w="640" w:type="dxa"/>
            <w:vAlign w:val="bottom"/>
            <w:shd w:val="clear" w:color="auto" w:fill="CDE9F6"/>
          </w:tcPr>
          <w:p>
            <w:pPr>
              <w:spacing w:after="0"/>
              <w:rPr>
                <w:sz w:val="5"/>
                <w:szCs w:val="5"/>
                <w:color w:val="auto"/>
              </w:rPr>
            </w:pPr>
          </w:p>
        </w:tc>
        <w:tc>
          <w:tcPr>
            <w:tcW w:w="20" w:type="dxa"/>
            <w:vAlign w:val="bottom"/>
            <w:shd w:val="clear" w:color="auto" w:fill="CDE9F6"/>
          </w:tcPr>
          <w:p>
            <w:pPr>
              <w:spacing w:after="0"/>
              <w:rPr>
                <w:sz w:val="5"/>
                <w:szCs w:val="5"/>
                <w:color w:val="auto"/>
              </w:rPr>
            </w:pPr>
          </w:p>
        </w:tc>
        <w:tc>
          <w:tcPr>
            <w:tcW w:w="80" w:type="dxa"/>
            <w:vAlign w:val="bottom"/>
            <w:shd w:val="clear" w:color="auto" w:fill="CDE9F6"/>
          </w:tcPr>
          <w:p>
            <w:pPr>
              <w:spacing w:after="0"/>
              <w:rPr>
                <w:sz w:val="5"/>
                <w:szCs w:val="5"/>
                <w:color w:val="auto"/>
              </w:rPr>
            </w:pPr>
          </w:p>
        </w:tc>
        <w:tc>
          <w:tcPr>
            <w:tcW w:w="400" w:type="dxa"/>
            <w:vAlign w:val="bottom"/>
            <w:shd w:val="clear" w:color="auto" w:fill="CDE9F6"/>
          </w:tcPr>
          <w:p>
            <w:pPr>
              <w:spacing w:after="0"/>
              <w:rPr>
                <w:sz w:val="5"/>
                <w:szCs w:val="5"/>
                <w:color w:val="auto"/>
              </w:rPr>
            </w:pPr>
          </w:p>
        </w:tc>
        <w:tc>
          <w:tcPr>
            <w:tcW w:w="40" w:type="dxa"/>
            <w:vAlign w:val="bottom"/>
            <w:shd w:val="clear" w:color="auto" w:fill="CDE9F6"/>
          </w:tcPr>
          <w:p>
            <w:pPr>
              <w:spacing w:after="0"/>
              <w:rPr>
                <w:sz w:val="5"/>
                <w:szCs w:val="5"/>
                <w:color w:val="auto"/>
              </w:rPr>
            </w:pPr>
          </w:p>
        </w:tc>
        <w:tc>
          <w:tcPr>
            <w:tcW w:w="100" w:type="dxa"/>
            <w:vAlign w:val="bottom"/>
            <w:shd w:val="clear" w:color="auto" w:fill="CDE9F6"/>
          </w:tcPr>
          <w:p>
            <w:pPr>
              <w:spacing w:after="0"/>
              <w:rPr>
                <w:sz w:val="5"/>
                <w:szCs w:val="5"/>
                <w:color w:val="auto"/>
              </w:rPr>
            </w:pPr>
          </w:p>
        </w:tc>
        <w:tc>
          <w:tcPr>
            <w:tcW w:w="660" w:type="dxa"/>
            <w:vAlign w:val="bottom"/>
            <w:shd w:val="clear" w:color="auto" w:fill="CDE9F6"/>
          </w:tcPr>
          <w:p>
            <w:pPr>
              <w:spacing w:after="0"/>
              <w:rPr>
                <w:sz w:val="5"/>
                <w:szCs w:val="5"/>
                <w:color w:val="auto"/>
              </w:rPr>
            </w:pPr>
          </w:p>
        </w:tc>
        <w:tc>
          <w:tcPr>
            <w:tcW w:w="40" w:type="dxa"/>
            <w:vAlign w:val="bottom"/>
            <w:shd w:val="clear" w:color="auto" w:fill="CDE9F6"/>
          </w:tcPr>
          <w:p>
            <w:pPr>
              <w:spacing w:after="0"/>
              <w:rPr>
                <w:sz w:val="5"/>
                <w:szCs w:val="5"/>
                <w:color w:val="auto"/>
              </w:rPr>
            </w:pPr>
          </w:p>
        </w:tc>
        <w:tc>
          <w:tcPr>
            <w:tcW w:w="640" w:type="dxa"/>
            <w:vAlign w:val="bottom"/>
            <w:shd w:val="clear" w:color="auto" w:fill="CDE9F6"/>
          </w:tcPr>
          <w:p>
            <w:pPr>
              <w:spacing w:after="0"/>
              <w:rPr>
                <w:sz w:val="5"/>
                <w:szCs w:val="5"/>
                <w:color w:val="auto"/>
              </w:rPr>
            </w:pPr>
          </w:p>
        </w:tc>
        <w:tc>
          <w:tcPr>
            <w:tcW w:w="20" w:type="dxa"/>
            <w:vAlign w:val="bottom"/>
            <w:shd w:val="clear" w:color="auto" w:fill="CDE9F6"/>
          </w:tcPr>
          <w:p>
            <w:pPr>
              <w:spacing w:after="0"/>
              <w:rPr>
                <w:sz w:val="5"/>
                <w:szCs w:val="5"/>
                <w:color w:val="auto"/>
              </w:rPr>
            </w:pPr>
          </w:p>
        </w:tc>
        <w:tc>
          <w:tcPr>
            <w:tcW w:w="60" w:type="dxa"/>
            <w:vAlign w:val="bottom"/>
            <w:shd w:val="clear" w:color="auto" w:fill="CDE9F6"/>
          </w:tcPr>
          <w:p>
            <w:pPr>
              <w:spacing w:after="0"/>
              <w:rPr>
                <w:sz w:val="5"/>
                <w:szCs w:val="5"/>
                <w:color w:val="auto"/>
              </w:rPr>
            </w:pPr>
          </w:p>
        </w:tc>
        <w:tc>
          <w:tcPr>
            <w:tcW w:w="500" w:type="dxa"/>
            <w:vAlign w:val="bottom"/>
            <w:shd w:val="clear" w:color="auto" w:fill="CDE9F6"/>
          </w:tcPr>
          <w:p>
            <w:pPr>
              <w:spacing w:after="0"/>
              <w:rPr>
                <w:sz w:val="5"/>
                <w:szCs w:val="5"/>
                <w:color w:val="auto"/>
              </w:rPr>
            </w:pPr>
          </w:p>
        </w:tc>
        <w:tc>
          <w:tcPr>
            <w:tcW w:w="80" w:type="dxa"/>
            <w:vAlign w:val="bottom"/>
            <w:shd w:val="clear" w:color="auto" w:fill="CDE9F6"/>
          </w:tcPr>
          <w:p>
            <w:pPr>
              <w:spacing w:after="0"/>
              <w:rPr>
                <w:sz w:val="5"/>
                <w:szCs w:val="5"/>
                <w:color w:val="auto"/>
              </w:rPr>
            </w:pPr>
          </w:p>
        </w:tc>
        <w:tc>
          <w:tcPr>
            <w:tcW w:w="640" w:type="dxa"/>
            <w:vAlign w:val="bottom"/>
            <w:shd w:val="clear" w:color="auto" w:fill="CDE9F6"/>
          </w:tcPr>
          <w:p>
            <w:pPr>
              <w:spacing w:after="0"/>
              <w:rPr>
                <w:sz w:val="5"/>
                <w:szCs w:val="5"/>
                <w:color w:val="auto"/>
              </w:rPr>
            </w:pPr>
          </w:p>
        </w:tc>
        <w:tc>
          <w:tcPr>
            <w:tcW w:w="60" w:type="dxa"/>
            <w:vAlign w:val="bottom"/>
            <w:shd w:val="clear" w:color="auto" w:fill="CDE9F6"/>
          </w:tcPr>
          <w:p>
            <w:pPr>
              <w:spacing w:after="0"/>
              <w:rPr>
                <w:sz w:val="5"/>
                <w:szCs w:val="5"/>
                <w:color w:val="auto"/>
              </w:rPr>
            </w:pPr>
          </w:p>
        </w:tc>
        <w:tc>
          <w:tcPr>
            <w:tcW w:w="860" w:type="dxa"/>
            <w:vAlign w:val="bottom"/>
            <w:shd w:val="clear" w:color="auto" w:fill="CDE9F6"/>
          </w:tcPr>
          <w:p>
            <w:pPr>
              <w:spacing w:after="0"/>
              <w:rPr>
                <w:sz w:val="5"/>
                <w:szCs w:val="5"/>
                <w:color w:val="auto"/>
              </w:rPr>
            </w:pPr>
          </w:p>
        </w:tc>
        <w:tc>
          <w:tcPr>
            <w:tcW w:w="60" w:type="dxa"/>
            <w:vAlign w:val="bottom"/>
            <w:shd w:val="clear" w:color="auto" w:fill="CDE9F6"/>
          </w:tcPr>
          <w:p>
            <w:pPr>
              <w:spacing w:after="0"/>
              <w:rPr>
                <w:sz w:val="5"/>
                <w:szCs w:val="5"/>
                <w:color w:val="auto"/>
              </w:rPr>
            </w:pPr>
          </w:p>
        </w:tc>
        <w:tc>
          <w:tcPr>
            <w:tcW w:w="780" w:type="dxa"/>
            <w:vAlign w:val="bottom"/>
            <w:shd w:val="clear" w:color="auto" w:fill="CDE9F6"/>
          </w:tcPr>
          <w:p>
            <w:pPr>
              <w:spacing w:after="0"/>
              <w:rPr>
                <w:sz w:val="5"/>
                <w:szCs w:val="5"/>
                <w:color w:val="auto"/>
              </w:rPr>
            </w:pPr>
          </w:p>
        </w:tc>
        <w:tc>
          <w:tcPr>
            <w:tcW w:w="0" w:type="dxa"/>
            <w:vAlign w:val="bottom"/>
          </w:tcPr>
          <w:p>
            <w:pPr>
              <w:spacing w:after="0"/>
              <w:rPr>
                <w:sz w:val="1"/>
                <w:szCs w:val="1"/>
                <w:color w:val="auto"/>
              </w:rPr>
            </w:pPr>
          </w:p>
        </w:tc>
      </w:tr>
      <w:tr>
        <w:trPr>
          <w:trHeight w:val="236"/>
        </w:trPr>
        <w:tc>
          <w:tcPr>
            <w:tcW w:w="900" w:type="dxa"/>
            <w:vAlign w:val="bottom"/>
            <w:shd w:val="clear" w:color="auto" w:fill="CDE9F6"/>
          </w:tcPr>
          <w:p>
            <w:pPr>
              <w:ind w:left="160"/>
              <w:spacing w:after="0"/>
              <w:rPr>
                <w:sz w:val="20"/>
                <w:szCs w:val="20"/>
                <w:color w:val="auto"/>
              </w:rPr>
            </w:pPr>
            <w:r>
              <w:rPr>
                <w:rFonts w:ascii="Times New Roman" w:cs="Times New Roman" w:eastAsia="Times New Roman" w:hAnsi="Times New Roman"/>
                <w:sz w:val="14"/>
                <w:szCs w:val="14"/>
                <w:color w:val="auto"/>
              </w:rPr>
              <w:t>Ohlgart</w:t>
            </w:r>
            <w:r>
              <w:rPr>
                <w:rFonts w:ascii="Times New Roman" w:cs="Times New Roman" w:eastAsia="Times New Roman" w:hAnsi="Times New Roman"/>
                <w:sz w:val="20"/>
                <w:szCs w:val="20"/>
                <w:color w:val="auto"/>
                <w:vertAlign w:val="superscript"/>
              </w:rPr>
              <w:t>(4)</w:t>
            </w:r>
          </w:p>
        </w:tc>
        <w:tc>
          <w:tcPr>
            <w:tcW w:w="60" w:type="dxa"/>
            <w:vAlign w:val="bottom"/>
            <w:shd w:val="clear" w:color="auto" w:fill="CDE9F6"/>
          </w:tcPr>
          <w:p>
            <w:pPr>
              <w:spacing w:after="0"/>
              <w:rPr>
                <w:sz w:val="20"/>
                <w:szCs w:val="20"/>
                <w:color w:val="auto"/>
              </w:rPr>
            </w:pPr>
          </w:p>
        </w:tc>
        <w:tc>
          <w:tcPr>
            <w:tcW w:w="440" w:type="dxa"/>
            <w:vAlign w:val="bottom"/>
            <w:shd w:val="clear" w:color="auto" w:fill="CDE9F6"/>
          </w:tcPr>
          <w:p>
            <w:pPr>
              <w:jc w:val="center"/>
              <w:spacing w:after="0"/>
              <w:rPr>
                <w:sz w:val="20"/>
                <w:szCs w:val="20"/>
                <w:color w:val="auto"/>
              </w:rPr>
            </w:pPr>
            <w:r>
              <w:rPr>
                <w:rFonts w:ascii="Times New Roman" w:cs="Times New Roman" w:eastAsia="Times New Roman" w:hAnsi="Times New Roman"/>
                <w:sz w:val="14"/>
                <w:szCs w:val="14"/>
                <w:color w:val="auto"/>
                <w:w w:val="95"/>
              </w:rPr>
              <w:t>RSU</w:t>
            </w:r>
          </w:p>
        </w:tc>
        <w:tc>
          <w:tcPr>
            <w:tcW w:w="40" w:type="dxa"/>
            <w:vAlign w:val="bottom"/>
            <w:shd w:val="clear" w:color="auto" w:fill="CDE9F6"/>
          </w:tcPr>
          <w:p>
            <w:pPr>
              <w:spacing w:after="0"/>
              <w:rPr>
                <w:sz w:val="20"/>
                <w:szCs w:val="20"/>
                <w:color w:val="auto"/>
              </w:rPr>
            </w:pPr>
          </w:p>
        </w:tc>
        <w:tc>
          <w:tcPr>
            <w:tcW w:w="660" w:type="dxa"/>
            <w:vAlign w:val="bottom"/>
            <w:shd w:val="clear" w:color="auto" w:fill="CDE9F6"/>
          </w:tcPr>
          <w:p>
            <w:pPr>
              <w:jc w:val="center"/>
              <w:spacing w:after="0"/>
              <w:rPr>
                <w:sz w:val="20"/>
                <w:szCs w:val="20"/>
                <w:color w:val="auto"/>
              </w:rPr>
            </w:pPr>
            <w:r>
              <w:rPr>
                <w:rFonts w:ascii="Times New Roman" w:cs="Times New Roman" w:eastAsia="Times New Roman" w:hAnsi="Times New Roman"/>
                <w:sz w:val="14"/>
                <w:szCs w:val="14"/>
                <w:color w:val="auto"/>
              </w:rPr>
              <w:t>2/21/2025</w:t>
            </w:r>
          </w:p>
        </w:tc>
        <w:tc>
          <w:tcPr>
            <w:tcW w:w="680" w:type="dxa"/>
            <w:vAlign w:val="bottom"/>
            <w:gridSpan w:val="2"/>
            <w:shd w:val="clear" w:color="auto" w:fill="CDE9F6"/>
          </w:tcPr>
          <w:p>
            <w:pPr>
              <w:jc w:val="center"/>
              <w:spacing w:after="0"/>
              <w:rPr>
                <w:sz w:val="20"/>
                <w:szCs w:val="20"/>
                <w:color w:val="auto"/>
              </w:rPr>
            </w:pPr>
            <w:r>
              <w:rPr>
                <w:rFonts w:ascii="Times New Roman" w:cs="Times New Roman" w:eastAsia="Times New Roman" w:hAnsi="Times New Roman"/>
                <w:sz w:val="14"/>
                <w:szCs w:val="14"/>
                <w:color w:val="auto"/>
                <w:w w:val="98"/>
              </w:rPr>
              <w:t>1/17/2025</w:t>
            </w:r>
          </w:p>
        </w:tc>
        <w:tc>
          <w:tcPr>
            <w:tcW w:w="60" w:type="dxa"/>
            <w:vAlign w:val="bottom"/>
            <w:shd w:val="clear" w:color="auto" w:fill="CDE9F6"/>
          </w:tcPr>
          <w:p>
            <w:pPr>
              <w:spacing w:after="0"/>
              <w:rPr>
                <w:sz w:val="20"/>
                <w:szCs w:val="20"/>
                <w:color w:val="auto"/>
              </w:rPr>
            </w:pPr>
          </w:p>
        </w:tc>
        <w:tc>
          <w:tcPr>
            <w:tcW w:w="660" w:type="dxa"/>
            <w:vAlign w:val="bottom"/>
            <w:gridSpan w:val="2"/>
            <w:shd w:val="clear" w:color="auto" w:fill="CDE9F6"/>
          </w:tcPr>
          <w:p>
            <w:pPr>
              <w:ind w:left="500"/>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shd w:val="clear" w:color="auto" w:fill="CDE9F6"/>
          </w:tcPr>
          <w:p>
            <w:pPr>
              <w:spacing w:after="0"/>
              <w:rPr>
                <w:sz w:val="20"/>
                <w:szCs w:val="20"/>
                <w:color w:val="auto"/>
              </w:rPr>
            </w:pPr>
          </w:p>
        </w:tc>
        <w:tc>
          <w:tcPr>
            <w:tcW w:w="540" w:type="dxa"/>
            <w:vAlign w:val="bottom"/>
            <w:gridSpan w:val="3"/>
            <w:shd w:val="clear" w:color="auto" w:fill="CDE9F6"/>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DE9F6"/>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DE9F6"/>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DE9F6"/>
          </w:tcPr>
          <w:p>
            <w:pPr>
              <w:spacing w:after="0"/>
              <w:rPr>
                <w:sz w:val="20"/>
                <w:szCs w:val="20"/>
                <w:color w:val="auto"/>
              </w:rPr>
            </w:pPr>
          </w:p>
        </w:tc>
        <w:tc>
          <w:tcPr>
            <w:tcW w:w="580" w:type="dxa"/>
            <w:vAlign w:val="bottom"/>
            <w:gridSpan w:val="2"/>
            <w:shd w:val="clear" w:color="auto" w:fill="CDE9F6"/>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DE9F6"/>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DE9F6"/>
          </w:tcPr>
          <w:p>
            <w:pPr>
              <w:jc w:val="right"/>
              <w:ind w:right="60"/>
              <w:spacing w:after="0"/>
              <w:rPr>
                <w:sz w:val="20"/>
                <w:szCs w:val="20"/>
                <w:color w:val="auto"/>
              </w:rPr>
            </w:pPr>
            <w:r>
              <w:rPr>
                <w:rFonts w:ascii="Times New Roman" w:cs="Times New Roman" w:eastAsia="Times New Roman" w:hAnsi="Times New Roman"/>
                <w:sz w:val="14"/>
                <w:szCs w:val="14"/>
                <w:color w:val="auto"/>
              </w:rPr>
              <w:t>10,401</w:t>
            </w:r>
          </w:p>
        </w:tc>
        <w:tc>
          <w:tcPr>
            <w:tcW w:w="780" w:type="dxa"/>
            <w:vAlign w:val="bottom"/>
            <w:shd w:val="clear" w:color="auto" w:fill="CDE9F6"/>
          </w:tcPr>
          <w:p>
            <w:pPr>
              <w:jc w:val="right"/>
              <w:spacing w:after="0"/>
              <w:rPr>
                <w:sz w:val="20"/>
                <w:szCs w:val="20"/>
                <w:color w:val="auto"/>
              </w:rPr>
            </w:pPr>
            <w:r>
              <w:rPr>
                <w:rFonts w:ascii="Times New Roman" w:cs="Times New Roman" w:eastAsia="Times New Roman" w:hAnsi="Times New Roman"/>
                <w:sz w:val="14"/>
                <w:szCs w:val="14"/>
                <w:color w:val="auto"/>
              </w:rPr>
              <w:t>1,144,318</w:t>
            </w:r>
          </w:p>
        </w:tc>
        <w:tc>
          <w:tcPr>
            <w:tcW w:w="0" w:type="dxa"/>
            <w:vAlign w:val="bottom"/>
          </w:tcPr>
          <w:p>
            <w:pPr>
              <w:spacing w:after="0"/>
              <w:rPr>
                <w:sz w:val="1"/>
                <w:szCs w:val="1"/>
                <w:color w:val="auto"/>
              </w:rPr>
            </w:pPr>
          </w:p>
        </w:tc>
      </w:tr>
      <w:tr>
        <w:trPr>
          <w:trHeight w:val="252"/>
        </w:trPr>
        <w:tc>
          <w:tcPr>
            <w:tcW w:w="900" w:type="dxa"/>
            <w:vAlign w:val="bottom"/>
            <w:shd w:val="clear" w:color="auto" w:fill="CDE9F6"/>
          </w:tcPr>
          <w:p>
            <w:pPr>
              <w:spacing w:after="0"/>
              <w:rPr>
                <w:sz w:val="21"/>
                <w:szCs w:val="21"/>
                <w:color w:val="auto"/>
              </w:rPr>
            </w:pPr>
          </w:p>
        </w:tc>
        <w:tc>
          <w:tcPr>
            <w:tcW w:w="60" w:type="dxa"/>
            <w:vAlign w:val="bottom"/>
            <w:shd w:val="clear" w:color="auto" w:fill="CDE9F6"/>
          </w:tcPr>
          <w:p>
            <w:pPr>
              <w:spacing w:after="0"/>
              <w:rPr>
                <w:sz w:val="21"/>
                <w:szCs w:val="21"/>
                <w:color w:val="auto"/>
              </w:rPr>
            </w:pPr>
          </w:p>
        </w:tc>
        <w:tc>
          <w:tcPr>
            <w:tcW w:w="440" w:type="dxa"/>
            <w:vAlign w:val="bottom"/>
            <w:shd w:val="clear" w:color="auto" w:fill="CDE9F6"/>
          </w:tcPr>
          <w:p>
            <w:pPr>
              <w:jc w:val="center"/>
              <w:spacing w:after="0"/>
              <w:rPr>
                <w:sz w:val="20"/>
                <w:szCs w:val="20"/>
                <w:color w:val="auto"/>
              </w:rPr>
            </w:pPr>
            <w:r>
              <w:rPr>
                <w:rFonts w:ascii="Times New Roman" w:cs="Times New Roman" w:eastAsia="Times New Roman" w:hAnsi="Times New Roman"/>
                <w:sz w:val="14"/>
                <w:szCs w:val="14"/>
                <w:color w:val="auto"/>
              </w:rPr>
              <w:t>PSU</w:t>
            </w:r>
          </w:p>
        </w:tc>
        <w:tc>
          <w:tcPr>
            <w:tcW w:w="40" w:type="dxa"/>
            <w:vAlign w:val="bottom"/>
            <w:shd w:val="clear" w:color="auto" w:fill="CDE9F6"/>
          </w:tcPr>
          <w:p>
            <w:pPr>
              <w:spacing w:after="0"/>
              <w:rPr>
                <w:sz w:val="21"/>
                <w:szCs w:val="21"/>
                <w:color w:val="auto"/>
              </w:rPr>
            </w:pPr>
          </w:p>
        </w:tc>
        <w:tc>
          <w:tcPr>
            <w:tcW w:w="660" w:type="dxa"/>
            <w:vAlign w:val="bottom"/>
            <w:shd w:val="clear" w:color="auto" w:fill="CDE9F6"/>
          </w:tcPr>
          <w:p>
            <w:pPr>
              <w:jc w:val="center"/>
              <w:spacing w:after="0"/>
              <w:rPr>
                <w:sz w:val="20"/>
                <w:szCs w:val="20"/>
                <w:color w:val="auto"/>
              </w:rPr>
            </w:pPr>
            <w:r>
              <w:rPr>
                <w:rFonts w:ascii="Times New Roman" w:cs="Times New Roman" w:eastAsia="Times New Roman" w:hAnsi="Times New Roman"/>
                <w:sz w:val="14"/>
                <w:szCs w:val="14"/>
                <w:color w:val="auto"/>
              </w:rPr>
              <w:t>2/21/2025</w:t>
            </w:r>
          </w:p>
        </w:tc>
        <w:tc>
          <w:tcPr>
            <w:tcW w:w="680" w:type="dxa"/>
            <w:vAlign w:val="bottom"/>
            <w:gridSpan w:val="2"/>
            <w:shd w:val="clear" w:color="auto" w:fill="CDE9F6"/>
          </w:tcPr>
          <w:p>
            <w:pPr>
              <w:jc w:val="center"/>
              <w:spacing w:after="0"/>
              <w:rPr>
                <w:sz w:val="20"/>
                <w:szCs w:val="20"/>
                <w:color w:val="auto"/>
              </w:rPr>
            </w:pPr>
            <w:r>
              <w:rPr>
                <w:rFonts w:ascii="Times New Roman" w:cs="Times New Roman" w:eastAsia="Times New Roman" w:hAnsi="Times New Roman"/>
                <w:sz w:val="14"/>
                <w:szCs w:val="14"/>
                <w:color w:val="auto"/>
                <w:w w:val="98"/>
              </w:rPr>
              <w:t>1/17/2025</w:t>
            </w:r>
          </w:p>
        </w:tc>
        <w:tc>
          <w:tcPr>
            <w:tcW w:w="60" w:type="dxa"/>
            <w:vAlign w:val="bottom"/>
            <w:shd w:val="clear" w:color="auto" w:fill="CDE9F6"/>
          </w:tcPr>
          <w:p>
            <w:pPr>
              <w:spacing w:after="0"/>
              <w:rPr>
                <w:sz w:val="21"/>
                <w:szCs w:val="21"/>
                <w:color w:val="auto"/>
              </w:rPr>
            </w:pPr>
          </w:p>
        </w:tc>
        <w:tc>
          <w:tcPr>
            <w:tcW w:w="660" w:type="dxa"/>
            <w:vAlign w:val="bottom"/>
            <w:gridSpan w:val="2"/>
            <w:shd w:val="clear" w:color="auto" w:fill="CDE9F6"/>
          </w:tcPr>
          <w:p>
            <w:pPr>
              <w:ind w:left="500"/>
              <w:spacing w:after="0"/>
              <w:rPr>
                <w:sz w:val="20"/>
                <w:szCs w:val="20"/>
                <w:color w:val="auto"/>
              </w:rPr>
            </w:pPr>
            <w:r>
              <w:rPr>
                <w:rFonts w:ascii="Times New Roman" w:cs="Times New Roman" w:eastAsia="Times New Roman" w:hAnsi="Times New Roman"/>
                <w:sz w:val="14"/>
                <w:szCs w:val="14"/>
                <w:color w:val="auto"/>
                <w:w w:val="99"/>
              </w:rPr>
              <w:t>—</w:t>
            </w:r>
          </w:p>
        </w:tc>
        <w:tc>
          <w:tcPr>
            <w:tcW w:w="620" w:type="dxa"/>
            <w:vAlign w:val="bottom"/>
            <w:gridSpan w:val="4"/>
            <w:shd w:val="clear" w:color="auto" w:fill="CDE9F6"/>
          </w:tcPr>
          <w:p>
            <w:pPr>
              <w:jc w:val="right"/>
              <w:ind w:right="100"/>
              <w:spacing w:after="0"/>
              <w:rPr>
                <w:sz w:val="20"/>
                <w:szCs w:val="20"/>
                <w:color w:val="auto"/>
              </w:rPr>
            </w:pPr>
            <w:r>
              <w:rPr>
                <w:rFonts w:ascii="Times New Roman" w:cs="Times New Roman" w:eastAsia="Times New Roman" w:hAnsi="Times New Roman"/>
                <w:sz w:val="14"/>
                <w:szCs w:val="14"/>
                <w:color w:val="auto"/>
              </w:rPr>
              <w:t>10,401</w:t>
            </w:r>
          </w:p>
        </w:tc>
        <w:tc>
          <w:tcPr>
            <w:tcW w:w="700" w:type="dxa"/>
            <w:vAlign w:val="bottom"/>
            <w:gridSpan w:val="2"/>
            <w:shd w:val="clear" w:color="auto" w:fill="CDE9F6"/>
          </w:tcPr>
          <w:p>
            <w:pPr>
              <w:jc w:val="right"/>
              <w:ind w:right="40"/>
              <w:spacing w:after="0"/>
              <w:rPr>
                <w:sz w:val="20"/>
                <w:szCs w:val="20"/>
                <w:color w:val="auto"/>
              </w:rPr>
            </w:pPr>
            <w:r>
              <w:rPr>
                <w:rFonts w:ascii="Times New Roman" w:cs="Times New Roman" w:eastAsia="Times New Roman" w:hAnsi="Times New Roman"/>
                <w:sz w:val="14"/>
                <w:szCs w:val="14"/>
                <w:color w:val="auto"/>
              </w:rPr>
              <w:t>20,802</w:t>
            </w:r>
          </w:p>
        </w:tc>
        <w:tc>
          <w:tcPr>
            <w:tcW w:w="660" w:type="dxa"/>
            <w:vAlign w:val="bottom"/>
            <w:gridSpan w:val="2"/>
            <w:shd w:val="clear" w:color="auto" w:fill="CDE9F6"/>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DE9F6"/>
          </w:tcPr>
          <w:p>
            <w:pPr>
              <w:spacing w:after="0"/>
              <w:rPr>
                <w:sz w:val="21"/>
                <w:szCs w:val="21"/>
                <w:color w:val="auto"/>
              </w:rPr>
            </w:pPr>
          </w:p>
        </w:tc>
        <w:tc>
          <w:tcPr>
            <w:tcW w:w="580" w:type="dxa"/>
            <w:vAlign w:val="bottom"/>
            <w:gridSpan w:val="2"/>
            <w:shd w:val="clear" w:color="auto" w:fill="CDE9F6"/>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DE9F6"/>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DE9F6"/>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DE9F6"/>
          </w:tcPr>
          <w:p>
            <w:pPr>
              <w:jc w:val="right"/>
              <w:spacing w:after="0"/>
              <w:rPr>
                <w:sz w:val="20"/>
                <w:szCs w:val="20"/>
                <w:color w:val="auto"/>
              </w:rPr>
            </w:pPr>
            <w:r>
              <w:rPr>
                <w:rFonts w:ascii="Times New Roman" w:cs="Times New Roman" w:eastAsia="Times New Roman" w:hAnsi="Times New Roman"/>
                <w:sz w:val="14"/>
                <w:szCs w:val="14"/>
                <w:color w:val="auto"/>
              </w:rPr>
              <w:t>1,757,022</w:t>
            </w:r>
          </w:p>
        </w:tc>
        <w:tc>
          <w:tcPr>
            <w:tcW w:w="0" w:type="dxa"/>
            <w:vAlign w:val="bottom"/>
          </w:tcPr>
          <w:p>
            <w:pPr>
              <w:spacing w:after="0"/>
              <w:rPr>
                <w:sz w:val="1"/>
                <w:szCs w:val="1"/>
                <w:color w:val="auto"/>
              </w:rPr>
            </w:pPr>
          </w:p>
        </w:tc>
      </w:tr>
      <w:tr>
        <w:trPr>
          <w:trHeight w:val="275"/>
        </w:trPr>
        <w:tc>
          <w:tcPr>
            <w:tcW w:w="900" w:type="dxa"/>
            <w:vAlign w:val="bottom"/>
            <w:shd w:val="clear" w:color="auto" w:fill="CDE9F6"/>
          </w:tcPr>
          <w:p>
            <w:pPr>
              <w:spacing w:after="0"/>
              <w:rPr>
                <w:sz w:val="23"/>
                <w:szCs w:val="23"/>
                <w:color w:val="auto"/>
              </w:rPr>
            </w:pPr>
          </w:p>
        </w:tc>
        <w:tc>
          <w:tcPr>
            <w:tcW w:w="60" w:type="dxa"/>
            <w:vAlign w:val="bottom"/>
            <w:shd w:val="clear" w:color="auto" w:fill="CDE9F6"/>
          </w:tcPr>
          <w:p>
            <w:pPr>
              <w:spacing w:after="0"/>
              <w:rPr>
                <w:sz w:val="23"/>
                <w:szCs w:val="23"/>
                <w:color w:val="auto"/>
              </w:rPr>
            </w:pPr>
          </w:p>
        </w:tc>
        <w:tc>
          <w:tcPr>
            <w:tcW w:w="440" w:type="dxa"/>
            <w:vAlign w:val="bottom"/>
            <w:shd w:val="clear" w:color="auto" w:fill="CDE9F6"/>
          </w:tcPr>
          <w:p>
            <w:pPr>
              <w:jc w:val="center"/>
              <w:spacing w:after="0"/>
              <w:rPr>
                <w:sz w:val="20"/>
                <w:szCs w:val="20"/>
                <w:color w:val="auto"/>
              </w:rPr>
            </w:pPr>
            <w:r>
              <w:rPr>
                <w:rFonts w:ascii="Times New Roman" w:cs="Times New Roman" w:eastAsia="Times New Roman" w:hAnsi="Times New Roman"/>
                <w:sz w:val="14"/>
                <w:szCs w:val="14"/>
                <w:color w:val="auto"/>
                <w:w w:val="95"/>
              </w:rPr>
              <w:t>RSU</w:t>
            </w:r>
          </w:p>
        </w:tc>
        <w:tc>
          <w:tcPr>
            <w:tcW w:w="40" w:type="dxa"/>
            <w:vAlign w:val="bottom"/>
            <w:shd w:val="clear" w:color="auto" w:fill="CDE9F6"/>
          </w:tcPr>
          <w:p>
            <w:pPr>
              <w:spacing w:after="0"/>
              <w:rPr>
                <w:sz w:val="23"/>
                <w:szCs w:val="23"/>
                <w:color w:val="auto"/>
              </w:rPr>
            </w:pPr>
          </w:p>
        </w:tc>
        <w:tc>
          <w:tcPr>
            <w:tcW w:w="660" w:type="dxa"/>
            <w:vAlign w:val="bottom"/>
            <w:shd w:val="clear" w:color="auto" w:fill="CDE9F6"/>
          </w:tcPr>
          <w:p>
            <w:pPr>
              <w:jc w:val="center"/>
              <w:spacing w:after="0"/>
              <w:rPr>
                <w:sz w:val="20"/>
                <w:szCs w:val="20"/>
                <w:color w:val="auto"/>
              </w:rPr>
            </w:pPr>
            <w:r>
              <w:rPr>
                <w:rFonts w:ascii="Times New Roman" w:cs="Times New Roman" w:eastAsia="Times New Roman" w:hAnsi="Times New Roman"/>
                <w:sz w:val="14"/>
                <w:szCs w:val="14"/>
                <w:color w:val="auto"/>
              </w:rPr>
              <w:t>8/20/2025</w:t>
            </w:r>
          </w:p>
        </w:tc>
        <w:tc>
          <w:tcPr>
            <w:tcW w:w="40" w:type="dxa"/>
            <w:vAlign w:val="bottom"/>
            <w:shd w:val="clear" w:color="auto" w:fill="CDE9F6"/>
          </w:tcPr>
          <w:p>
            <w:pPr>
              <w:spacing w:after="0"/>
              <w:rPr>
                <w:sz w:val="23"/>
                <w:szCs w:val="23"/>
                <w:color w:val="auto"/>
              </w:rPr>
            </w:pPr>
          </w:p>
        </w:tc>
        <w:tc>
          <w:tcPr>
            <w:tcW w:w="640" w:type="dxa"/>
            <w:vAlign w:val="bottom"/>
            <w:shd w:val="clear" w:color="auto" w:fill="CDE9F6"/>
          </w:tcPr>
          <w:p>
            <w:pPr>
              <w:jc w:val="center"/>
              <w:spacing w:after="0"/>
              <w:rPr>
                <w:sz w:val="20"/>
                <w:szCs w:val="20"/>
                <w:color w:val="auto"/>
              </w:rPr>
            </w:pPr>
            <w:r>
              <w:rPr>
                <w:rFonts w:ascii="Times New Roman" w:cs="Times New Roman" w:eastAsia="Times New Roman" w:hAnsi="Times New Roman"/>
                <w:sz w:val="14"/>
                <w:szCs w:val="14"/>
                <w:color w:val="auto"/>
                <w:w w:val="98"/>
              </w:rPr>
              <w:t>7/18/2025</w:t>
            </w:r>
          </w:p>
        </w:tc>
        <w:tc>
          <w:tcPr>
            <w:tcW w:w="60" w:type="dxa"/>
            <w:vAlign w:val="bottom"/>
            <w:shd w:val="clear" w:color="auto" w:fill="CDE9F6"/>
          </w:tcPr>
          <w:p>
            <w:pPr>
              <w:spacing w:after="0"/>
              <w:rPr>
                <w:sz w:val="23"/>
                <w:szCs w:val="23"/>
                <w:color w:val="auto"/>
              </w:rPr>
            </w:pPr>
          </w:p>
        </w:tc>
        <w:tc>
          <w:tcPr>
            <w:tcW w:w="660" w:type="dxa"/>
            <w:vAlign w:val="bottom"/>
            <w:gridSpan w:val="2"/>
            <w:shd w:val="clear" w:color="auto" w:fill="CDE9F6"/>
          </w:tcPr>
          <w:p>
            <w:pPr>
              <w:ind w:left="500"/>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shd w:val="clear" w:color="auto" w:fill="CDE9F6"/>
          </w:tcPr>
          <w:p>
            <w:pPr>
              <w:spacing w:after="0"/>
              <w:rPr>
                <w:sz w:val="23"/>
                <w:szCs w:val="23"/>
                <w:color w:val="auto"/>
              </w:rPr>
            </w:pPr>
          </w:p>
        </w:tc>
        <w:tc>
          <w:tcPr>
            <w:tcW w:w="540" w:type="dxa"/>
            <w:vAlign w:val="bottom"/>
            <w:gridSpan w:val="3"/>
            <w:shd w:val="clear" w:color="auto" w:fill="CDE9F6"/>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DE9F6"/>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DE9F6"/>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DE9F6"/>
          </w:tcPr>
          <w:p>
            <w:pPr>
              <w:spacing w:after="0"/>
              <w:rPr>
                <w:sz w:val="23"/>
                <w:szCs w:val="23"/>
                <w:color w:val="auto"/>
              </w:rPr>
            </w:pPr>
          </w:p>
        </w:tc>
        <w:tc>
          <w:tcPr>
            <w:tcW w:w="580" w:type="dxa"/>
            <w:vAlign w:val="bottom"/>
            <w:gridSpan w:val="2"/>
            <w:shd w:val="clear" w:color="auto" w:fill="CDE9F6"/>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DE9F6"/>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DE9F6"/>
          </w:tcPr>
          <w:p>
            <w:pPr>
              <w:jc w:val="right"/>
              <w:ind w:right="60"/>
              <w:spacing w:after="0"/>
              <w:rPr>
                <w:sz w:val="20"/>
                <w:szCs w:val="20"/>
                <w:color w:val="auto"/>
              </w:rPr>
            </w:pPr>
            <w:r>
              <w:rPr>
                <w:rFonts w:ascii="Times New Roman" w:cs="Times New Roman" w:eastAsia="Times New Roman" w:hAnsi="Times New Roman"/>
                <w:sz w:val="14"/>
                <w:szCs w:val="14"/>
                <w:color w:val="auto"/>
              </w:rPr>
              <w:t>4,810</w:t>
            </w:r>
          </w:p>
        </w:tc>
        <w:tc>
          <w:tcPr>
            <w:tcW w:w="780" w:type="dxa"/>
            <w:vAlign w:val="bottom"/>
            <w:shd w:val="clear" w:color="auto" w:fill="CDE9F6"/>
          </w:tcPr>
          <w:p>
            <w:pPr>
              <w:jc w:val="right"/>
              <w:spacing w:after="0"/>
              <w:rPr>
                <w:sz w:val="20"/>
                <w:szCs w:val="20"/>
                <w:color w:val="auto"/>
              </w:rPr>
            </w:pPr>
            <w:r>
              <w:rPr>
                <w:rFonts w:ascii="Times New Roman" w:cs="Times New Roman" w:eastAsia="Times New Roman" w:hAnsi="Times New Roman"/>
                <w:sz w:val="14"/>
                <w:szCs w:val="14"/>
                <w:color w:val="auto"/>
              </w:rPr>
              <w:t>382,924</w:t>
            </w:r>
          </w:p>
        </w:tc>
        <w:tc>
          <w:tcPr>
            <w:tcW w:w="0" w:type="dxa"/>
            <w:vAlign w:val="bottom"/>
          </w:tcPr>
          <w:p>
            <w:pPr>
              <w:spacing w:after="0"/>
              <w:rPr>
                <w:sz w:val="1"/>
                <w:szCs w:val="1"/>
                <w:color w:val="auto"/>
              </w:rPr>
            </w:pPr>
          </w:p>
        </w:tc>
      </w:tr>
      <w:tr>
        <w:trPr>
          <w:trHeight w:val="279"/>
        </w:trPr>
        <w:tc>
          <w:tcPr>
            <w:tcW w:w="900" w:type="dxa"/>
            <w:vAlign w:val="bottom"/>
            <w:tcBorders>
              <w:bottom w:val="single" w:sz="8" w:color="CDE9F6"/>
            </w:tcBorders>
            <w:shd w:val="clear" w:color="auto" w:fill="CDE9F6"/>
          </w:tcPr>
          <w:p>
            <w:pPr>
              <w:spacing w:after="0"/>
              <w:rPr>
                <w:sz w:val="24"/>
                <w:szCs w:val="24"/>
                <w:color w:val="auto"/>
              </w:rPr>
            </w:pPr>
          </w:p>
        </w:tc>
        <w:tc>
          <w:tcPr>
            <w:tcW w:w="60" w:type="dxa"/>
            <w:vAlign w:val="bottom"/>
            <w:tcBorders>
              <w:bottom w:val="single" w:sz="8" w:color="CDE9F6"/>
            </w:tcBorders>
            <w:shd w:val="clear" w:color="auto" w:fill="CDE9F6"/>
          </w:tcPr>
          <w:p>
            <w:pPr>
              <w:spacing w:after="0"/>
              <w:rPr>
                <w:sz w:val="24"/>
                <w:szCs w:val="24"/>
                <w:color w:val="auto"/>
              </w:rPr>
            </w:pPr>
          </w:p>
        </w:tc>
        <w:tc>
          <w:tcPr>
            <w:tcW w:w="440" w:type="dxa"/>
            <w:vAlign w:val="bottom"/>
            <w:tcBorders>
              <w:bottom w:val="single" w:sz="8" w:color="CDE9F6"/>
            </w:tcBorders>
            <w:shd w:val="clear" w:color="auto" w:fill="CDE9F6"/>
          </w:tcPr>
          <w:p>
            <w:pPr>
              <w:jc w:val="center"/>
              <w:spacing w:after="0"/>
              <w:rPr>
                <w:sz w:val="20"/>
                <w:szCs w:val="20"/>
                <w:color w:val="auto"/>
              </w:rPr>
            </w:pPr>
            <w:r>
              <w:rPr>
                <w:rFonts w:ascii="Times New Roman" w:cs="Times New Roman" w:eastAsia="Times New Roman" w:hAnsi="Times New Roman"/>
                <w:sz w:val="14"/>
                <w:szCs w:val="14"/>
                <w:color w:val="auto"/>
              </w:rPr>
              <w:t>PSU</w:t>
            </w:r>
          </w:p>
        </w:tc>
        <w:tc>
          <w:tcPr>
            <w:tcW w:w="40" w:type="dxa"/>
            <w:vAlign w:val="bottom"/>
            <w:tcBorders>
              <w:bottom w:val="single" w:sz="8" w:color="CDE9F6"/>
            </w:tcBorders>
            <w:shd w:val="clear" w:color="auto" w:fill="CDE9F6"/>
          </w:tcPr>
          <w:p>
            <w:pPr>
              <w:spacing w:after="0"/>
              <w:rPr>
                <w:sz w:val="24"/>
                <w:szCs w:val="24"/>
                <w:color w:val="auto"/>
              </w:rPr>
            </w:pPr>
          </w:p>
        </w:tc>
        <w:tc>
          <w:tcPr>
            <w:tcW w:w="660" w:type="dxa"/>
            <w:vAlign w:val="bottom"/>
            <w:tcBorders>
              <w:bottom w:val="single" w:sz="8" w:color="CDE9F6"/>
            </w:tcBorders>
            <w:shd w:val="clear" w:color="auto" w:fill="CDE9F6"/>
          </w:tcPr>
          <w:p>
            <w:pPr>
              <w:jc w:val="center"/>
              <w:spacing w:after="0"/>
              <w:rPr>
                <w:sz w:val="20"/>
                <w:szCs w:val="20"/>
                <w:color w:val="auto"/>
              </w:rPr>
            </w:pPr>
            <w:r>
              <w:rPr>
                <w:rFonts w:ascii="Times New Roman" w:cs="Times New Roman" w:eastAsia="Times New Roman" w:hAnsi="Times New Roman"/>
                <w:sz w:val="14"/>
                <w:szCs w:val="14"/>
                <w:color w:val="auto"/>
              </w:rPr>
              <w:t>8/20/2025</w:t>
            </w:r>
          </w:p>
        </w:tc>
        <w:tc>
          <w:tcPr>
            <w:tcW w:w="40" w:type="dxa"/>
            <w:vAlign w:val="bottom"/>
            <w:tcBorders>
              <w:bottom w:val="single" w:sz="8" w:color="CDE9F6"/>
            </w:tcBorders>
            <w:shd w:val="clear" w:color="auto" w:fill="CDE9F6"/>
          </w:tcPr>
          <w:p>
            <w:pPr>
              <w:spacing w:after="0"/>
              <w:rPr>
                <w:sz w:val="24"/>
                <w:szCs w:val="24"/>
                <w:color w:val="auto"/>
              </w:rPr>
            </w:pPr>
          </w:p>
        </w:tc>
        <w:tc>
          <w:tcPr>
            <w:tcW w:w="640" w:type="dxa"/>
            <w:vAlign w:val="bottom"/>
            <w:tcBorders>
              <w:bottom w:val="single" w:sz="8" w:color="CDE9F6"/>
            </w:tcBorders>
            <w:shd w:val="clear" w:color="auto" w:fill="CDE9F6"/>
          </w:tcPr>
          <w:p>
            <w:pPr>
              <w:jc w:val="center"/>
              <w:spacing w:after="0"/>
              <w:rPr>
                <w:sz w:val="20"/>
                <w:szCs w:val="20"/>
                <w:color w:val="auto"/>
              </w:rPr>
            </w:pPr>
            <w:r>
              <w:rPr>
                <w:rFonts w:ascii="Times New Roman" w:cs="Times New Roman" w:eastAsia="Times New Roman" w:hAnsi="Times New Roman"/>
                <w:sz w:val="14"/>
                <w:szCs w:val="14"/>
                <w:color w:val="auto"/>
                <w:w w:val="98"/>
              </w:rPr>
              <w:t>7/18/2025</w:t>
            </w:r>
          </w:p>
        </w:tc>
        <w:tc>
          <w:tcPr>
            <w:tcW w:w="60" w:type="dxa"/>
            <w:vAlign w:val="bottom"/>
            <w:tcBorders>
              <w:bottom w:val="single" w:sz="8" w:color="CDE9F6"/>
            </w:tcBorders>
            <w:shd w:val="clear" w:color="auto" w:fill="CDE9F6"/>
          </w:tcPr>
          <w:p>
            <w:pPr>
              <w:spacing w:after="0"/>
              <w:rPr>
                <w:sz w:val="24"/>
                <w:szCs w:val="24"/>
                <w:color w:val="auto"/>
              </w:rPr>
            </w:pPr>
          </w:p>
        </w:tc>
        <w:tc>
          <w:tcPr>
            <w:tcW w:w="660" w:type="dxa"/>
            <w:vAlign w:val="bottom"/>
            <w:tcBorders>
              <w:bottom w:val="single" w:sz="8" w:color="CDE9F6"/>
            </w:tcBorders>
            <w:gridSpan w:val="2"/>
            <w:shd w:val="clear" w:color="auto" w:fill="CDE9F6"/>
          </w:tcPr>
          <w:p>
            <w:pPr>
              <w:ind w:left="500"/>
              <w:spacing w:after="0"/>
              <w:rPr>
                <w:sz w:val="20"/>
                <w:szCs w:val="20"/>
                <w:color w:val="auto"/>
              </w:rPr>
            </w:pPr>
            <w:r>
              <w:rPr>
                <w:rFonts w:ascii="Times New Roman" w:cs="Times New Roman" w:eastAsia="Times New Roman" w:hAnsi="Times New Roman"/>
                <w:sz w:val="14"/>
                <w:szCs w:val="14"/>
                <w:color w:val="auto"/>
                <w:w w:val="99"/>
              </w:rPr>
              <w:t>—</w:t>
            </w:r>
          </w:p>
        </w:tc>
        <w:tc>
          <w:tcPr>
            <w:tcW w:w="620" w:type="dxa"/>
            <w:vAlign w:val="bottom"/>
            <w:tcBorders>
              <w:bottom w:val="single" w:sz="8" w:color="CDE9F6"/>
            </w:tcBorders>
            <w:gridSpan w:val="4"/>
            <w:shd w:val="clear" w:color="auto" w:fill="CDE9F6"/>
          </w:tcPr>
          <w:p>
            <w:pPr>
              <w:jc w:val="right"/>
              <w:ind w:right="100"/>
              <w:spacing w:after="0"/>
              <w:rPr>
                <w:sz w:val="20"/>
                <w:szCs w:val="20"/>
                <w:color w:val="auto"/>
              </w:rPr>
            </w:pPr>
            <w:r>
              <w:rPr>
                <w:rFonts w:ascii="Times New Roman" w:cs="Times New Roman" w:eastAsia="Times New Roman" w:hAnsi="Times New Roman"/>
                <w:sz w:val="14"/>
                <w:szCs w:val="14"/>
                <w:color w:val="auto"/>
              </w:rPr>
              <w:t>4,810</w:t>
            </w:r>
          </w:p>
        </w:tc>
        <w:tc>
          <w:tcPr>
            <w:tcW w:w="700" w:type="dxa"/>
            <w:vAlign w:val="bottom"/>
            <w:tcBorders>
              <w:bottom w:val="single" w:sz="8" w:color="CDE9F6"/>
            </w:tcBorders>
            <w:gridSpan w:val="2"/>
            <w:shd w:val="clear" w:color="auto" w:fill="CDE9F6"/>
          </w:tcPr>
          <w:p>
            <w:pPr>
              <w:jc w:val="right"/>
              <w:ind w:right="40"/>
              <w:spacing w:after="0"/>
              <w:rPr>
                <w:sz w:val="20"/>
                <w:szCs w:val="20"/>
                <w:color w:val="auto"/>
              </w:rPr>
            </w:pPr>
            <w:r>
              <w:rPr>
                <w:rFonts w:ascii="Times New Roman" w:cs="Times New Roman" w:eastAsia="Times New Roman" w:hAnsi="Times New Roman"/>
                <w:sz w:val="14"/>
                <w:szCs w:val="14"/>
                <w:color w:val="auto"/>
              </w:rPr>
              <w:t>9,620</w:t>
            </w:r>
          </w:p>
        </w:tc>
        <w:tc>
          <w:tcPr>
            <w:tcW w:w="660" w:type="dxa"/>
            <w:vAlign w:val="bottom"/>
            <w:tcBorders>
              <w:bottom w:val="single" w:sz="8" w:color="CDE9F6"/>
            </w:tcBorders>
            <w:gridSpan w:val="2"/>
            <w:shd w:val="clear" w:color="auto" w:fill="CDE9F6"/>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DE9F6"/>
            </w:tcBorders>
            <w:shd w:val="clear" w:color="auto" w:fill="CDE9F6"/>
          </w:tcPr>
          <w:p>
            <w:pPr>
              <w:spacing w:after="0"/>
              <w:rPr>
                <w:sz w:val="24"/>
                <w:szCs w:val="24"/>
                <w:color w:val="auto"/>
              </w:rPr>
            </w:pPr>
          </w:p>
        </w:tc>
        <w:tc>
          <w:tcPr>
            <w:tcW w:w="580" w:type="dxa"/>
            <w:vAlign w:val="bottom"/>
            <w:tcBorders>
              <w:bottom w:val="single" w:sz="8" w:color="CDE9F6"/>
            </w:tcBorders>
            <w:gridSpan w:val="2"/>
            <w:shd w:val="clear" w:color="auto" w:fill="CDE9F6"/>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DE9F6"/>
            </w:tcBorders>
            <w:gridSpan w:val="2"/>
            <w:shd w:val="clear" w:color="auto" w:fill="CDE9F6"/>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CDE9F6"/>
            </w:tcBorders>
            <w:gridSpan w:val="2"/>
            <w:shd w:val="clear" w:color="auto" w:fill="CDE9F6"/>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CDE9F6"/>
            </w:tcBorders>
            <w:shd w:val="clear" w:color="auto" w:fill="CDE9F6"/>
          </w:tcPr>
          <w:p>
            <w:pPr>
              <w:jc w:val="right"/>
              <w:spacing w:after="0"/>
              <w:rPr>
                <w:sz w:val="20"/>
                <w:szCs w:val="20"/>
                <w:color w:val="auto"/>
              </w:rPr>
            </w:pPr>
            <w:r>
              <w:rPr>
                <w:rFonts w:ascii="Times New Roman" w:cs="Times New Roman" w:eastAsia="Times New Roman" w:hAnsi="Times New Roman"/>
                <w:sz w:val="14"/>
                <w:szCs w:val="14"/>
                <w:color w:val="auto"/>
              </w:rPr>
              <w:t>365,964</w:t>
            </w:r>
          </w:p>
        </w:tc>
        <w:tc>
          <w:tcPr>
            <w:tcW w:w="0" w:type="dxa"/>
            <w:vAlign w:val="bottom"/>
          </w:tcPr>
          <w:p>
            <w:pPr>
              <w:spacing w:after="0"/>
              <w:rPr>
                <w:sz w:val="1"/>
                <w:szCs w:val="1"/>
                <w:color w:val="auto"/>
              </w:rPr>
            </w:pPr>
          </w:p>
        </w:tc>
      </w:tr>
      <w:tr>
        <w:trPr>
          <w:trHeight w:val="316"/>
        </w:trPr>
        <w:tc>
          <w:tcPr>
            <w:tcW w:w="900" w:type="dxa"/>
            <w:vAlign w:val="bottom"/>
          </w:tcPr>
          <w:p>
            <w:pPr>
              <w:spacing w:after="0"/>
              <w:rPr>
                <w:sz w:val="20"/>
                <w:szCs w:val="20"/>
                <w:color w:val="auto"/>
              </w:rPr>
            </w:pPr>
            <w:r>
              <w:rPr>
                <w:rFonts w:ascii="Times New Roman" w:cs="Times New Roman" w:eastAsia="Times New Roman" w:hAnsi="Times New Roman"/>
                <w:sz w:val="14"/>
                <w:szCs w:val="14"/>
                <w:color w:val="auto"/>
              </w:rPr>
              <w:t>Keith Jensen</w:t>
            </w:r>
            <w:r>
              <w:rPr>
                <w:rFonts w:ascii="Times New Roman" w:cs="Times New Roman" w:eastAsia="Times New Roman" w:hAnsi="Times New Roman"/>
                <w:sz w:val="20"/>
                <w:szCs w:val="20"/>
                <w:color w:val="auto"/>
                <w:vertAlign w:val="superscript"/>
              </w:rPr>
              <w:t>(5)</w:t>
            </w:r>
          </w:p>
        </w:tc>
        <w:tc>
          <w:tcPr>
            <w:tcW w:w="60" w:type="dxa"/>
            <w:vAlign w:val="bottom"/>
          </w:tcPr>
          <w:p>
            <w:pPr>
              <w:spacing w:after="0"/>
              <w:rPr>
                <w:sz w:val="24"/>
                <w:szCs w:val="24"/>
                <w:color w:val="auto"/>
              </w:rPr>
            </w:pPr>
          </w:p>
        </w:tc>
        <w:tc>
          <w:tcPr>
            <w:tcW w:w="4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Cash</w:t>
            </w: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tcPr>
          <w:p>
            <w:pPr>
              <w:spacing w:after="0"/>
              <w:rPr>
                <w:sz w:val="24"/>
                <w:szCs w:val="24"/>
                <w:color w:val="auto"/>
              </w:rPr>
            </w:pPr>
          </w:p>
        </w:tc>
        <w:tc>
          <w:tcPr>
            <w:tcW w:w="54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9,715</w:t>
            </w:r>
          </w:p>
        </w:tc>
        <w:tc>
          <w:tcPr>
            <w:tcW w:w="64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404,800</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566,720</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1"/>
        </w:trPr>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RSU</w:t>
            </w:r>
          </w:p>
        </w:tc>
        <w:tc>
          <w:tcPr>
            <w:tcW w:w="70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2/21/2025</w:t>
            </w: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8"/>
              </w:rPr>
              <w:t>1/17/2025</w:t>
            </w:r>
          </w:p>
        </w:tc>
        <w:tc>
          <w:tcPr>
            <w:tcW w:w="60" w:type="dxa"/>
            <w:vAlign w:val="bottom"/>
          </w:tcPr>
          <w:p>
            <w:pPr>
              <w:spacing w:after="0"/>
              <w:rPr>
                <w:sz w:val="18"/>
                <w:szCs w:val="18"/>
                <w:color w:val="auto"/>
              </w:rPr>
            </w:pPr>
          </w:p>
        </w:tc>
        <w:tc>
          <w:tcPr>
            <w:tcW w:w="66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tcPr>
          <w:p>
            <w:pPr>
              <w:spacing w:after="0"/>
              <w:rPr>
                <w:sz w:val="18"/>
                <w:szCs w:val="18"/>
                <w:color w:val="auto"/>
              </w:rPr>
            </w:pPr>
          </w:p>
        </w:tc>
        <w:tc>
          <w:tcPr>
            <w:tcW w:w="54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18,202</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2,002,584</w:t>
            </w:r>
          </w:p>
        </w:tc>
        <w:tc>
          <w:tcPr>
            <w:tcW w:w="0" w:type="dxa"/>
            <w:vAlign w:val="bottom"/>
          </w:tcPr>
          <w:p>
            <w:pPr>
              <w:spacing w:after="0"/>
              <w:rPr>
                <w:sz w:val="1"/>
                <w:szCs w:val="1"/>
                <w:color w:val="auto"/>
              </w:rPr>
            </w:pPr>
          </w:p>
        </w:tc>
      </w:tr>
      <w:tr>
        <w:trPr>
          <w:trHeight w:val="275"/>
        </w:trPr>
        <w:tc>
          <w:tcPr>
            <w:tcW w:w="9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PSU</w:t>
            </w:r>
          </w:p>
        </w:tc>
        <w:tc>
          <w:tcPr>
            <w:tcW w:w="70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2/21/2025</w:t>
            </w: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8"/>
              </w:rPr>
              <w:t>1/17/2025</w:t>
            </w:r>
          </w:p>
        </w:tc>
        <w:tc>
          <w:tcPr>
            <w:tcW w:w="60" w:type="dxa"/>
            <w:vAlign w:val="bottom"/>
          </w:tcPr>
          <w:p>
            <w:pPr>
              <w:spacing w:after="0"/>
              <w:rPr>
                <w:sz w:val="23"/>
                <w:szCs w:val="23"/>
                <w:color w:val="auto"/>
              </w:rPr>
            </w:pPr>
          </w:p>
        </w:tc>
        <w:tc>
          <w:tcPr>
            <w:tcW w:w="66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w w:val="99"/>
              </w:rPr>
              <w:t>—</w:t>
            </w:r>
          </w:p>
        </w:tc>
        <w:tc>
          <w:tcPr>
            <w:tcW w:w="620" w:type="dxa"/>
            <w:vAlign w:val="bottom"/>
            <w:gridSpan w:val="4"/>
          </w:tcPr>
          <w:p>
            <w:pPr>
              <w:jc w:val="right"/>
              <w:ind w:right="100"/>
              <w:spacing w:after="0"/>
              <w:rPr>
                <w:sz w:val="20"/>
                <w:szCs w:val="20"/>
                <w:color w:val="auto"/>
              </w:rPr>
            </w:pPr>
            <w:r>
              <w:rPr>
                <w:rFonts w:ascii="Times New Roman" w:cs="Times New Roman" w:eastAsia="Times New Roman" w:hAnsi="Times New Roman"/>
                <w:sz w:val="14"/>
                <w:szCs w:val="14"/>
                <w:color w:val="auto"/>
              </w:rPr>
              <w:t>18,202</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36,404</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3"/>
                <w:szCs w:val="23"/>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3,074,831</w:t>
            </w:r>
          </w:p>
        </w:tc>
        <w:tc>
          <w:tcPr>
            <w:tcW w:w="0" w:type="dxa"/>
            <w:vAlign w:val="bottom"/>
          </w:tcPr>
          <w:p>
            <w:pPr>
              <w:spacing w:after="0"/>
              <w:rPr>
                <w:sz w:val="1"/>
                <w:szCs w:val="1"/>
                <w:color w:val="auto"/>
              </w:rPr>
            </w:pPr>
          </w:p>
        </w:tc>
      </w:tr>
      <w:tr>
        <w:trPr>
          <w:trHeight w:val="275"/>
        </w:trPr>
        <w:tc>
          <w:tcPr>
            <w:tcW w:w="9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RSU</w:t>
            </w:r>
          </w:p>
        </w:tc>
        <w:tc>
          <w:tcPr>
            <w:tcW w:w="138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11/19/2025 10/17/2025</w:t>
            </w:r>
          </w:p>
        </w:tc>
        <w:tc>
          <w:tcPr>
            <w:tcW w:w="60" w:type="dxa"/>
            <w:vAlign w:val="bottom"/>
          </w:tcPr>
          <w:p>
            <w:pPr>
              <w:spacing w:after="0"/>
              <w:rPr>
                <w:sz w:val="23"/>
                <w:szCs w:val="23"/>
                <w:color w:val="auto"/>
              </w:rPr>
            </w:pPr>
          </w:p>
        </w:tc>
        <w:tc>
          <w:tcPr>
            <w:tcW w:w="66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tcPr>
          <w:p>
            <w:pPr>
              <w:spacing w:after="0"/>
              <w:rPr>
                <w:sz w:val="23"/>
                <w:szCs w:val="23"/>
                <w:color w:val="auto"/>
              </w:rPr>
            </w:pPr>
          </w:p>
        </w:tc>
        <w:tc>
          <w:tcPr>
            <w:tcW w:w="54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3"/>
                <w:szCs w:val="23"/>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588</w:t>
            </w:r>
          </w:p>
        </w:tc>
        <w:tc>
          <w:tcPr>
            <w:tcW w:w="6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46,881</w:t>
            </w:r>
          </w:p>
        </w:tc>
        <w:tc>
          <w:tcPr>
            <w:tcW w:w="0" w:type="dxa"/>
            <w:vAlign w:val="bottom"/>
          </w:tcPr>
          <w:p>
            <w:pPr>
              <w:spacing w:after="0"/>
              <w:rPr>
                <w:sz w:val="1"/>
                <w:szCs w:val="1"/>
                <w:color w:val="auto"/>
              </w:rPr>
            </w:pPr>
          </w:p>
        </w:tc>
      </w:tr>
      <w:tr>
        <w:trPr>
          <w:trHeight w:val="23"/>
        </w:trPr>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2"/>
        </w:trPr>
        <w:tc>
          <w:tcPr>
            <w:tcW w:w="900" w:type="dxa"/>
            <w:vAlign w:val="bottom"/>
            <w:shd w:val="clear" w:color="auto" w:fill="CDE9F6"/>
          </w:tcPr>
          <w:p>
            <w:pPr>
              <w:spacing w:after="0"/>
              <w:rPr>
                <w:sz w:val="20"/>
                <w:szCs w:val="20"/>
                <w:color w:val="auto"/>
              </w:rPr>
            </w:pPr>
            <w:r>
              <w:rPr>
                <w:rFonts w:ascii="Times New Roman" w:cs="Times New Roman" w:eastAsia="Times New Roman" w:hAnsi="Times New Roman"/>
                <w:sz w:val="14"/>
                <w:szCs w:val="14"/>
                <w:color w:val="auto"/>
              </w:rPr>
              <w:t>John Whittle</w:t>
            </w:r>
          </w:p>
        </w:tc>
        <w:tc>
          <w:tcPr>
            <w:tcW w:w="60" w:type="dxa"/>
            <w:vAlign w:val="bottom"/>
            <w:shd w:val="clear" w:color="auto" w:fill="CDE9F6"/>
          </w:tcPr>
          <w:p>
            <w:pPr>
              <w:spacing w:after="0"/>
              <w:rPr>
                <w:sz w:val="21"/>
                <w:szCs w:val="21"/>
                <w:color w:val="auto"/>
              </w:rPr>
            </w:pPr>
          </w:p>
        </w:tc>
        <w:tc>
          <w:tcPr>
            <w:tcW w:w="440" w:type="dxa"/>
            <w:vAlign w:val="bottom"/>
            <w:shd w:val="clear" w:color="auto" w:fill="CDE9F6"/>
          </w:tcPr>
          <w:p>
            <w:pPr>
              <w:jc w:val="center"/>
              <w:spacing w:after="0"/>
              <w:rPr>
                <w:sz w:val="20"/>
                <w:szCs w:val="20"/>
                <w:color w:val="auto"/>
              </w:rPr>
            </w:pPr>
            <w:r>
              <w:rPr>
                <w:rFonts w:ascii="Times New Roman" w:cs="Times New Roman" w:eastAsia="Times New Roman" w:hAnsi="Times New Roman"/>
                <w:sz w:val="14"/>
                <w:szCs w:val="14"/>
                <w:color w:val="auto"/>
                <w:w w:val="99"/>
              </w:rPr>
              <w:t>Cash</w:t>
            </w:r>
          </w:p>
        </w:tc>
        <w:tc>
          <w:tcPr>
            <w:tcW w:w="40" w:type="dxa"/>
            <w:vAlign w:val="bottom"/>
            <w:shd w:val="clear" w:color="auto" w:fill="CDE9F6"/>
          </w:tcPr>
          <w:p>
            <w:pPr>
              <w:spacing w:after="0"/>
              <w:rPr>
                <w:sz w:val="21"/>
                <w:szCs w:val="21"/>
                <w:color w:val="auto"/>
              </w:rPr>
            </w:pPr>
          </w:p>
        </w:tc>
        <w:tc>
          <w:tcPr>
            <w:tcW w:w="660" w:type="dxa"/>
            <w:vAlign w:val="bottom"/>
            <w:shd w:val="clear" w:color="auto" w:fill="CDE9F6"/>
          </w:tcPr>
          <w:p>
            <w:pPr>
              <w:spacing w:after="0"/>
              <w:rPr>
                <w:sz w:val="21"/>
                <w:szCs w:val="21"/>
                <w:color w:val="auto"/>
              </w:rPr>
            </w:pPr>
          </w:p>
        </w:tc>
        <w:tc>
          <w:tcPr>
            <w:tcW w:w="40" w:type="dxa"/>
            <w:vAlign w:val="bottom"/>
            <w:shd w:val="clear" w:color="auto" w:fill="CDE9F6"/>
          </w:tcPr>
          <w:p>
            <w:pPr>
              <w:spacing w:after="0"/>
              <w:rPr>
                <w:sz w:val="21"/>
                <w:szCs w:val="21"/>
                <w:color w:val="auto"/>
              </w:rPr>
            </w:pPr>
          </w:p>
        </w:tc>
        <w:tc>
          <w:tcPr>
            <w:tcW w:w="640" w:type="dxa"/>
            <w:vAlign w:val="bottom"/>
            <w:shd w:val="clear" w:color="auto" w:fill="CDE9F6"/>
          </w:tcPr>
          <w:p>
            <w:pPr>
              <w:spacing w:after="0"/>
              <w:rPr>
                <w:sz w:val="21"/>
                <w:szCs w:val="21"/>
                <w:color w:val="auto"/>
              </w:rPr>
            </w:pPr>
          </w:p>
        </w:tc>
        <w:tc>
          <w:tcPr>
            <w:tcW w:w="60" w:type="dxa"/>
            <w:vAlign w:val="bottom"/>
            <w:shd w:val="clear" w:color="auto" w:fill="CDE9F6"/>
          </w:tcPr>
          <w:p>
            <w:pPr>
              <w:spacing w:after="0"/>
              <w:rPr>
                <w:sz w:val="21"/>
                <w:szCs w:val="21"/>
                <w:color w:val="auto"/>
              </w:rPr>
            </w:pPr>
          </w:p>
        </w:tc>
        <w:tc>
          <w:tcPr>
            <w:tcW w:w="660" w:type="dxa"/>
            <w:vAlign w:val="bottom"/>
            <w:gridSpan w:val="2"/>
            <w:shd w:val="clear" w:color="auto" w:fill="CDE9F6"/>
          </w:tcPr>
          <w:p>
            <w:pPr>
              <w:ind w:left="500"/>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shd w:val="clear" w:color="auto" w:fill="CDE9F6"/>
          </w:tcPr>
          <w:p>
            <w:pPr>
              <w:spacing w:after="0"/>
              <w:rPr>
                <w:sz w:val="21"/>
                <w:szCs w:val="21"/>
                <w:color w:val="auto"/>
              </w:rPr>
            </w:pPr>
          </w:p>
        </w:tc>
        <w:tc>
          <w:tcPr>
            <w:tcW w:w="540" w:type="dxa"/>
            <w:vAlign w:val="bottom"/>
            <w:gridSpan w:val="3"/>
            <w:shd w:val="clear" w:color="auto" w:fill="CDE9F6"/>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DE9F6"/>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DE9F6"/>
          </w:tcPr>
          <w:p>
            <w:pPr>
              <w:jc w:val="right"/>
              <w:ind w:right="20"/>
              <w:spacing w:after="0"/>
              <w:rPr>
                <w:sz w:val="20"/>
                <w:szCs w:val="20"/>
                <w:color w:val="auto"/>
              </w:rPr>
            </w:pPr>
            <w:r>
              <w:rPr>
                <w:rFonts w:ascii="Times New Roman" w:cs="Times New Roman" w:eastAsia="Times New Roman" w:hAnsi="Times New Roman"/>
                <w:sz w:val="14"/>
                <w:szCs w:val="14"/>
                <w:color w:val="auto"/>
              </w:rPr>
              <w:t>10,930</w:t>
            </w:r>
          </w:p>
        </w:tc>
        <w:tc>
          <w:tcPr>
            <w:tcW w:w="640" w:type="dxa"/>
            <w:vAlign w:val="bottom"/>
            <w:gridSpan w:val="3"/>
            <w:shd w:val="clear" w:color="auto" w:fill="CDE9F6"/>
          </w:tcPr>
          <w:p>
            <w:pPr>
              <w:jc w:val="right"/>
              <w:ind w:right="80"/>
              <w:spacing w:after="0"/>
              <w:rPr>
                <w:sz w:val="20"/>
                <w:szCs w:val="20"/>
                <w:color w:val="auto"/>
              </w:rPr>
            </w:pPr>
            <w:r>
              <w:rPr>
                <w:rFonts w:ascii="Times New Roman" w:cs="Times New Roman" w:eastAsia="Times New Roman" w:hAnsi="Times New Roman"/>
                <w:sz w:val="14"/>
                <w:szCs w:val="14"/>
                <w:color w:val="auto"/>
              </w:rPr>
              <w:t>455,400</w:t>
            </w:r>
          </w:p>
        </w:tc>
        <w:tc>
          <w:tcPr>
            <w:tcW w:w="700" w:type="dxa"/>
            <w:vAlign w:val="bottom"/>
            <w:gridSpan w:val="2"/>
            <w:shd w:val="clear" w:color="auto" w:fill="CDE9F6"/>
          </w:tcPr>
          <w:p>
            <w:pPr>
              <w:jc w:val="right"/>
              <w:ind w:right="60"/>
              <w:spacing w:after="0"/>
              <w:rPr>
                <w:sz w:val="20"/>
                <w:szCs w:val="20"/>
                <w:color w:val="auto"/>
              </w:rPr>
            </w:pPr>
            <w:r>
              <w:rPr>
                <w:rFonts w:ascii="Times New Roman" w:cs="Times New Roman" w:eastAsia="Times New Roman" w:hAnsi="Times New Roman"/>
                <w:sz w:val="14"/>
                <w:szCs w:val="14"/>
                <w:color w:val="auto"/>
              </w:rPr>
              <w:t>637,560</w:t>
            </w:r>
          </w:p>
        </w:tc>
        <w:tc>
          <w:tcPr>
            <w:tcW w:w="920" w:type="dxa"/>
            <w:vAlign w:val="bottom"/>
            <w:gridSpan w:val="2"/>
            <w:shd w:val="clear" w:color="auto" w:fill="CDE9F6"/>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DE9F6"/>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5"/>
        </w:trPr>
        <w:tc>
          <w:tcPr>
            <w:tcW w:w="900" w:type="dxa"/>
            <w:vAlign w:val="bottom"/>
            <w:shd w:val="clear" w:color="auto" w:fill="CDE9F6"/>
          </w:tcPr>
          <w:p>
            <w:pPr>
              <w:spacing w:after="0"/>
              <w:rPr>
                <w:sz w:val="23"/>
                <w:szCs w:val="23"/>
                <w:color w:val="auto"/>
              </w:rPr>
            </w:pPr>
          </w:p>
        </w:tc>
        <w:tc>
          <w:tcPr>
            <w:tcW w:w="60" w:type="dxa"/>
            <w:vAlign w:val="bottom"/>
            <w:shd w:val="clear" w:color="auto" w:fill="CDE9F6"/>
          </w:tcPr>
          <w:p>
            <w:pPr>
              <w:spacing w:after="0"/>
              <w:rPr>
                <w:sz w:val="23"/>
                <w:szCs w:val="23"/>
                <w:color w:val="auto"/>
              </w:rPr>
            </w:pPr>
          </w:p>
        </w:tc>
        <w:tc>
          <w:tcPr>
            <w:tcW w:w="440" w:type="dxa"/>
            <w:vAlign w:val="bottom"/>
            <w:shd w:val="clear" w:color="auto" w:fill="CDE9F6"/>
          </w:tcPr>
          <w:p>
            <w:pPr>
              <w:jc w:val="center"/>
              <w:spacing w:after="0"/>
              <w:rPr>
                <w:sz w:val="20"/>
                <w:szCs w:val="20"/>
                <w:color w:val="auto"/>
              </w:rPr>
            </w:pPr>
            <w:r>
              <w:rPr>
                <w:rFonts w:ascii="Times New Roman" w:cs="Times New Roman" w:eastAsia="Times New Roman" w:hAnsi="Times New Roman"/>
                <w:sz w:val="14"/>
                <w:szCs w:val="14"/>
                <w:color w:val="auto"/>
                <w:w w:val="95"/>
              </w:rPr>
              <w:t>RSU</w:t>
            </w:r>
          </w:p>
        </w:tc>
        <w:tc>
          <w:tcPr>
            <w:tcW w:w="700" w:type="dxa"/>
            <w:vAlign w:val="bottom"/>
            <w:gridSpan w:val="2"/>
            <w:shd w:val="clear" w:color="auto" w:fill="CDE9F6"/>
          </w:tcPr>
          <w:p>
            <w:pPr>
              <w:jc w:val="center"/>
              <w:spacing w:after="0"/>
              <w:rPr>
                <w:sz w:val="20"/>
                <w:szCs w:val="20"/>
                <w:color w:val="auto"/>
              </w:rPr>
            </w:pPr>
            <w:r>
              <w:rPr>
                <w:rFonts w:ascii="Times New Roman" w:cs="Times New Roman" w:eastAsia="Times New Roman" w:hAnsi="Times New Roman"/>
                <w:sz w:val="14"/>
                <w:szCs w:val="14"/>
                <w:color w:val="auto"/>
              </w:rPr>
              <w:t>2/21/2025</w:t>
            </w:r>
          </w:p>
        </w:tc>
        <w:tc>
          <w:tcPr>
            <w:tcW w:w="680" w:type="dxa"/>
            <w:vAlign w:val="bottom"/>
            <w:gridSpan w:val="2"/>
            <w:shd w:val="clear" w:color="auto" w:fill="CDE9F6"/>
          </w:tcPr>
          <w:p>
            <w:pPr>
              <w:jc w:val="center"/>
              <w:spacing w:after="0"/>
              <w:rPr>
                <w:sz w:val="20"/>
                <w:szCs w:val="20"/>
                <w:color w:val="auto"/>
              </w:rPr>
            </w:pPr>
            <w:r>
              <w:rPr>
                <w:rFonts w:ascii="Times New Roman" w:cs="Times New Roman" w:eastAsia="Times New Roman" w:hAnsi="Times New Roman"/>
                <w:sz w:val="14"/>
                <w:szCs w:val="14"/>
                <w:color w:val="auto"/>
                <w:w w:val="98"/>
              </w:rPr>
              <w:t>1/17/2025</w:t>
            </w:r>
          </w:p>
        </w:tc>
        <w:tc>
          <w:tcPr>
            <w:tcW w:w="60" w:type="dxa"/>
            <w:vAlign w:val="bottom"/>
            <w:shd w:val="clear" w:color="auto" w:fill="CDE9F6"/>
          </w:tcPr>
          <w:p>
            <w:pPr>
              <w:spacing w:after="0"/>
              <w:rPr>
                <w:sz w:val="23"/>
                <w:szCs w:val="23"/>
                <w:color w:val="auto"/>
              </w:rPr>
            </w:pPr>
          </w:p>
        </w:tc>
        <w:tc>
          <w:tcPr>
            <w:tcW w:w="660" w:type="dxa"/>
            <w:vAlign w:val="bottom"/>
            <w:gridSpan w:val="2"/>
            <w:shd w:val="clear" w:color="auto" w:fill="CDE9F6"/>
          </w:tcPr>
          <w:p>
            <w:pPr>
              <w:ind w:left="500"/>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shd w:val="clear" w:color="auto" w:fill="CDE9F6"/>
          </w:tcPr>
          <w:p>
            <w:pPr>
              <w:spacing w:after="0"/>
              <w:rPr>
                <w:sz w:val="23"/>
                <w:szCs w:val="23"/>
                <w:color w:val="auto"/>
              </w:rPr>
            </w:pPr>
          </w:p>
        </w:tc>
        <w:tc>
          <w:tcPr>
            <w:tcW w:w="540" w:type="dxa"/>
            <w:vAlign w:val="bottom"/>
            <w:gridSpan w:val="3"/>
            <w:shd w:val="clear" w:color="auto" w:fill="CDE9F6"/>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DE9F6"/>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DE9F6"/>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DE9F6"/>
          </w:tcPr>
          <w:p>
            <w:pPr>
              <w:spacing w:after="0"/>
              <w:rPr>
                <w:sz w:val="23"/>
                <w:szCs w:val="23"/>
                <w:color w:val="auto"/>
              </w:rPr>
            </w:pPr>
          </w:p>
        </w:tc>
        <w:tc>
          <w:tcPr>
            <w:tcW w:w="580" w:type="dxa"/>
            <w:vAlign w:val="bottom"/>
            <w:gridSpan w:val="2"/>
            <w:shd w:val="clear" w:color="auto" w:fill="CDE9F6"/>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DE9F6"/>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DE9F6"/>
          </w:tcPr>
          <w:p>
            <w:pPr>
              <w:jc w:val="right"/>
              <w:ind w:right="60"/>
              <w:spacing w:after="0"/>
              <w:rPr>
                <w:sz w:val="20"/>
                <w:szCs w:val="20"/>
                <w:color w:val="auto"/>
              </w:rPr>
            </w:pPr>
            <w:r>
              <w:rPr>
                <w:rFonts w:ascii="Times New Roman" w:cs="Times New Roman" w:eastAsia="Times New Roman" w:hAnsi="Times New Roman"/>
                <w:sz w:val="14"/>
                <w:szCs w:val="14"/>
                <w:color w:val="auto"/>
              </w:rPr>
              <w:t>18,202</w:t>
            </w:r>
          </w:p>
        </w:tc>
        <w:tc>
          <w:tcPr>
            <w:tcW w:w="780" w:type="dxa"/>
            <w:vAlign w:val="bottom"/>
            <w:shd w:val="clear" w:color="auto" w:fill="CDE9F6"/>
          </w:tcPr>
          <w:p>
            <w:pPr>
              <w:jc w:val="right"/>
              <w:spacing w:after="0"/>
              <w:rPr>
                <w:sz w:val="20"/>
                <w:szCs w:val="20"/>
                <w:color w:val="auto"/>
              </w:rPr>
            </w:pPr>
            <w:r>
              <w:rPr>
                <w:rFonts w:ascii="Times New Roman" w:cs="Times New Roman" w:eastAsia="Times New Roman" w:hAnsi="Times New Roman"/>
                <w:sz w:val="14"/>
                <w:szCs w:val="14"/>
                <w:color w:val="auto"/>
              </w:rPr>
              <w:t>2,002,584</w:t>
            </w:r>
          </w:p>
        </w:tc>
        <w:tc>
          <w:tcPr>
            <w:tcW w:w="0" w:type="dxa"/>
            <w:vAlign w:val="bottom"/>
          </w:tcPr>
          <w:p>
            <w:pPr>
              <w:spacing w:after="0"/>
              <w:rPr>
                <w:sz w:val="1"/>
                <w:szCs w:val="1"/>
                <w:color w:val="auto"/>
              </w:rPr>
            </w:pPr>
          </w:p>
        </w:tc>
      </w:tr>
      <w:tr>
        <w:trPr>
          <w:trHeight w:val="275"/>
        </w:trPr>
        <w:tc>
          <w:tcPr>
            <w:tcW w:w="900" w:type="dxa"/>
            <w:vAlign w:val="bottom"/>
            <w:shd w:val="clear" w:color="auto" w:fill="CDE9F6"/>
          </w:tcPr>
          <w:p>
            <w:pPr>
              <w:spacing w:after="0"/>
              <w:rPr>
                <w:sz w:val="23"/>
                <w:szCs w:val="23"/>
                <w:color w:val="auto"/>
              </w:rPr>
            </w:pPr>
          </w:p>
        </w:tc>
        <w:tc>
          <w:tcPr>
            <w:tcW w:w="60" w:type="dxa"/>
            <w:vAlign w:val="bottom"/>
            <w:shd w:val="clear" w:color="auto" w:fill="CDE9F6"/>
          </w:tcPr>
          <w:p>
            <w:pPr>
              <w:spacing w:after="0"/>
              <w:rPr>
                <w:sz w:val="23"/>
                <w:szCs w:val="23"/>
                <w:color w:val="auto"/>
              </w:rPr>
            </w:pPr>
          </w:p>
        </w:tc>
        <w:tc>
          <w:tcPr>
            <w:tcW w:w="440" w:type="dxa"/>
            <w:vAlign w:val="bottom"/>
            <w:shd w:val="clear" w:color="auto" w:fill="CDE9F6"/>
          </w:tcPr>
          <w:p>
            <w:pPr>
              <w:jc w:val="center"/>
              <w:spacing w:after="0"/>
              <w:rPr>
                <w:sz w:val="20"/>
                <w:szCs w:val="20"/>
                <w:color w:val="auto"/>
              </w:rPr>
            </w:pPr>
            <w:r>
              <w:rPr>
                <w:rFonts w:ascii="Times New Roman" w:cs="Times New Roman" w:eastAsia="Times New Roman" w:hAnsi="Times New Roman"/>
                <w:sz w:val="14"/>
                <w:szCs w:val="14"/>
                <w:color w:val="auto"/>
              </w:rPr>
              <w:t>PSU</w:t>
            </w:r>
          </w:p>
        </w:tc>
        <w:tc>
          <w:tcPr>
            <w:tcW w:w="700" w:type="dxa"/>
            <w:vAlign w:val="bottom"/>
            <w:gridSpan w:val="2"/>
            <w:shd w:val="clear" w:color="auto" w:fill="CDE9F6"/>
          </w:tcPr>
          <w:p>
            <w:pPr>
              <w:jc w:val="center"/>
              <w:spacing w:after="0"/>
              <w:rPr>
                <w:sz w:val="20"/>
                <w:szCs w:val="20"/>
                <w:color w:val="auto"/>
              </w:rPr>
            </w:pPr>
            <w:r>
              <w:rPr>
                <w:rFonts w:ascii="Times New Roman" w:cs="Times New Roman" w:eastAsia="Times New Roman" w:hAnsi="Times New Roman"/>
                <w:sz w:val="14"/>
                <w:szCs w:val="14"/>
                <w:color w:val="auto"/>
              </w:rPr>
              <w:t>2/21/2025</w:t>
            </w:r>
          </w:p>
        </w:tc>
        <w:tc>
          <w:tcPr>
            <w:tcW w:w="680" w:type="dxa"/>
            <w:vAlign w:val="bottom"/>
            <w:gridSpan w:val="2"/>
            <w:shd w:val="clear" w:color="auto" w:fill="CDE9F6"/>
          </w:tcPr>
          <w:p>
            <w:pPr>
              <w:jc w:val="center"/>
              <w:spacing w:after="0"/>
              <w:rPr>
                <w:sz w:val="20"/>
                <w:szCs w:val="20"/>
                <w:color w:val="auto"/>
              </w:rPr>
            </w:pPr>
            <w:r>
              <w:rPr>
                <w:rFonts w:ascii="Times New Roman" w:cs="Times New Roman" w:eastAsia="Times New Roman" w:hAnsi="Times New Roman"/>
                <w:sz w:val="14"/>
                <w:szCs w:val="14"/>
                <w:color w:val="auto"/>
                <w:w w:val="98"/>
              </w:rPr>
              <w:t>1/17/2025</w:t>
            </w:r>
          </w:p>
        </w:tc>
        <w:tc>
          <w:tcPr>
            <w:tcW w:w="60" w:type="dxa"/>
            <w:vAlign w:val="bottom"/>
            <w:shd w:val="clear" w:color="auto" w:fill="CDE9F6"/>
          </w:tcPr>
          <w:p>
            <w:pPr>
              <w:spacing w:after="0"/>
              <w:rPr>
                <w:sz w:val="23"/>
                <w:szCs w:val="23"/>
                <w:color w:val="auto"/>
              </w:rPr>
            </w:pPr>
          </w:p>
        </w:tc>
        <w:tc>
          <w:tcPr>
            <w:tcW w:w="660" w:type="dxa"/>
            <w:vAlign w:val="bottom"/>
            <w:gridSpan w:val="2"/>
            <w:shd w:val="clear" w:color="auto" w:fill="CDE9F6"/>
          </w:tcPr>
          <w:p>
            <w:pPr>
              <w:ind w:left="500"/>
              <w:spacing w:after="0"/>
              <w:rPr>
                <w:sz w:val="20"/>
                <w:szCs w:val="20"/>
                <w:color w:val="auto"/>
              </w:rPr>
            </w:pPr>
            <w:r>
              <w:rPr>
                <w:rFonts w:ascii="Times New Roman" w:cs="Times New Roman" w:eastAsia="Times New Roman" w:hAnsi="Times New Roman"/>
                <w:sz w:val="14"/>
                <w:szCs w:val="14"/>
                <w:color w:val="auto"/>
                <w:w w:val="99"/>
              </w:rPr>
              <w:t>—</w:t>
            </w:r>
          </w:p>
        </w:tc>
        <w:tc>
          <w:tcPr>
            <w:tcW w:w="620" w:type="dxa"/>
            <w:vAlign w:val="bottom"/>
            <w:gridSpan w:val="4"/>
            <w:shd w:val="clear" w:color="auto" w:fill="CDE9F6"/>
          </w:tcPr>
          <w:p>
            <w:pPr>
              <w:jc w:val="right"/>
              <w:ind w:right="100"/>
              <w:spacing w:after="0"/>
              <w:rPr>
                <w:sz w:val="20"/>
                <w:szCs w:val="20"/>
                <w:color w:val="auto"/>
              </w:rPr>
            </w:pPr>
            <w:r>
              <w:rPr>
                <w:rFonts w:ascii="Times New Roman" w:cs="Times New Roman" w:eastAsia="Times New Roman" w:hAnsi="Times New Roman"/>
                <w:sz w:val="14"/>
                <w:szCs w:val="14"/>
                <w:color w:val="auto"/>
              </w:rPr>
              <w:t>18,202</w:t>
            </w:r>
          </w:p>
        </w:tc>
        <w:tc>
          <w:tcPr>
            <w:tcW w:w="700" w:type="dxa"/>
            <w:vAlign w:val="bottom"/>
            <w:gridSpan w:val="2"/>
            <w:shd w:val="clear" w:color="auto" w:fill="CDE9F6"/>
          </w:tcPr>
          <w:p>
            <w:pPr>
              <w:jc w:val="right"/>
              <w:ind w:right="40"/>
              <w:spacing w:after="0"/>
              <w:rPr>
                <w:sz w:val="20"/>
                <w:szCs w:val="20"/>
                <w:color w:val="auto"/>
              </w:rPr>
            </w:pPr>
            <w:r>
              <w:rPr>
                <w:rFonts w:ascii="Times New Roman" w:cs="Times New Roman" w:eastAsia="Times New Roman" w:hAnsi="Times New Roman"/>
                <w:sz w:val="14"/>
                <w:szCs w:val="14"/>
                <w:color w:val="auto"/>
              </w:rPr>
              <w:t>36,404</w:t>
            </w:r>
          </w:p>
        </w:tc>
        <w:tc>
          <w:tcPr>
            <w:tcW w:w="660" w:type="dxa"/>
            <w:vAlign w:val="bottom"/>
            <w:gridSpan w:val="2"/>
            <w:shd w:val="clear" w:color="auto" w:fill="CDE9F6"/>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DE9F6"/>
          </w:tcPr>
          <w:p>
            <w:pPr>
              <w:spacing w:after="0"/>
              <w:rPr>
                <w:sz w:val="23"/>
                <w:szCs w:val="23"/>
                <w:color w:val="auto"/>
              </w:rPr>
            </w:pPr>
          </w:p>
        </w:tc>
        <w:tc>
          <w:tcPr>
            <w:tcW w:w="580" w:type="dxa"/>
            <w:vAlign w:val="bottom"/>
            <w:gridSpan w:val="2"/>
            <w:shd w:val="clear" w:color="auto" w:fill="CDE9F6"/>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DE9F6"/>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DE9F6"/>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DE9F6"/>
          </w:tcPr>
          <w:p>
            <w:pPr>
              <w:jc w:val="right"/>
              <w:spacing w:after="0"/>
              <w:rPr>
                <w:sz w:val="20"/>
                <w:szCs w:val="20"/>
                <w:color w:val="auto"/>
              </w:rPr>
            </w:pPr>
            <w:r>
              <w:rPr>
                <w:rFonts w:ascii="Times New Roman" w:cs="Times New Roman" w:eastAsia="Times New Roman" w:hAnsi="Times New Roman"/>
                <w:sz w:val="14"/>
                <w:szCs w:val="14"/>
                <w:color w:val="auto"/>
              </w:rPr>
              <w:t>3,074,831</w:t>
            </w:r>
          </w:p>
        </w:tc>
        <w:tc>
          <w:tcPr>
            <w:tcW w:w="0" w:type="dxa"/>
            <w:vAlign w:val="bottom"/>
          </w:tcPr>
          <w:p>
            <w:pPr>
              <w:spacing w:after="0"/>
              <w:rPr>
                <w:sz w:val="1"/>
                <w:szCs w:val="1"/>
                <w:color w:val="auto"/>
              </w:rPr>
            </w:pPr>
          </w:p>
        </w:tc>
      </w:tr>
      <w:tr>
        <w:trPr>
          <w:trHeight w:val="23"/>
        </w:trPr>
        <w:tc>
          <w:tcPr>
            <w:tcW w:w="900" w:type="dxa"/>
            <w:vAlign w:val="bottom"/>
            <w:shd w:val="clear" w:color="auto" w:fill="CDE9F6"/>
          </w:tcPr>
          <w:p>
            <w:pPr>
              <w:spacing w:after="0"/>
              <w:rPr>
                <w:sz w:val="2"/>
                <w:szCs w:val="2"/>
                <w:color w:val="auto"/>
              </w:rPr>
            </w:pPr>
          </w:p>
        </w:tc>
        <w:tc>
          <w:tcPr>
            <w:tcW w:w="60" w:type="dxa"/>
            <w:vAlign w:val="bottom"/>
            <w:shd w:val="clear" w:color="auto" w:fill="CDE9F6"/>
          </w:tcPr>
          <w:p>
            <w:pPr>
              <w:spacing w:after="0"/>
              <w:rPr>
                <w:sz w:val="2"/>
                <w:szCs w:val="2"/>
                <w:color w:val="auto"/>
              </w:rPr>
            </w:pPr>
          </w:p>
        </w:tc>
        <w:tc>
          <w:tcPr>
            <w:tcW w:w="440" w:type="dxa"/>
            <w:vAlign w:val="bottom"/>
            <w:shd w:val="clear" w:color="auto" w:fill="CDE9F6"/>
          </w:tcPr>
          <w:p>
            <w:pPr>
              <w:spacing w:after="0"/>
              <w:rPr>
                <w:sz w:val="2"/>
                <w:szCs w:val="2"/>
                <w:color w:val="auto"/>
              </w:rPr>
            </w:pPr>
          </w:p>
        </w:tc>
        <w:tc>
          <w:tcPr>
            <w:tcW w:w="40" w:type="dxa"/>
            <w:vAlign w:val="bottom"/>
            <w:shd w:val="clear" w:color="auto" w:fill="CDE9F6"/>
          </w:tcPr>
          <w:p>
            <w:pPr>
              <w:spacing w:after="0"/>
              <w:rPr>
                <w:sz w:val="2"/>
                <w:szCs w:val="2"/>
                <w:color w:val="auto"/>
              </w:rPr>
            </w:pPr>
          </w:p>
        </w:tc>
        <w:tc>
          <w:tcPr>
            <w:tcW w:w="660" w:type="dxa"/>
            <w:vAlign w:val="bottom"/>
            <w:shd w:val="clear" w:color="auto" w:fill="CDE9F6"/>
          </w:tcPr>
          <w:p>
            <w:pPr>
              <w:spacing w:after="0"/>
              <w:rPr>
                <w:sz w:val="2"/>
                <w:szCs w:val="2"/>
                <w:color w:val="auto"/>
              </w:rPr>
            </w:pPr>
          </w:p>
        </w:tc>
        <w:tc>
          <w:tcPr>
            <w:tcW w:w="40" w:type="dxa"/>
            <w:vAlign w:val="bottom"/>
            <w:shd w:val="clear" w:color="auto" w:fill="CDE9F6"/>
          </w:tcPr>
          <w:p>
            <w:pPr>
              <w:spacing w:after="0"/>
              <w:rPr>
                <w:sz w:val="2"/>
                <w:szCs w:val="2"/>
                <w:color w:val="auto"/>
              </w:rPr>
            </w:pPr>
          </w:p>
        </w:tc>
        <w:tc>
          <w:tcPr>
            <w:tcW w:w="640" w:type="dxa"/>
            <w:vAlign w:val="bottom"/>
            <w:shd w:val="clear" w:color="auto" w:fill="CDE9F6"/>
          </w:tcPr>
          <w:p>
            <w:pPr>
              <w:spacing w:after="0"/>
              <w:rPr>
                <w:sz w:val="2"/>
                <w:szCs w:val="2"/>
                <w:color w:val="auto"/>
              </w:rPr>
            </w:pPr>
          </w:p>
        </w:tc>
        <w:tc>
          <w:tcPr>
            <w:tcW w:w="60" w:type="dxa"/>
            <w:vAlign w:val="bottom"/>
            <w:shd w:val="clear" w:color="auto" w:fill="CDE9F6"/>
          </w:tcPr>
          <w:p>
            <w:pPr>
              <w:spacing w:after="0"/>
              <w:rPr>
                <w:sz w:val="2"/>
                <w:szCs w:val="2"/>
                <w:color w:val="auto"/>
              </w:rPr>
            </w:pPr>
          </w:p>
        </w:tc>
        <w:tc>
          <w:tcPr>
            <w:tcW w:w="640" w:type="dxa"/>
            <w:vAlign w:val="bottom"/>
            <w:shd w:val="clear" w:color="auto" w:fill="CDE9F6"/>
          </w:tcPr>
          <w:p>
            <w:pPr>
              <w:spacing w:after="0"/>
              <w:rPr>
                <w:sz w:val="2"/>
                <w:szCs w:val="2"/>
                <w:color w:val="auto"/>
              </w:rPr>
            </w:pPr>
          </w:p>
        </w:tc>
        <w:tc>
          <w:tcPr>
            <w:tcW w:w="20" w:type="dxa"/>
            <w:vAlign w:val="bottom"/>
            <w:shd w:val="clear" w:color="auto" w:fill="CDE9F6"/>
          </w:tcPr>
          <w:p>
            <w:pPr>
              <w:spacing w:after="0"/>
              <w:rPr>
                <w:sz w:val="2"/>
                <w:szCs w:val="2"/>
                <w:color w:val="auto"/>
              </w:rPr>
            </w:pPr>
          </w:p>
        </w:tc>
        <w:tc>
          <w:tcPr>
            <w:tcW w:w="80" w:type="dxa"/>
            <w:vAlign w:val="bottom"/>
            <w:shd w:val="clear" w:color="auto" w:fill="CDE9F6"/>
          </w:tcPr>
          <w:p>
            <w:pPr>
              <w:spacing w:after="0"/>
              <w:rPr>
                <w:sz w:val="2"/>
                <w:szCs w:val="2"/>
                <w:color w:val="auto"/>
              </w:rPr>
            </w:pPr>
          </w:p>
        </w:tc>
        <w:tc>
          <w:tcPr>
            <w:tcW w:w="400" w:type="dxa"/>
            <w:vAlign w:val="bottom"/>
            <w:shd w:val="clear" w:color="auto" w:fill="CDE9F6"/>
          </w:tcPr>
          <w:p>
            <w:pPr>
              <w:spacing w:after="0"/>
              <w:rPr>
                <w:sz w:val="2"/>
                <w:szCs w:val="2"/>
                <w:color w:val="auto"/>
              </w:rPr>
            </w:pPr>
          </w:p>
        </w:tc>
        <w:tc>
          <w:tcPr>
            <w:tcW w:w="40" w:type="dxa"/>
            <w:vAlign w:val="bottom"/>
            <w:shd w:val="clear" w:color="auto" w:fill="CDE9F6"/>
          </w:tcPr>
          <w:p>
            <w:pPr>
              <w:spacing w:after="0"/>
              <w:rPr>
                <w:sz w:val="2"/>
                <w:szCs w:val="2"/>
                <w:color w:val="auto"/>
              </w:rPr>
            </w:pPr>
          </w:p>
        </w:tc>
        <w:tc>
          <w:tcPr>
            <w:tcW w:w="100" w:type="dxa"/>
            <w:vAlign w:val="bottom"/>
            <w:shd w:val="clear" w:color="auto" w:fill="CDE9F6"/>
          </w:tcPr>
          <w:p>
            <w:pPr>
              <w:spacing w:after="0"/>
              <w:rPr>
                <w:sz w:val="2"/>
                <w:szCs w:val="2"/>
                <w:color w:val="auto"/>
              </w:rPr>
            </w:pPr>
          </w:p>
        </w:tc>
        <w:tc>
          <w:tcPr>
            <w:tcW w:w="660" w:type="dxa"/>
            <w:vAlign w:val="bottom"/>
            <w:shd w:val="clear" w:color="auto" w:fill="CDE9F6"/>
          </w:tcPr>
          <w:p>
            <w:pPr>
              <w:spacing w:after="0"/>
              <w:rPr>
                <w:sz w:val="2"/>
                <w:szCs w:val="2"/>
                <w:color w:val="auto"/>
              </w:rPr>
            </w:pPr>
          </w:p>
        </w:tc>
        <w:tc>
          <w:tcPr>
            <w:tcW w:w="40" w:type="dxa"/>
            <w:vAlign w:val="bottom"/>
            <w:shd w:val="clear" w:color="auto" w:fill="CDE9F6"/>
          </w:tcPr>
          <w:p>
            <w:pPr>
              <w:spacing w:after="0"/>
              <w:rPr>
                <w:sz w:val="2"/>
                <w:szCs w:val="2"/>
                <w:color w:val="auto"/>
              </w:rPr>
            </w:pPr>
          </w:p>
        </w:tc>
        <w:tc>
          <w:tcPr>
            <w:tcW w:w="640" w:type="dxa"/>
            <w:vAlign w:val="bottom"/>
            <w:shd w:val="clear" w:color="auto" w:fill="CDE9F6"/>
          </w:tcPr>
          <w:p>
            <w:pPr>
              <w:spacing w:after="0"/>
              <w:rPr>
                <w:sz w:val="2"/>
                <w:szCs w:val="2"/>
                <w:color w:val="auto"/>
              </w:rPr>
            </w:pPr>
          </w:p>
        </w:tc>
        <w:tc>
          <w:tcPr>
            <w:tcW w:w="20" w:type="dxa"/>
            <w:vAlign w:val="bottom"/>
            <w:shd w:val="clear" w:color="auto" w:fill="CDE9F6"/>
          </w:tcPr>
          <w:p>
            <w:pPr>
              <w:spacing w:after="0"/>
              <w:rPr>
                <w:sz w:val="2"/>
                <w:szCs w:val="2"/>
                <w:color w:val="auto"/>
              </w:rPr>
            </w:pPr>
          </w:p>
        </w:tc>
        <w:tc>
          <w:tcPr>
            <w:tcW w:w="60" w:type="dxa"/>
            <w:vAlign w:val="bottom"/>
            <w:shd w:val="clear" w:color="auto" w:fill="CDE9F6"/>
          </w:tcPr>
          <w:p>
            <w:pPr>
              <w:spacing w:after="0"/>
              <w:rPr>
                <w:sz w:val="2"/>
                <w:szCs w:val="2"/>
                <w:color w:val="auto"/>
              </w:rPr>
            </w:pPr>
          </w:p>
        </w:tc>
        <w:tc>
          <w:tcPr>
            <w:tcW w:w="500" w:type="dxa"/>
            <w:vAlign w:val="bottom"/>
            <w:shd w:val="clear" w:color="auto" w:fill="CDE9F6"/>
          </w:tcPr>
          <w:p>
            <w:pPr>
              <w:spacing w:after="0"/>
              <w:rPr>
                <w:sz w:val="2"/>
                <w:szCs w:val="2"/>
                <w:color w:val="auto"/>
              </w:rPr>
            </w:pPr>
          </w:p>
        </w:tc>
        <w:tc>
          <w:tcPr>
            <w:tcW w:w="80" w:type="dxa"/>
            <w:vAlign w:val="bottom"/>
            <w:shd w:val="clear" w:color="auto" w:fill="CDE9F6"/>
          </w:tcPr>
          <w:p>
            <w:pPr>
              <w:spacing w:after="0"/>
              <w:rPr>
                <w:sz w:val="2"/>
                <w:szCs w:val="2"/>
                <w:color w:val="auto"/>
              </w:rPr>
            </w:pPr>
          </w:p>
        </w:tc>
        <w:tc>
          <w:tcPr>
            <w:tcW w:w="640" w:type="dxa"/>
            <w:vAlign w:val="bottom"/>
            <w:shd w:val="clear" w:color="auto" w:fill="CDE9F6"/>
          </w:tcPr>
          <w:p>
            <w:pPr>
              <w:spacing w:after="0"/>
              <w:rPr>
                <w:sz w:val="2"/>
                <w:szCs w:val="2"/>
                <w:color w:val="auto"/>
              </w:rPr>
            </w:pPr>
          </w:p>
        </w:tc>
        <w:tc>
          <w:tcPr>
            <w:tcW w:w="60" w:type="dxa"/>
            <w:vAlign w:val="bottom"/>
            <w:shd w:val="clear" w:color="auto" w:fill="CDE9F6"/>
          </w:tcPr>
          <w:p>
            <w:pPr>
              <w:spacing w:after="0"/>
              <w:rPr>
                <w:sz w:val="2"/>
                <w:szCs w:val="2"/>
                <w:color w:val="auto"/>
              </w:rPr>
            </w:pPr>
          </w:p>
        </w:tc>
        <w:tc>
          <w:tcPr>
            <w:tcW w:w="860" w:type="dxa"/>
            <w:vAlign w:val="bottom"/>
            <w:shd w:val="clear" w:color="auto" w:fill="CDE9F6"/>
          </w:tcPr>
          <w:p>
            <w:pPr>
              <w:spacing w:after="0"/>
              <w:rPr>
                <w:sz w:val="2"/>
                <w:szCs w:val="2"/>
                <w:color w:val="auto"/>
              </w:rPr>
            </w:pPr>
          </w:p>
        </w:tc>
        <w:tc>
          <w:tcPr>
            <w:tcW w:w="60" w:type="dxa"/>
            <w:vAlign w:val="bottom"/>
            <w:shd w:val="clear" w:color="auto" w:fill="CDE9F6"/>
          </w:tcPr>
          <w:p>
            <w:pPr>
              <w:spacing w:after="0"/>
              <w:rPr>
                <w:sz w:val="2"/>
                <w:szCs w:val="2"/>
                <w:color w:val="auto"/>
              </w:rPr>
            </w:pPr>
          </w:p>
        </w:tc>
        <w:tc>
          <w:tcPr>
            <w:tcW w:w="780" w:type="dxa"/>
            <w:vAlign w:val="bottom"/>
            <w:shd w:val="clear" w:color="auto" w:fill="CDE9F6"/>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________________________</w:t>
      </w:r>
    </w:p>
    <w:p>
      <w:pPr>
        <w:spacing w:after="0" w:line="87" w:lineRule="exact"/>
        <w:rPr>
          <w:sz w:val="20"/>
          <w:szCs w:val="20"/>
          <w:color w:val="auto"/>
        </w:rPr>
      </w:pPr>
    </w:p>
    <w:p>
      <w:pPr>
        <w:ind w:left="920" w:right="820" w:hanging="346"/>
        <w:spacing w:after="0" w:line="244" w:lineRule="auto"/>
        <w:tabs>
          <w:tab w:leader="none" w:pos="905"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These columns show a range of outcomes possible under the PSU awards granted in 2025. The amount shown in the “Target” column represents the number of PSUs that would become Earned PSUs if our Percentile Rank among the Index Companies is in the 50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7"/>
          <w:szCs w:val="17"/>
          <w:color w:val="auto"/>
        </w:rPr>
        <w:t xml:space="preserve"> to 75</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7"/>
          <w:szCs w:val="17"/>
          <w:color w:val="auto"/>
        </w:rPr>
        <w:t xml:space="preserve"> Percentile. The amount shown in the “Threshold” column represents the number of PSUs that would become Earned PSUs if our Percentile Rank among the Index Companies is below the 25</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7"/>
          <w:szCs w:val="17"/>
          <w:color w:val="auto"/>
        </w:rPr>
        <w:t xml:space="preserve"> percentile. The amount shown in the “Maximum” column represents the number of PSUs that would become Earned PSUs if our Percentile Rank among Index Companies is in the 75</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7"/>
          <w:szCs w:val="17"/>
          <w:color w:val="auto"/>
        </w:rPr>
        <w:t xml:space="preserve"> percentile or higher. Further information about these awards is provided in the section titled “</w:t>
      </w:r>
      <w:r>
        <w:rPr>
          <w:rFonts w:ascii="Times New Roman" w:cs="Times New Roman" w:eastAsia="Times New Roman" w:hAnsi="Times New Roman"/>
          <w:sz w:val="17"/>
          <w:szCs w:val="17"/>
          <w:i w:val="1"/>
          <w:iCs w:val="1"/>
          <w:color w:val="auto"/>
        </w:rPr>
        <w:t>— Compensation Discussion and Analysis — Equity-Based Awards</w:t>
      </w:r>
      <w:r>
        <w:rPr>
          <w:rFonts w:ascii="Times New Roman" w:cs="Times New Roman" w:eastAsia="Times New Roman" w:hAnsi="Times New Roman"/>
          <w:sz w:val="17"/>
          <w:szCs w:val="17"/>
          <w:color w:val="auto"/>
        </w:rPr>
        <w:t>.”</w:t>
      </w:r>
    </w:p>
    <w:p>
      <w:pPr>
        <w:spacing w:after="0" w:line="46" w:lineRule="exact"/>
        <w:rPr>
          <w:rFonts w:ascii="Times New Roman" w:cs="Times New Roman" w:eastAsia="Times New Roman" w:hAnsi="Times New Roman"/>
          <w:sz w:val="17"/>
          <w:szCs w:val="17"/>
          <w:color w:val="auto"/>
        </w:rPr>
      </w:pPr>
    </w:p>
    <w:p>
      <w:pPr>
        <w:ind w:left="920" w:right="680" w:hanging="346"/>
        <w:spacing w:after="0" w:line="270" w:lineRule="auto"/>
        <w:tabs>
          <w:tab w:leader="none" w:pos="905"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Reflects threshold, target and maximum target bonus amounts for fiscal 2025 performance under the Bonus Program, as described in “</w:t>
      </w:r>
      <w:r>
        <w:rPr>
          <w:rFonts w:ascii="Times New Roman" w:cs="Times New Roman" w:eastAsia="Times New Roman" w:hAnsi="Times New Roman"/>
          <w:sz w:val="17"/>
          <w:szCs w:val="17"/>
          <w:i w:val="1"/>
          <w:iCs w:val="1"/>
          <w:color w:val="auto"/>
        </w:rPr>
        <w:t>Executive Compensation — Compensation Discussion and Analysis — 2025</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Compensation Decisions — Variable Pay.</w:t>
      </w:r>
      <w:r>
        <w:rPr>
          <w:rFonts w:ascii="Times New Roman" w:cs="Times New Roman" w:eastAsia="Times New Roman" w:hAnsi="Times New Roman"/>
          <w:sz w:val="17"/>
          <w:szCs w:val="17"/>
          <w:color w:val="auto"/>
        </w:rPr>
        <w:t>” These amounts do not necessarily correspond to the actual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value that may be received by the NEO.</w:t>
      </w:r>
    </w:p>
    <w:p>
      <w:pPr>
        <w:spacing w:after="0" w:line="24" w:lineRule="exact"/>
        <w:rPr>
          <w:rFonts w:ascii="Times New Roman" w:cs="Times New Roman" w:eastAsia="Times New Roman" w:hAnsi="Times New Roman"/>
          <w:sz w:val="17"/>
          <w:szCs w:val="17"/>
          <w:color w:val="auto"/>
        </w:rPr>
      </w:pPr>
    </w:p>
    <w:p>
      <w:pPr>
        <w:ind w:left="920" w:right="680" w:hanging="346"/>
        <w:spacing w:after="0" w:line="262" w:lineRule="auto"/>
        <w:tabs>
          <w:tab w:leader="none" w:pos="905"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amounts shown represent the grant date fair value of PSUs, RSUs and stock options granted during fiscal 2024, computed in accordance with FASB ASC Topic 718. The assumptions used in the valuation of these awards are set forth in note 13 to our consolidated financial statements, which are included in our Annual Report on Form 10-K for the year ended December 31, 2025, filed with the SEC on February 25, 2026. The PSUs granted in 2025 are considered to have a “market condition” for accounting purposes and are therefore valued using a Monte Carlo simulation. Further information about these awards is provided in the section titled “</w:t>
      </w:r>
      <w:r>
        <w:rPr>
          <w:rFonts w:ascii="Times New Roman" w:cs="Times New Roman" w:eastAsia="Times New Roman" w:hAnsi="Times New Roman"/>
          <w:sz w:val="17"/>
          <w:szCs w:val="17"/>
          <w:i w:val="1"/>
          <w:iCs w:val="1"/>
          <w:color w:val="auto"/>
        </w:rPr>
        <w:t>Executive Compensation — Compensation Discussion and Analysis — Equity-Based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Awards</w:t>
      </w:r>
      <w:r>
        <w:rPr>
          <w:rFonts w:ascii="Times New Roman" w:cs="Times New Roman" w:eastAsia="Times New Roman" w:hAnsi="Times New Roman"/>
          <w:sz w:val="17"/>
          <w:szCs w:val="17"/>
          <w:color w:val="auto"/>
        </w:rPr>
        <w:t>.” Grant date fair value is determined for financial statement reporting purposes and does not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correspond to the actual value that the NEOs will realize from the award.</w:t>
      </w:r>
    </w:p>
    <w:p>
      <w:pPr>
        <w:spacing w:after="0" w:line="17" w:lineRule="exact"/>
        <w:rPr>
          <w:rFonts w:ascii="Times New Roman" w:cs="Times New Roman" w:eastAsia="Times New Roman" w:hAnsi="Times New Roman"/>
          <w:sz w:val="17"/>
          <w:szCs w:val="17"/>
          <w:color w:val="auto"/>
        </w:rPr>
      </w:pPr>
    </w:p>
    <w:p>
      <w:pPr>
        <w:ind w:left="900" w:hanging="326"/>
        <w:spacing w:after="0"/>
        <w:tabs>
          <w:tab w:leader="none" w:pos="90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Ms. Ohlgart was appointed as our Chief Financial Officer in May 2025.</w:t>
      </w:r>
    </w:p>
    <w:p>
      <w:pPr>
        <w:spacing w:after="0" w:line="79" w:lineRule="exact"/>
        <w:rPr>
          <w:rFonts w:ascii="Times New Roman" w:cs="Times New Roman" w:eastAsia="Times New Roman" w:hAnsi="Times New Roman"/>
          <w:sz w:val="17"/>
          <w:szCs w:val="17"/>
          <w:color w:val="auto"/>
        </w:rPr>
      </w:pPr>
    </w:p>
    <w:p>
      <w:pPr>
        <w:ind w:left="920" w:right="780" w:hanging="346"/>
        <w:spacing w:after="0" w:line="267" w:lineRule="auto"/>
        <w:tabs>
          <w:tab w:leader="none" w:pos="905"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of May 15, 2025, upon his retirement, Mr. Jensen resigned from his role as our Chief Financial Officer and was no longer considered an executive officer of Fortinet. Mr. Jensen began serving as a member of Fortinet’s Strategic Advisory Council on August 5, 2025 and remains a member. The RSUs granted to Mr. Jensen on November 19, 2025 were granted in connection with Mr. Jensen’s services to Fortinet as a member of Fortinet’s Strategic Advisory Council.</w:t>
      </w:r>
    </w:p>
    <w:p>
      <w:pPr>
        <w:sectPr>
          <w:pgSz w:w="11900" w:h="16838" w:orient="portrait"/>
          <w:cols w:equalWidth="0" w:num="1">
            <w:col w:w="9100"/>
          </w:cols>
          <w:pgMar w:left="1440" w:top="265" w:right="1359" w:bottom="1440" w:gutter="0" w:footer="0" w:header="0"/>
        </w:sectPr>
      </w:pPr>
    </w:p>
    <w:p>
      <w:pPr>
        <w:spacing w:after="0" w:line="13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100"/>
          </w:cols>
          <w:pgMar w:left="1440" w:top="265" w:right="1359" w:bottom="1440" w:gutter="0" w:footer="0" w:header="0"/>
          <w:type w:val="continuous"/>
        </w:sectPr>
      </w:pPr>
    </w:p>
    <w:bookmarkStart w:id="51" w:name="page52"/>
    <w:bookmarkEnd w:id="51"/>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Outstanding Equity Awards at 2025 Fiscal Year-End Table</w:t>
      </w:r>
    </w:p>
    <w:p>
      <w:pPr>
        <w:spacing w:after="0" w:line="147" w:lineRule="exact"/>
        <w:rPr>
          <w:sz w:val="20"/>
          <w:szCs w:val="20"/>
          <w:color w:val="auto"/>
        </w:rPr>
      </w:pPr>
    </w:p>
    <w:p>
      <w:pPr>
        <w:ind w:left="580" w:right="839" w:firstLine="349"/>
        <w:spacing w:after="0" w:line="296" w:lineRule="auto"/>
        <w:rPr>
          <w:sz w:val="20"/>
          <w:szCs w:val="20"/>
          <w:color w:val="auto"/>
        </w:rPr>
      </w:pPr>
      <w:r>
        <w:rPr>
          <w:rFonts w:ascii="Times New Roman" w:cs="Times New Roman" w:eastAsia="Times New Roman" w:hAnsi="Times New Roman"/>
          <w:sz w:val="17"/>
          <w:szCs w:val="17"/>
          <w:color w:val="auto"/>
        </w:rPr>
        <w:t>The following table presents information concerning unexercised options, unvested RSUs and PSUs for each NEO outstanding as of December 31, 2025.</w:t>
      </w:r>
    </w:p>
    <w:p>
      <w:pPr>
        <w:spacing w:after="0" w:line="206" w:lineRule="exact"/>
        <w:rPr>
          <w:sz w:val="20"/>
          <w:szCs w:val="20"/>
          <w:color w:val="auto"/>
        </w:rPr>
      </w:pPr>
    </w:p>
    <w:tbl>
      <w:tblPr>
        <w:tblLayout w:type="fixed"/>
        <w:tblInd w:w="580" w:type="dxa"/>
        <w:tblCellMar>
          <w:top w:w="0" w:type="dxa"/>
          <w:left w:w="0" w:type="dxa"/>
          <w:bottom w:w="0" w:type="dxa"/>
          <w:right w:w="0" w:type="dxa"/>
        </w:tblCellMar>
      </w:tblPr>
      <w:tr>
        <w:trPr>
          <w:trHeight w:val="184"/>
        </w:trPr>
        <w:tc>
          <w:tcPr>
            <w:tcW w:w="8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60" w:type="dxa"/>
            <w:vAlign w:val="bottom"/>
            <w:gridSpan w:val="2"/>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7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940" w:type="dxa"/>
            <w:vAlign w:val="bottom"/>
            <w:gridSpan w:val="2"/>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60" w:type="dxa"/>
            <w:vAlign w:val="bottom"/>
          </w:tcPr>
          <w:p>
            <w:pPr>
              <w:spacing w:after="0"/>
              <w:rPr>
                <w:sz w:val="2"/>
                <w:szCs w:val="2"/>
                <w:color w:val="auto"/>
              </w:rPr>
            </w:pPr>
          </w:p>
        </w:tc>
        <w:tc>
          <w:tcPr>
            <w:tcW w:w="7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Equity Incentive</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Equity Incentive</w:t>
            </w:r>
          </w:p>
        </w:tc>
        <w:tc>
          <w:tcPr>
            <w:tcW w:w="0" w:type="dxa"/>
            <w:vAlign w:val="bottom"/>
          </w:tcPr>
          <w:p>
            <w:pPr>
              <w:spacing w:after="0"/>
              <w:rPr>
                <w:sz w:val="1"/>
                <w:szCs w:val="1"/>
                <w:color w:val="auto"/>
              </w:rPr>
            </w:pPr>
          </w:p>
        </w:tc>
      </w:tr>
      <w:tr>
        <w:trPr>
          <w:trHeight w:val="144"/>
        </w:trPr>
        <w:tc>
          <w:tcPr>
            <w:tcW w:w="8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Market Value</w:t>
            </w:r>
          </w:p>
        </w:tc>
        <w:tc>
          <w:tcPr>
            <w:tcW w:w="106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w w:val="97"/>
              </w:rPr>
              <w:t>Plan Awards:</w:t>
            </w:r>
          </w:p>
        </w:tc>
        <w:tc>
          <w:tcPr>
            <w:tcW w:w="106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w w:val="97"/>
              </w:rPr>
              <w:t>Plan Awards:</w:t>
            </w:r>
          </w:p>
        </w:tc>
        <w:tc>
          <w:tcPr>
            <w:tcW w:w="0" w:type="dxa"/>
            <w:vAlign w:val="bottom"/>
          </w:tcPr>
          <w:p>
            <w:pPr>
              <w:spacing w:after="0"/>
              <w:rPr>
                <w:sz w:val="1"/>
                <w:szCs w:val="1"/>
                <w:color w:val="auto"/>
              </w:rPr>
            </w:pPr>
          </w:p>
        </w:tc>
      </w:tr>
      <w:tr>
        <w:trPr>
          <w:trHeight w:val="144"/>
        </w:trPr>
        <w:tc>
          <w:tcPr>
            <w:tcW w:w="8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Number of Securities</w:t>
            </w:r>
          </w:p>
        </w:tc>
        <w:tc>
          <w:tcPr>
            <w:tcW w:w="5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880" w:type="dxa"/>
            <w:vAlign w:val="bottom"/>
            <w:vMerge w:val="continue"/>
          </w:tcPr>
          <w:p>
            <w:pPr>
              <w:spacing w:after="0"/>
              <w:rPr>
                <w:sz w:val="12"/>
                <w:szCs w:val="12"/>
                <w:color w:val="auto"/>
              </w:rPr>
            </w:pPr>
          </w:p>
        </w:tc>
        <w:tc>
          <w:tcPr>
            <w:tcW w:w="106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w w:val="98"/>
              </w:rPr>
              <w:t>Number of</w:t>
            </w:r>
          </w:p>
        </w:tc>
        <w:tc>
          <w:tcPr>
            <w:tcW w:w="106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rPr>
              <w:t>Market or</w:t>
            </w:r>
          </w:p>
        </w:tc>
        <w:tc>
          <w:tcPr>
            <w:tcW w:w="0" w:type="dxa"/>
            <w:vAlign w:val="bottom"/>
          </w:tcPr>
          <w:p>
            <w:pPr>
              <w:spacing w:after="0"/>
              <w:rPr>
                <w:sz w:val="1"/>
                <w:szCs w:val="1"/>
                <w:color w:val="auto"/>
              </w:rPr>
            </w:pPr>
          </w:p>
        </w:tc>
      </w:tr>
      <w:tr>
        <w:trPr>
          <w:trHeight w:val="144"/>
        </w:trPr>
        <w:tc>
          <w:tcPr>
            <w:tcW w:w="8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5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8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w w:val="97"/>
              </w:rPr>
              <w:t>of Shares</w:t>
            </w:r>
          </w:p>
        </w:tc>
        <w:tc>
          <w:tcPr>
            <w:tcW w:w="88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106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rPr>
              <w:t>Unearned</w:t>
            </w:r>
          </w:p>
        </w:tc>
        <w:tc>
          <w:tcPr>
            <w:tcW w:w="106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w w:val="98"/>
              </w:rPr>
              <w:t>Payout Value of</w:t>
            </w:r>
          </w:p>
        </w:tc>
        <w:tc>
          <w:tcPr>
            <w:tcW w:w="0" w:type="dxa"/>
            <w:vAlign w:val="bottom"/>
          </w:tcPr>
          <w:p>
            <w:pPr>
              <w:spacing w:after="0"/>
              <w:rPr>
                <w:sz w:val="1"/>
                <w:szCs w:val="1"/>
                <w:color w:val="auto"/>
              </w:rPr>
            </w:pPr>
          </w:p>
        </w:tc>
      </w:tr>
      <w:tr>
        <w:trPr>
          <w:trHeight w:val="144"/>
        </w:trPr>
        <w:tc>
          <w:tcPr>
            <w:tcW w:w="8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40" w:type="dxa"/>
            <w:vAlign w:val="bottom"/>
            <w:gridSpan w:val="2"/>
          </w:tcPr>
          <w:p>
            <w:pPr>
              <w:jc w:val="center"/>
              <w:ind w:right="10"/>
              <w:spacing w:after="0" w:line="144" w:lineRule="exact"/>
              <w:rPr>
                <w:sz w:val="20"/>
                <w:szCs w:val="20"/>
                <w:color w:val="auto"/>
              </w:rPr>
            </w:pPr>
            <w:r>
              <w:rPr>
                <w:rFonts w:ascii="Times New Roman" w:cs="Times New Roman" w:eastAsia="Times New Roman" w:hAnsi="Times New Roman"/>
                <w:sz w:val="14"/>
                <w:szCs w:val="14"/>
                <w:b w:val="1"/>
                <w:bCs w:val="1"/>
                <w:color w:val="auto"/>
                <w:w w:val="99"/>
              </w:rPr>
              <w:t>Underlying Unexercised</w:t>
            </w:r>
          </w:p>
        </w:tc>
        <w:tc>
          <w:tcPr>
            <w:tcW w:w="5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8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w w:val="97"/>
              </w:rPr>
              <w:t>or Units of</w:t>
            </w:r>
          </w:p>
        </w:tc>
        <w:tc>
          <w:tcPr>
            <w:tcW w:w="88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rPr>
              <w:t>or Units of</w:t>
            </w:r>
          </w:p>
        </w:tc>
        <w:tc>
          <w:tcPr>
            <w:tcW w:w="106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w w:val="98"/>
              </w:rPr>
              <w:t>Shares, Units,</w:t>
            </w:r>
          </w:p>
        </w:tc>
        <w:tc>
          <w:tcPr>
            <w:tcW w:w="106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w w:val="99"/>
              </w:rPr>
              <w:t>Unearned Shares,</w:t>
            </w:r>
          </w:p>
        </w:tc>
        <w:tc>
          <w:tcPr>
            <w:tcW w:w="0" w:type="dxa"/>
            <w:vAlign w:val="bottom"/>
          </w:tcPr>
          <w:p>
            <w:pPr>
              <w:spacing w:after="0"/>
              <w:rPr>
                <w:sz w:val="1"/>
                <w:szCs w:val="1"/>
                <w:color w:val="auto"/>
              </w:rPr>
            </w:pPr>
          </w:p>
        </w:tc>
      </w:tr>
      <w:tr>
        <w:trPr>
          <w:trHeight w:val="182"/>
        </w:trPr>
        <w:tc>
          <w:tcPr>
            <w:tcW w:w="8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40" w:type="dxa"/>
            <w:vAlign w:val="bottom"/>
            <w:gridSpan w:val="2"/>
          </w:tcPr>
          <w:p>
            <w:pPr>
              <w:jc w:val="center"/>
              <w:ind w:right="10"/>
              <w:spacing w:after="0" w:line="182" w:lineRule="exact"/>
              <w:rPr>
                <w:sz w:val="20"/>
                <w:szCs w:val="20"/>
                <w:color w:val="auto"/>
              </w:rPr>
            </w:pPr>
            <w:r>
              <w:rPr>
                <w:rFonts w:ascii="Times New Roman" w:cs="Times New Roman" w:eastAsia="Times New Roman" w:hAnsi="Times New Roman"/>
                <w:sz w:val="14"/>
                <w:szCs w:val="14"/>
                <w:b w:val="1"/>
                <w:bCs w:val="1"/>
                <w:color w:val="auto"/>
                <w:w w:val="96"/>
              </w:rPr>
              <w:t>Options (#)</w:t>
            </w:r>
            <w:r>
              <w:rPr>
                <w:rFonts w:ascii="Times New Roman" w:cs="Times New Roman" w:eastAsia="Times New Roman" w:hAnsi="Times New Roman"/>
                <w:sz w:val="20"/>
                <w:szCs w:val="20"/>
                <w:b w:val="1"/>
                <w:bCs w:val="1"/>
                <w:color w:val="auto"/>
                <w:w w:val="96"/>
                <w:vertAlign w:val="superscript"/>
              </w:rPr>
              <w:t>(1)</w:t>
            </w:r>
          </w:p>
        </w:tc>
        <w:tc>
          <w:tcPr>
            <w:tcW w:w="560" w:type="dxa"/>
            <w:vAlign w:val="bottom"/>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700" w:type="dxa"/>
            <w:vAlign w:val="bottom"/>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Stock That</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Stock That</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or Other Rights</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Units, or Other</w:t>
            </w:r>
          </w:p>
        </w:tc>
        <w:tc>
          <w:tcPr>
            <w:tcW w:w="0" w:type="dxa"/>
            <w:vAlign w:val="bottom"/>
          </w:tcPr>
          <w:p>
            <w:pPr>
              <w:spacing w:after="0"/>
              <w:rPr>
                <w:sz w:val="1"/>
                <w:szCs w:val="1"/>
                <w:color w:val="auto"/>
              </w:rPr>
            </w:pPr>
          </w:p>
        </w:tc>
      </w:tr>
      <w:tr>
        <w:trPr>
          <w:trHeight w:val="65"/>
        </w:trPr>
        <w:tc>
          <w:tcPr>
            <w:tcW w:w="8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700" w:type="dxa"/>
            <w:vAlign w:val="bottom"/>
            <w:vMerge w:val="restart"/>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w w:val="98"/>
              </w:rPr>
              <w:t>Grant</w:t>
            </w:r>
          </w:p>
        </w:tc>
        <w:tc>
          <w:tcPr>
            <w:tcW w:w="74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260" w:type="dxa"/>
            <w:vAlign w:val="bottom"/>
            <w:gridSpan w:val="2"/>
            <w:vMerge w:val="restart"/>
          </w:tcPr>
          <w:p>
            <w:pPr>
              <w:jc w:val="right"/>
              <w:spacing w:after="0" w:line="144" w:lineRule="exact"/>
              <w:rPr>
                <w:sz w:val="20"/>
                <w:szCs w:val="20"/>
                <w:color w:val="auto"/>
              </w:rPr>
            </w:pPr>
            <w:r>
              <w:rPr>
                <w:rFonts w:ascii="Times New Roman" w:cs="Times New Roman" w:eastAsia="Times New Roman" w:hAnsi="Times New Roman"/>
                <w:sz w:val="14"/>
                <w:szCs w:val="14"/>
                <w:b w:val="1"/>
                <w:bCs w:val="1"/>
                <w:color w:val="auto"/>
                <w:w w:val="99"/>
              </w:rPr>
              <w:t>Exercise Expiration</w:t>
            </w:r>
          </w:p>
        </w:tc>
        <w:tc>
          <w:tcPr>
            <w:tcW w:w="780" w:type="dxa"/>
            <w:vAlign w:val="bottom"/>
            <w:vMerge w:val="restart"/>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w w:val="99"/>
              </w:rPr>
              <w:t>Have Not</w:t>
            </w:r>
          </w:p>
        </w:tc>
        <w:tc>
          <w:tcPr>
            <w:tcW w:w="880" w:type="dxa"/>
            <w:vAlign w:val="bottom"/>
            <w:vMerge w:val="restart"/>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w w:val="99"/>
              </w:rPr>
              <w:t>Have Not</w:t>
            </w:r>
          </w:p>
        </w:tc>
        <w:tc>
          <w:tcPr>
            <w:tcW w:w="1060" w:type="dxa"/>
            <w:vAlign w:val="bottom"/>
            <w:vMerge w:val="restart"/>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w w:val="99"/>
              </w:rPr>
              <w:t>That Have Not</w:t>
            </w:r>
          </w:p>
        </w:tc>
        <w:tc>
          <w:tcPr>
            <w:tcW w:w="1060" w:type="dxa"/>
            <w:vAlign w:val="bottom"/>
            <w:vMerge w:val="restart"/>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w w:val="98"/>
              </w:rPr>
              <w:t>Rights That Have</w:t>
            </w:r>
          </w:p>
        </w:tc>
        <w:tc>
          <w:tcPr>
            <w:tcW w:w="0" w:type="dxa"/>
            <w:vAlign w:val="bottom"/>
          </w:tcPr>
          <w:p>
            <w:pPr>
              <w:spacing w:after="0"/>
              <w:rPr>
                <w:sz w:val="1"/>
                <w:szCs w:val="1"/>
                <w:color w:val="auto"/>
              </w:rPr>
            </w:pPr>
          </w:p>
        </w:tc>
      </w:tr>
      <w:tr>
        <w:trPr>
          <w:trHeight w:val="59"/>
        </w:trPr>
        <w:tc>
          <w:tcPr>
            <w:tcW w:w="86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88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860" w:type="dxa"/>
            <w:vAlign w:val="bottom"/>
            <w:vMerge w:val="continue"/>
          </w:tcPr>
          <w:p>
            <w:pPr>
              <w:spacing w:after="0"/>
              <w:rPr>
                <w:sz w:val="18"/>
                <w:szCs w:val="18"/>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22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Exercisable Unexercisable Price ($)</w:t>
            </w:r>
          </w:p>
        </w:tc>
        <w:tc>
          <w:tcPr>
            <w:tcW w:w="700" w:type="dxa"/>
            <w:vAlign w:val="bottom"/>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Date</w:t>
            </w:r>
          </w:p>
        </w:tc>
        <w:tc>
          <w:tcPr>
            <w:tcW w:w="780" w:type="dxa"/>
            <w:vAlign w:val="bottom"/>
          </w:tcPr>
          <w:p>
            <w:pPr>
              <w:jc w:val="center"/>
              <w:spacing w:after="0" w:line="209" w:lineRule="exact"/>
              <w:rPr>
                <w:sz w:val="20"/>
                <w:szCs w:val="20"/>
                <w:color w:val="auto"/>
              </w:rPr>
            </w:pPr>
            <w:r>
              <w:rPr>
                <w:rFonts w:ascii="Times New Roman" w:cs="Times New Roman" w:eastAsia="Times New Roman" w:hAnsi="Times New Roman"/>
                <w:sz w:val="14"/>
                <w:szCs w:val="14"/>
                <w:b w:val="1"/>
                <w:bCs w:val="1"/>
                <w:color w:val="auto"/>
                <w:w w:val="92"/>
              </w:rPr>
              <w:t>Vested (#)</w:t>
            </w:r>
            <w:r>
              <w:rPr>
                <w:rFonts w:ascii="Times New Roman" w:cs="Times New Roman" w:eastAsia="Times New Roman" w:hAnsi="Times New Roman"/>
                <w:sz w:val="20"/>
                <w:szCs w:val="20"/>
                <w:b w:val="1"/>
                <w:bCs w:val="1"/>
                <w:color w:val="auto"/>
                <w:w w:val="92"/>
                <w:vertAlign w:val="superscript"/>
              </w:rPr>
              <w:t>(2)</w:t>
            </w:r>
          </w:p>
        </w:tc>
        <w:tc>
          <w:tcPr>
            <w:tcW w:w="880" w:type="dxa"/>
            <w:vAlign w:val="bottom"/>
          </w:tcPr>
          <w:p>
            <w:pPr>
              <w:jc w:val="center"/>
              <w:spacing w:after="0" w:line="209" w:lineRule="exact"/>
              <w:rPr>
                <w:sz w:val="20"/>
                <w:szCs w:val="20"/>
                <w:color w:val="auto"/>
              </w:rPr>
            </w:pPr>
            <w:r>
              <w:rPr>
                <w:rFonts w:ascii="Times New Roman" w:cs="Times New Roman" w:eastAsia="Times New Roman" w:hAnsi="Times New Roman"/>
                <w:sz w:val="14"/>
                <w:szCs w:val="14"/>
                <w:b w:val="1"/>
                <w:bCs w:val="1"/>
                <w:color w:val="auto"/>
                <w:w w:val="94"/>
              </w:rPr>
              <w:t>Vested ($)</w:t>
            </w:r>
            <w:r>
              <w:rPr>
                <w:rFonts w:ascii="Times New Roman" w:cs="Times New Roman" w:eastAsia="Times New Roman" w:hAnsi="Times New Roman"/>
                <w:sz w:val="20"/>
                <w:szCs w:val="20"/>
                <w:b w:val="1"/>
                <w:bCs w:val="1"/>
                <w:color w:val="auto"/>
                <w:w w:val="94"/>
                <w:vertAlign w:val="superscript"/>
              </w:rPr>
              <w:t>(4)</w:t>
            </w:r>
          </w:p>
        </w:tc>
        <w:tc>
          <w:tcPr>
            <w:tcW w:w="1060" w:type="dxa"/>
            <w:vAlign w:val="bottom"/>
          </w:tcPr>
          <w:p>
            <w:pPr>
              <w:jc w:val="center"/>
              <w:spacing w:after="0" w:line="209" w:lineRule="exact"/>
              <w:rPr>
                <w:sz w:val="20"/>
                <w:szCs w:val="20"/>
                <w:color w:val="auto"/>
              </w:rPr>
            </w:pPr>
            <w:r>
              <w:rPr>
                <w:rFonts w:ascii="Times New Roman" w:cs="Times New Roman" w:eastAsia="Times New Roman" w:hAnsi="Times New Roman"/>
                <w:sz w:val="14"/>
                <w:szCs w:val="14"/>
                <w:b w:val="1"/>
                <w:bCs w:val="1"/>
                <w:color w:val="auto"/>
                <w:w w:val="94"/>
              </w:rPr>
              <w:t>Vested (#)</w:t>
            </w:r>
            <w:r>
              <w:rPr>
                <w:rFonts w:ascii="Times New Roman" w:cs="Times New Roman" w:eastAsia="Times New Roman" w:hAnsi="Times New Roman"/>
                <w:sz w:val="20"/>
                <w:szCs w:val="20"/>
                <w:b w:val="1"/>
                <w:bCs w:val="1"/>
                <w:color w:val="auto"/>
                <w:w w:val="94"/>
                <w:vertAlign w:val="superscript"/>
              </w:rPr>
              <w:t>(3)</w:t>
            </w:r>
          </w:p>
        </w:tc>
        <w:tc>
          <w:tcPr>
            <w:tcW w:w="1060" w:type="dxa"/>
            <w:vAlign w:val="bottom"/>
          </w:tcPr>
          <w:p>
            <w:pPr>
              <w:jc w:val="center"/>
              <w:spacing w:after="0" w:line="209" w:lineRule="exact"/>
              <w:rPr>
                <w:sz w:val="20"/>
                <w:szCs w:val="20"/>
                <w:color w:val="auto"/>
              </w:rPr>
            </w:pPr>
            <w:r>
              <w:rPr>
                <w:rFonts w:ascii="Times New Roman" w:cs="Times New Roman" w:eastAsia="Times New Roman" w:hAnsi="Times New Roman"/>
                <w:sz w:val="14"/>
                <w:szCs w:val="14"/>
                <w:b w:val="1"/>
                <w:bCs w:val="1"/>
                <w:color w:val="auto"/>
                <w:w w:val="94"/>
              </w:rPr>
              <w:t>Not Vested ($)</w:t>
            </w:r>
            <w:r>
              <w:rPr>
                <w:rFonts w:ascii="Times New Roman" w:cs="Times New Roman" w:eastAsia="Times New Roman" w:hAnsi="Times New Roman"/>
                <w:sz w:val="20"/>
                <w:szCs w:val="20"/>
                <w:b w:val="1"/>
                <w:bCs w:val="1"/>
                <w:color w:val="auto"/>
                <w:w w:val="94"/>
                <w:vertAlign w:val="superscript"/>
              </w:rPr>
              <w:t>(4)</w:t>
            </w:r>
          </w:p>
        </w:tc>
        <w:tc>
          <w:tcPr>
            <w:tcW w:w="0" w:type="dxa"/>
            <w:vAlign w:val="bottom"/>
          </w:tcPr>
          <w:p>
            <w:pPr>
              <w:spacing w:after="0"/>
              <w:rPr>
                <w:sz w:val="1"/>
                <w:szCs w:val="1"/>
                <w:color w:val="auto"/>
              </w:rPr>
            </w:pPr>
          </w:p>
        </w:tc>
      </w:tr>
      <w:tr>
        <w:trPr>
          <w:trHeight w:val="20"/>
        </w:trPr>
        <w:tc>
          <w:tcPr>
            <w:tcW w:w="860" w:type="dxa"/>
            <w:vAlign w:val="bottom"/>
            <w:tcBorders>
              <w:right w:val="single" w:sz="8" w:color="CDE9F6"/>
            </w:tcBorders>
            <w:shd w:val="clear" w:color="auto" w:fill="000000"/>
          </w:tcPr>
          <w:p>
            <w:pPr>
              <w:spacing w:after="0" w:line="20" w:lineRule="exact"/>
              <w:rPr>
                <w:sz w:val="1"/>
                <w:szCs w:val="1"/>
                <w:color w:val="auto"/>
              </w:rPr>
            </w:pPr>
          </w:p>
        </w:tc>
        <w:tc>
          <w:tcPr>
            <w:tcW w:w="700" w:type="dxa"/>
            <w:vAlign w:val="bottom"/>
            <w:tcBorders>
              <w:right w:val="single" w:sz="8" w:color="CDE9F6"/>
            </w:tcBorders>
            <w:shd w:val="clear" w:color="auto" w:fill="000000"/>
          </w:tcPr>
          <w:p>
            <w:pPr>
              <w:spacing w:after="0" w:line="20" w:lineRule="exact"/>
              <w:rPr>
                <w:sz w:val="1"/>
                <w:szCs w:val="1"/>
                <w:color w:val="auto"/>
              </w:rPr>
            </w:pPr>
          </w:p>
        </w:tc>
        <w:tc>
          <w:tcPr>
            <w:tcW w:w="740" w:type="dxa"/>
            <w:vAlign w:val="bottom"/>
            <w:tcBorders>
              <w:right w:val="single" w:sz="8" w:color="CDE9F6"/>
            </w:tcBorders>
            <w:shd w:val="clear" w:color="auto" w:fill="000000"/>
          </w:tcPr>
          <w:p>
            <w:pPr>
              <w:spacing w:after="0" w:line="20" w:lineRule="exact"/>
              <w:rPr>
                <w:sz w:val="1"/>
                <w:szCs w:val="1"/>
                <w:color w:val="auto"/>
              </w:rPr>
            </w:pPr>
          </w:p>
        </w:tc>
        <w:tc>
          <w:tcPr>
            <w:tcW w:w="900" w:type="dxa"/>
            <w:vAlign w:val="bottom"/>
            <w:tcBorders>
              <w:right w:val="single" w:sz="8" w:color="CDE9F6"/>
            </w:tcBorders>
            <w:shd w:val="clear" w:color="auto" w:fill="000000"/>
          </w:tcPr>
          <w:p>
            <w:pPr>
              <w:spacing w:after="0" w:line="20" w:lineRule="exact"/>
              <w:rPr>
                <w:sz w:val="1"/>
                <w:szCs w:val="1"/>
                <w:color w:val="auto"/>
              </w:rPr>
            </w:pPr>
          </w:p>
        </w:tc>
        <w:tc>
          <w:tcPr>
            <w:tcW w:w="560" w:type="dxa"/>
            <w:vAlign w:val="bottom"/>
            <w:tcBorders>
              <w:right w:val="single" w:sz="8" w:color="CDE9F6"/>
            </w:tcBorders>
            <w:shd w:val="clear" w:color="auto" w:fill="000000"/>
          </w:tcPr>
          <w:p>
            <w:pPr>
              <w:spacing w:after="0" w:line="20" w:lineRule="exact"/>
              <w:rPr>
                <w:sz w:val="1"/>
                <w:szCs w:val="1"/>
                <w:color w:val="auto"/>
              </w:rPr>
            </w:pPr>
          </w:p>
        </w:tc>
        <w:tc>
          <w:tcPr>
            <w:tcW w:w="700" w:type="dxa"/>
            <w:vAlign w:val="bottom"/>
            <w:tcBorders>
              <w:right w:val="single" w:sz="8" w:color="CDE9F6"/>
            </w:tcBorders>
            <w:shd w:val="clear" w:color="auto" w:fill="000000"/>
          </w:tcPr>
          <w:p>
            <w:pPr>
              <w:spacing w:after="0" w:line="20" w:lineRule="exact"/>
              <w:rPr>
                <w:sz w:val="1"/>
                <w:szCs w:val="1"/>
                <w:color w:val="auto"/>
              </w:rPr>
            </w:pPr>
          </w:p>
        </w:tc>
        <w:tc>
          <w:tcPr>
            <w:tcW w:w="780" w:type="dxa"/>
            <w:vAlign w:val="bottom"/>
            <w:tcBorders>
              <w:right w:val="single" w:sz="8" w:color="CDE9F6"/>
            </w:tcBorders>
            <w:shd w:val="clear" w:color="auto" w:fill="000000"/>
          </w:tcPr>
          <w:p>
            <w:pPr>
              <w:spacing w:after="0" w:line="20" w:lineRule="exact"/>
              <w:rPr>
                <w:sz w:val="1"/>
                <w:szCs w:val="1"/>
                <w:color w:val="auto"/>
              </w:rPr>
            </w:pPr>
          </w:p>
        </w:tc>
        <w:tc>
          <w:tcPr>
            <w:tcW w:w="880" w:type="dxa"/>
            <w:vAlign w:val="bottom"/>
            <w:tcBorders>
              <w:right w:val="single" w:sz="8" w:color="CDE9F6"/>
            </w:tcBorders>
            <w:shd w:val="clear" w:color="auto" w:fill="000000"/>
          </w:tcPr>
          <w:p>
            <w:pPr>
              <w:spacing w:after="0" w:line="20" w:lineRule="exact"/>
              <w:rPr>
                <w:sz w:val="1"/>
                <w:szCs w:val="1"/>
                <w:color w:val="auto"/>
              </w:rPr>
            </w:pPr>
          </w:p>
        </w:tc>
        <w:tc>
          <w:tcPr>
            <w:tcW w:w="1060" w:type="dxa"/>
            <w:vAlign w:val="bottom"/>
            <w:tcBorders>
              <w:right w:val="single" w:sz="8" w:color="CDE9F6"/>
            </w:tcBorders>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860" w:type="dxa"/>
            <w:vAlign w:val="bottom"/>
            <w:tcBorders>
              <w:right w:val="single" w:sz="8" w:color="CDE9F6"/>
            </w:tcBorders>
            <w:shd w:val="clear" w:color="auto" w:fill="CDE9F6"/>
          </w:tcPr>
          <w:p>
            <w:pPr>
              <w:spacing w:after="0"/>
              <w:rPr>
                <w:sz w:val="20"/>
                <w:szCs w:val="20"/>
                <w:color w:val="auto"/>
              </w:rPr>
            </w:pPr>
            <w:r>
              <w:rPr>
                <w:rFonts w:ascii="Times New Roman" w:cs="Times New Roman" w:eastAsia="Times New Roman" w:hAnsi="Times New Roman"/>
                <w:sz w:val="14"/>
                <w:szCs w:val="14"/>
                <w:color w:val="auto"/>
              </w:rPr>
              <w:t>Ken Xie</w:t>
            </w:r>
          </w:p>
        </w:tc>
        <w:tc>
          <w:tcPr>
            <w:tcW w:w="700" w:type="dxa"/>
            <w:vAlign w:val="bottom"/>
            <w:tcBorders>
              <w:right w:val="single" w:sz="8" w:color="CDE9F6"/>
            </w:tcBorders>
            <w:shd w:val="clear" w:color="auto" w:fill="CDE9F6"/>
          </w:tcPr>
          <w:p>
            <w:pPr>
              <w:jc w:val="center"/>
              <w:spacing w:after="0"/>
              <w:rPr>
                <w:sz w:val="20"/>
                <w:szCs w:val="20"/>
                <w:color w:val="auto"/>
              </w:rPr>
            </w:pPr>
            <w:r>
              <w:rPr>
                <w:rFonts w:ascii="Times New Roman" w:cs="Times New Roman" w:eastAsia="Times New Roman" w:hAnsi="Times New Roman"/>
                <w:sz w:val="14"/>
                <w:szCs w:val="14"/>
                <w:color w:val="auto"/>
                <w:w w:val="98"/>
              </w:rPr>
              <w:t>2/21/2019</w:t>
            </w:r>
          </w:p>
        </w:tc>
        <w:tc>
          <w:tcPr>
            <w:tcW w:w="740" w:type="dxa"/>
            <w:vAlign w:val="bottom"/>
            <w:tcBorders>
              <w:right w:val="single" w:sz="8" w:color="CDE9F6"/>
            </w:tcBorders>
            <w:shd w:val="clear" w:color="auto" w:fill="CDE9F6"/>
          </w:tcPr>
          <w:p>
            <w:pPr>
              <w:jc w:val="right"/>
              <w:spacing w:after="0"/>
              <w:rPr>
                <w:sz w:val="20"/>
                <w:szCs w:val="20"/>
                <w:color w:val="auto"/>
              </w:rPr>
            </w:pPr>
            <w:r>
              <w:rPr>
                <w:rFonts w:ascii="Times New Roman" w:cs="Times New Roman" w:eastAsia="Times New Roman" w:hAnsi="Times New Roman"/>
                <w:sz w:val="14"/>
                <w:szCs w:val="14"/>
                <w:color w:val="auto"/>
              </w:rPr>
              <w:t>134,880</w:t>
            </w:r>
          </w:p>
        </w:tc>
        <w:tc>
          <w:tcPr>
            <w:tcW w:w="900" w:type="dxa"/>
            <w:vAlign w:val="bottom"/>
            <w:tcBorders>
              <w:right w:val="single" w:sz="8" w:color="CDE9F6"/>
            </w:tcBorders>
            <w:shd w:val="clear" w:color="auto" w:fill="CDE9F6"/>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right w:val="single" w:sz="8" w:color="CDE9F6"/>
            </w:tcBorders>
            <w:shd w:val="clear" w:color="auto" w:fill="CDE9F6"/>
          </w:tcPr>
          <w:p>
            <w:pPr>
              <w:jc w:val="right"/>
              <w:spacing w:after="0"/>
              <w:rPr>
                <w:sz w:val="20"/>
                <w:szCs w:val="20"/>
                <w:color w:val="auto"/>
              </w:rPr>
            </w:pPr>
            <w:r>
              <w:rPr>
                <w:rFonts w:ascii="Times New Roman" w:cs="Times New Roman" w:eastAsia="Times New Roman" w:hAnsi="Times New Roman"/>
                <w:sz w:val="14"/>
                <w:szCs w:val="14"/>
                <w:color w:val="auto"/>
              </w:rPr>
              <w:t>16.90</w:t>
            </w:r>
          </w:p>
        </w:tc>
        <w:tc>
          <w:tcPr>
            <w:tcW w:w="700" w:type="dxa"/>
            <w:vAlign w:val="bottom"/>
            <w:tcBorders>
              <w:right w:val="single" w:sz="8" w:color="CDE9F6"/>
            </w:tcBorders>
            <w:shd w:val="clear" w:color="auto" w:fill="CDE9F6"/>
          </w:tcPr>
          <w:p>
            <w:pPr>
              <w:jc w:val="right"/>
              <w:spacing w:after="0"/>
              <w:rPr>
                <w:sz w:val="20"/>
                <w:szCs w:val="20"/>
                <w:color w:val="auto"/>
              </w:rPr>
            </w:pPr>
            <w:r>
              <w:rPr>
                <w:rFonts w:ascii="Times New Roman" w:cs="Times New Roman" w:eastAsia="Times New Roman" w:hAnsi="Times New Roman"/>
                <w:sz w:val="14"/>
                <w:szCs w:val="14"/>
                <w:color w:val="auto"/>
              </w:rPr>
              <w:t>2/21/2026</w:t>
            </w:r>
          </w:p>
        </w:tc>
        <w:tc>
          <w:tcPr>
            <w:tcW w:w="780" w:type="dxa"/>
            <w:vAlign w:val="bottom"/>
            <w:tcBorders>
              <w:right w:val="single" w:sz="8" w:color="CDE9F6"/>
            </w:tcBorders>
            <w:shd w:val="clear" w:color="auto" w:fill="CDE9F6"/>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right w:val="single" w:sz="8" w:color="CDE9F6"/>
            </w:tcBorders>
            <w:shd w:val="clear" w:color="auto" w:fill="CDE9F6"/>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right w:val="single" w:sz="8" w:color="CDE9F6"/>
            </w:tcBorders>
            <w:shd w:val="clear" w:color="auto" w:fill="CDE9F6"/>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DE9F6"/>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5"/>
        </w:trPr>
        <w:tc>
          <w:tcPr>
            <w:tcW w:w="860" w:type="dxa"/>
            <w:vAlign w:val="bottom"/>
            <w:tcBorders>
              <w:right w:val="single" w:sz="8" w:color="CDE9F6"/>
            </w:tcBorders>
            <w:shd w:val="clear" w:color="auto" w:fill="CDE9F6"/>
          </w:tcPr>
          <w:p>
            <w:pPr>
              <w:spacing w:after="0"/>
              <w:rPr>
                <w:sz w:val="23"/>
                <w:szCs w:val="23"/>
                <w:color w:val="auto"/>
              </w:rPr>
            </w:pPr>
          </w:p>
        </w:tc>
        <w:tc>
          <w:tcPr>
            <w:tcW w:w="700" w:type="dxa"/>
            <w:vAlign w:val="bottom"/>
            <w:tcBorders>
              <w:right w:val="single" w:sz="8" w:color="CDE9F6"/>
            </w:tcBorders>
            <w:shd w:val="clear" w:color="auto" w:fill="CDE9F6"/>
          </w:tcPr>
          <w:p>
            <w:pPr>
              <w:jc w:val="center"/>
              <w:spacing w:after="0"/>
              <w:rPr>
                <w:sz w:val="20"/>
                <w:szCs w:val="20"/>
                <w:color w:val="auto"/>
              </w:rPr>
            </w:pPr>
            <w:r>
              <w:rPr>
                <w:rFonts w:ascii="Times New Roman" w:cs="Times New Roman" w:eastAsia="Times New Roman" w:hAnsi="Times New Roman"/>
                <w:sz w:val="14"/>
                <w:szCs w:val="14"/>
                <w:color w:val="auto"/>
                <w:w w:val="98"/>
              </w:rPr>
              <w:t>2/21/2020</w:t>
            </w:r>
          </w:p>
        </w:tc>
        <w:tc>
          <w:tcPr>
            <w:tcW w:w="740" w:type="dxa"/>
            <w:vAlign w:val="bottom"/>
            <w:tcBorders>
              <w:right w:val="single" w:sz="8" w:color="CDE9F6"/>
            </w:tcBorders>
            <w:shd w:val="clear" w:color="auto" w:fill="CDE9F6"/>
          </w:tcPr>
          <w:p>
            <w:pPr>
              <w:jc w:val="right"/>
              <w:spacing w:after="0"/>
              <w:rPr>
                <w:sz w:val="20"/>
                <w:szCs w:val="20"/>
                <w:color w:val="auto"/>
              </w:rPr>
            </w:pPr>
            <w:r>
              <w:rPr>
                <w:rFonts w:ascii="Times New Roman" w:cs="Times New Roman" w:eastAsia="Times New Roman" w:hAnsi="Times New Roman"/>
                <w:sz w:val="14"/>
                <w:szCs w:val="14"/>
                <w:color w:val="auto"/>
              </w:rPr>
              <w:t>616,470</w:t>
            </w:r>
          </w:p>
        </w:tc>
        <w:tc>
          <w:tcPr>
            <w:tcW w:w="900" w:type="dxa"/>
            <w:vAlign w:val="bottom"/>
            <w:tcBorders>
              <w:right w:val="single" w:sz="8" w:color="CDE9F6"/>
            </w:tcBorders>
            <w:shd w:val="clear" w:color="auto" w:fill="CDE9F6"/>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right w:val="single" w:sz="8" w:color="CDE9F6"/>
            </w:tcBorders>
            <w:shd w:val="clear" w:color="auto" w:fill="CDE9F6"/>
          </w:tcPr>
          <w:p>
            <w:pPr>
              <w:jc w:val="right"/>
              <w:spacing w:after="0"/>
              <w:rPr>
                <w:sz w:val="20"/>
                <w:szCs w:val="20"/>
                <w:color w:val="auto"/>
              </w:rPr>
            </w:pPr>
            <w:r>
              <w:rPr>
                <w:rFonts w:ascii="Times New Roman" w:cs="Times New Roman" w:eastAsia="Times New Roman" w:hAnsi="Times New Roman"/>
                <w:sz w:val="14"/>
                <w:szCs w:val="14"/>
                <w:color w:val="auto"/>
              </w:rPr>
              <w:t>22.90</w:t>
            </w:r>
          </w:p>
        </w:tc>
        <w:tc>
          <w:tcPr>
            <w:tcW w:w="700" w:type="dxa"/>
            <w:vAlign w:val="bottom"/>
            <w:tcBorders>
              <w:right w:val="single" w:sz="8" w:color="CDE9F6"/>
            </w:tcBorders>
            <w:shd w:val="clear" w:color="auto" w:fill="CDE9F6"/>
          </w:tcPr>
          <w:p>
            <w:pPr>
              <w:jc w:val="right"/>
              <w:spacing w:after="0"/>
              <w:rPr>
                <w:sz w:val="20"/>
                <w:szCs w:val="20"/>
                <w:color w:val="auto"/>
              </w:rPr>
            </w:pPr>
            <w:r>
              <w:rPr>
                <w:rFonts w:ascii="Times New Roman" w:cs="Times New Roman" w:eastAsia="Times New Roman" w:hAnsi="Times New Roman"/>
                <w:sz w:val="14"/>
                <w:szCs w:val="14"/>
                <w:color w:val="auto"/>
              </w:rPr>
              <w:t>2/21/2027</w:t>
            </w:r>
          </w:p>
        </w:tc>
        <w:tc>
          <w:tcPr>
            <w:tcW w:w="780" w:type="dxa"/>
            <w:vAlign w:val="bottom"/>
            <w:tcBorders>
              <w:right w:val="single" w:sz="8" w:color="CDE9F6"/>
            </w:tcBorders>
            <w:shd w:val="clear" w:color="auto" w:fill="CDE9F6"/>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right w:val="single" w:sz="8" w:color="CDE9F6"/>
            </w:tcBorders>
            <w:shd w:val="clear" w:color="auto" w:fill="CDE9F6"/>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right w:val="single" w:sz="8" w:color="CDE9F6"/>
            </w:tcBorders>
            <w:shd w:val="clear" w:color="auto" w:fill="CDE9F6"/>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DE9F6"/>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5"/>
        </w:trPr>
        <w:tc>
          <w:tcPr>
            <w:tcW w:w="860" w:type="dxa"/>
            <w:vAlign w:val="bottom"/>
            <w:tcBorders>
              <w:right w:val="single" w:sz="8" w:color="CDE9F6"/>
            </w:tcBorders>
            <w:shd w:val="clear" w:color="auto" w:fill="CDE9F6"/>
          </w:tcPr>
          <w:p>
            <w:pPr>
              <w:spacing w:after="0"/>
              <w:rPr>
                <w:sz w:val="23"/>
                <w:szCs w:val="23"/>
                <w:color w:val="auto"/>
              </w:rPr>
            </w:pPr>
          </w:p>
        </w:tc>
        <w:tc>
          <w:tcPr>
            <w:tcW w:w="700" w:type="dxa"/>
            <w:vAlign w:val="bottom"/>
            <w:tcBorders>
              <w:right w:val="single" w:sz="8" w:color="CDE9F6"/>
            </w:tcBorders>
            <w:shd w:val="clear" w:color="auto" w:fill="CDE9F6"/>
          </w:tcPr>
          <w:p>
            <w:pPr>
              <w:jc w:val="center"/>
              <w:spacing w:after="0"/>
              <w:rPr>
                <w:sz w:val="20"/>
                <w:szCs w:val="20"/>
                <w:color w:val="auto"/>
              </w:rPr>
            </w:pPr>
            <w:r>
              <w:rPr>
                <w:rFonts w:ascii="Times New Roman" w:cs="Times New Roman" w:eastAsia="Times New Roman" w:hAnsi="Times New Roman"/>
                <w:sz w:val="14"/>
                <w:szCs w:val="14"/>
                <w:color w:val="auto"/>
                <w:w w:val="98"/>
              </w:rPr>
              <w:t>2/19/2021</w:t>
            </w:r>
          </w:p>
        </w:tc>
        <w:tc>
          <w:tcPr>
            <w:tcW w:w="740" w:type="dxa"/>
            <w:vAlign w:val="bottom"/>
            <w:tcBorders>
              <w:right w:val="single" w:sz="8" w:color="CDE9F6"/>
            </w:tcBorders>
            <w:shd w:val="clear" w:color="auto" w:fill="CDE9F6"/>
          </w:tcPr>
          <w:p>
            <w:pPr>
              <w:jc w:val="right"/>
              <w:spacing w:after="0"/>
              <w:rPr>
                <w:sz w:val="20"/>
                <w:szCs w:val="20"/>
                <w:color w:val="auto"/>
              </w:rPr>
            </w:pPr>
            <w:r>
              <w:rPr>
                <w:rFonts w:ascii="Times New Roman" w:cs="Times New Roman" w:eastAsia="Times New Roman" w:hAnsi="Times New Roman"/>
                <w:sz w:val="14"/>
                <w:szCs w:val="14"/>
                <w:color w:val="auto"/>
              </w:rPr>
              <w:t>544,005</w:t>
            </w:r>
          </w:p>
        </w:tc>
        <w:tc>
          <w:tcPr>
            <w:tcW w:w="900" w:type="dxa"/>
            <w:vAlign w:val="bottom"/>
            <w:tcBorders>
              <w:right w:val="single" w:sz="8" w:color="CDE9F6"/>
            </w:tcBorders>
            <w:shd w:val="clear" w:color="auto" w:fill="CDE9F6"/>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right w:val="single" w:sz="8" w:color="CDE9F6"/>
            </w:tcBorders>
            <w:shd w:val="clear" w:color="auto" w:fill="CDE9F6"/>
          </w:tcPr>
          <w:p>
            <w:pPr>
              <w:jc w:val="right"/>
              <w:spacing w:after="0"/>
              <w:rPr>
                <w:sz w:val="20"/>
                <w:szCs w:val="20"/>
                <w:color w:val="auto"/>
              </w:rPr>
            </w:pPr>
            <w:r>
              <w:rPr>
                <w:rFonts w:ascii="Times New Roman" w:cs="Times New Roman" w:eastAsia="Times New Roman" w:hAnsi="Times New Roman"/>
                <w:sz w:val="14"/>
                <w:szCs w:val="14"/>
                <w:color w:val="auto"/>
              </w:rPr>
              <w:t>34.39</w:t>
            </w:r>
          </w:p>
        </w:tc>
        <w:tc>
          <w:tcPr>
            <w:tcW w:w="700" w:type="dxa"/>
            <w:vAlign w:val="bottom"/>
            <w:tcBorders>
              <w:right w:val="single" w:sz="8" w:color="CDE9F6"/>
            </w:tcBorders>
            <w:shd w:val="clear" w:color="auto" w:fill="CDE9F6"/>
          </w:tcPr>
          <w:p>
            <w:pPr>
              <w:jc w:val="right"/>
              <w:spacing w:after="0"/>
              <w:rPr>
                <w:sz w:val="20"/>
                <w:szCs w:val="20"/>
                <w:color w:val="auto"/>
              </w:rPr>
            </w:pPr>
            <w:r>
              <w:rPr>
                <w:rFonts w:ascii="Times New Roman" w:cs="Times New Roman" w:eastAsia="Times New Roman" w:hAnsi="Times New Roman"/>
                <w:sz w:val="14"/>
                <w:szCs w:val="14"/>
                <w:color w:val="auto"/>
              </w:rPr>
              <w:t>2/19/2028</w:t>
            </w:r>
          </w:p>
        </w:tc>
        <w:tc>
          <w:tcPr>
            <w:tcW w:w="780" w:type="dxa"/>
            <w:vAlign w:val="bottom"/>
            <w:tcBorders>
              <w:right w:val="single" w:sz="8" w:color="CDE9F6"/>
            </w:tcBorders>
            <w:shd w:val="clear" w:color="auto" w:fill="CDE9F6"/>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right w:val="single" w:sz="8" w:color="CDE9F6"/>
            </w:tcBorders>
            <w:shd w:val="clear" w:color="auto" w:fill="CDE9F6"/>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right w:val="single" w:sz="8" w:color="CDE9F6"/>
            </w:tcBorders>
            <w:shd w:val="clear" w:color="auto" w:fill="CDE9F6"/>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DE9F6"/>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5"/>
        </w:trPr>
        <w:tc>
          <w:tcPr>
            <w:tcW w:w="860" w:type="dxa"/>
            <w:vAlign w:val="bottom"/>
            <w:tcBorders>
              <w:right w:val="single" w:sz="8" w:color="CDE9F6"/>
            </w:tcBorders>
            <w:shd w:val="clear" w:color="auto" w:fill="CDE9F6"/>
          </w:tcPr>
          <w:p>
            <w:pPr>
              <w:spacing w:after="0"/>
              <w:rPr>
                <w:sz w:val="23"/>
                <w:szCs w:val="23"/>
                <w:color w:val="auto"/>
              </w:rPr>
            </w:pPr>
          </w:p>
        </w:tc>
        <w:tc>
          <w:tcPr>
            <w:tcW w:w="700" w:type="dxa"/>
            <w:vAlign w:val="bottom"/>
            <w:tcBorders>
              <w:right w:val="single" w:sz="8" w:color="CDE9F6"/>
            </w:tcBorders>
            <w:shd w:val="clear" w:color="auto" w:fill="CDE9F6"/>
          </w:tcPr>
          <w:p>
            <w:pPr>
              <w:jc w:val="center"/>
              <w:spacing w:after="0"/>
              <w:rPr>
                <w:sz w:val="20"/>
                <w:szCs w:val="20"/>
                <w:color w:val="auto"/>
              </w:rPr>
            </w:pPr>
            <w:r>
              <w:rPr>
                <w:rFonts w:ascii="Times New Roman" w:cs="Times New Roman" w:eastAsia="Times New Roman" w:hAnsi="Times New Roman"/>
                <w:sz w:val="14"/>
                <w:szCs w:val="14"/>
                <w:color w:val="auto"/>
                <w:w w:val="98"/>
              </w:rPr>
              <w:t>2/17/2022</w:t>
            </w:r>
          </w:p>
        </w:tc>
        <w:tc>
          <w:tcPr>
            <w:tcW w:w="740" w:type="dxa"/>
            <w:vAlign w:val="bottom"/>
            <w:tcBorders>
              <w:right w:val="single" w:sz="8" w:color="CDE9F6"/>
            </w:tcBorders>
            <w:shd w:val="clear" w:color="auto" w:fill="CDE9F6"/>
          </w:tcPr>
          <w:p>
            <w:pPr>
              <w:jc w:val="right"/>
              <w:spacing w:after="0"/>
              <w:rPr>
                <w:sz w:val="20"/>
                <w:szCs w:val="20"/>
                <w:color w:val="auto"/>
              </w:rPr>
            </w:pPr>
            <w:r>
              <w:rPr>
                <w:rFonts w:ascii="Times New Roman" w:cs="Times New Roman" w:eastAsia="Times New Roman" w:hAnsi="Times New Roman"/>
                <w:sz w:val="14"/>
                <w:szCs w:val="14"/>
                <w:color w:val="auto"/>
              </w:rPr>
              <w:t>276,761</w:t>
            </w:r>
          </w:p>
        </w:tc>
        <w:tc>
          <w:tcPr>
            <w:tcW w:w="900" w:type="dxa"/>
            <w:vAlign w:val="bottom"/>
            <w:tcBorders>
              <w:right w:val="single" w:sz="8" w:color="CDE9F6"/>
            </w:tcBorders>
            <w:shd w:val="clear" w:color="auto" w:fill="CDE9F6"/>
          </w:tcPr>
          <w:p>
            <w:pPr>
              <w:jc w:val="right"/>
              <w:spacing w:after="0"/>
              <w:rPr>
                <w:sz w:val="20"/>
                <w:szCs w:val="20"/>
                <w:color w:val="auto"/>
              </w:rPr>
            </w:pPr>
            <w:r>
              <w:rPr>
                <w:rFonts w:ascii="Times New Roman" w:cs="Times New Roman" w:eastAsia="Times New Roman" w:hAnsi="Times New Roman"/>
                <w:sz w:val="14"/>
                <w:szCs w:val="14"/>
                <w:color w:val="auto"/>
              </w:rPr>
              <w:t>12,034</w:t>
            </w:r>
          </w:p>
        </w:tc>
        <w:tc>
          <w:tcPr>
            <w:tcW w:w="560" w:type="dxa"/>
            <w:vAlign w:val="bottom"/>
            <w:tcBorders>
              <w:right w:val="single" w:sz="8" w:color="CDE9F6"/>
            </w:tcBorders>
            <w:shd w:val="clear" w:color="auto" w:fill="CDE9F6"/>
          </w:tcPr>
          <w:p>
            <w:pPr>
              <w:jc w:val="right"/>
              <w:spacing w:after="0"/>
              <w:rPr>
                <w:sz w:val="20"/>
                <w:szCs w:val="20"/>
                <w:color w:val="auto"/>
              </w:rPr>
            </w:pPr>
            <w:r>
              <w:rPr>
                <w:rFonts w:ascii="Times New Roman" w:cs="Times New Roman" w:eastAsia="Times New Roman" w:hAnsi="Times New Roman"/>
                <w:sz w:val="14"/>
                <w:szCs w:val="14"/>
                <w:color w:val="auto"/>
              </w:rPr>
              <w:t>62.11</w:t>
            </w:r>
          </w:p>
        </w:tc>
        <w:tc>
          <w:tcPr>
            <w:tcW w:w="700" w:type="dxa"/>
            <w:vAlign w:val="bottom"/>
            <w:tcBorders>
              <w:right w:val="single" w:sz="8" w:color="CDE9F6"/>
            </w:tcBorders>
            <w:shd w:val="clear" w:color="auto" w:fill="CDE9F6"/>
          </w:tcPr>
          <w:p>
            <w:pPr>
              <w:jc w:val="right"/>
              <w:spacing w:after="0"/>
              <w:rPr>
                <w:sz w:val="20"/>
                <w:szCs w:val="20"/>
                <w:color w:val="auto"/>
              </w:rPr>
            </w:pPr>
            <w:r>
              <w:rPr>
                <w:rFonts w:ascii="Times New Roman" w:cs="Times New Roman" w:eastAsia="Times New Roman" w:hAnsi="Times New Roman"/>
                <w:sz w:val="14"/>
                <w:szCs w:val="14"/>
                <w:color w:val="auto"/>
              </w:rPr>
              <w:t>2/17/2029</w:t>
            </w:r>
          </w:p>
        </w:tc>
        <w:tc>
          <w:tcPr>
            <w:tcW w:w="780" w:type="dxa"/>
            <w:vAlign w:val="bottom"/>
            <w:tcBorders>
              <w:right w:val="single" w:sz="8" w:color="CDE9F6"/>
            </w:tcBorders>
            <w:shd w:val="clear" w:color="auto" w:fill="CDE9F6"/>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right w:val="single" w:sz="8" w:color="CDE9F6"/>
            </w:tcBorders>
            <w:shd w:val="clear" w:color="auto" w:fill="CDE9F6"/>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right w:val="single" w:sz="8" w:color="CDE9F6"/>
            </w:tcBorders>
            <w:shd w:val="clear" w:color="auto" w:fill="CDE9F6"/>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DE9F6"/>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5"/>
        </w:trPr>
        <w:tc>
          <w:tcPr>
            <w:tcW w:w="860" w:type="dxa"/>
            <w:vAlign w:val="bottom"/>
            <w:tcBorders>
              <w:right w:val="single" w:sz="8" w:color="CDE9F6"/>
            </w:tcBorders>
            <w:shd w:val="clear" w:color="auto" w:fill="CDE9F6"/>
          </w:tcPr>
          <w:p>
            <w:pPr>
              <w:spacing w:after="0"/>
              <w:rPr>
                <w:sz w:val="23"/>
                <w:szCs w:val="23"/>
                <w:color w:val="auto"/>
              </w:rPr>
            </w:pPr>
          </w:p>
        </w:tc>
        <w:tc>
          <w:tcPr>
            <w:tcW w:w="700" w:type="dxa"/>
            <w:vAlign w:val="bottom"/>
            <w:tcBorders>
              <w:right w:val="single" w:sz="8" w:color="CDE9F6"/>
            </w:tcBorders>
            <w:shd w:val="clear" w:color="auto" w:fill="CDE9F6"/>
          </w:tcPr>
          <w:p>
            <w:pPr>
              <w:jc w:val="center"/>
              <w:spacing w:after="0"/>
              <w:rPr>
                <w:sz w:val="20"/>
                <w:szCs w:val="20"/>
                <w:color w:val="auto"/>
              </w:rPr>
            </w:pPr>
            <w:r>
              <w:rPr>
                <w:rFonts w:ascii="Times New Roman" w:cs="Times New Roman" w:eastAsia="Times New Roman" w:hAnsi="Times New Roman"/>
                <w:sz w:val="14"/>
                <w:szCs w:val="14"/>
                <w:color w:val="auto"/>
                <w:w w:val="98"/>
              </w:rPr>
              <w:t>2/17/2022</w:t>
            </w:r>
          </w:p>
        </w:tc>
        <w:tc>
          <w:tcPr>
            <w:tcW w:w="740" w:type="dxa"/>
            <w:vAlign w:val="bottom"/>
            <w:tcBorders>
              <w:right w:val="single" w:sz="8" w:color="CDE9F6"/>
            </w:tcBorders>
            <w:shd w:val="clear" w:color="auto" w:fill="CDE9F6"/>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right w:val="single" w:sz="8" w:color="CDE9F6"/>
            </w:tcBorders>
            <w:shd w:val="clear" w:color="auto" w:fill="CDE9F6"/>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right w:val="single" w:sz="8" w:color="CDE9F6"/>
            </w:tcBorders>
            <w:shd w:val="clear" w:color="auto" w:fill="CDE9F6"/>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right w:val="single" w:sz="8" w:color="CDE9F6"/>
            </w:tcBorders>
            <w:shd w:val="clear" w:color="auto" w:fill="CDE9F6"/>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right w:val="single" w:sz="8" w:color="CDE9F6"/>
            </w:tcBorders>
            <w:shd w:val="clear" w:color="auto" w:fill="CDE9F6"/>
          </w:tcPr>
          <w:p>
            <w:pPr>
              <w:jc w:val="right"/>
              <w:ind w:right="110"/>
              <w:spacing w:after="0"/>
              <w:rPr>
                <w:sz w:val="20"/>
                <w:szCs w:val="20"/>
                <w:color w:val="auto"/>
              </w:rPr>
            </w:pPr>
            <w:r>
              <w:rPr>
                <w:rFonts w:ascii="Times New Roman" w:cs="Times New Roman" w:eastAsia="Times New Roman" w:hAnsi="Times New Roman"/>
                <w:sz w:val="14"/>
                <w:szCs w:val="14"/>
                <w:color w:val="auto"/>
              </w:rPr>
              <w:t>6,020</w:t>
            </w:r>
          </w:p>
        </w:tc>
        <w:tc>
          <w:tcPr>
            <w:tcW w:w="880" w:type="dxa"/>
            <w:vAlign w:val="bottom"/>
            <w:tcBorders>
              <w:right w:val="single" w:sz="8" w:color="CDE9F6"/>
            </w:tcBorders>
            <w:shd w:val="clear" w:color="auto" w:fill="CDE9F6"/>
          </w:tcPr>
          <w:p>
            <w:pPr>
              <w:jc w:val="right"/>
              <w:spacing w:after="0"/>
              <w:rPr>
                <w:sz w:val="20"/>
                <w:szCs w:val="20"/>
                <w:color w:val="auto"/>
              </w:rPr>
            </w:pPr>
            <w:r>
              <w:rPr>
                <w:rFonts w:ascii="Times New Roman" w:cs="Times New Roman" w:eastAsia="Times New Roman" w:hAnsi="Times New Roman"/>
                <w:sz w:val="14"/>
                <w:szCs w:val="14"/>
                <w:color w:val="auto"/>
              </w:rPr>
              <w:t>478,048</w:t>
            </w:r>
          </w:p>
        </w:tc>
        <w:tc>
          <w:tcPr>
            <w:tcW w:w="1060" w:type="dxa"/>
            <w:vAlign w:val="bottom"/>
            <w:tcBorders>
              <w:right w:val="single" w:sz="8" w:color="CDE9F6"/>
            </w:tcBorders>
            <w:shd w:val="clear" w:color="auto" w:fill="CDE9F6"/>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DE9F6"/>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5"/>
        </w:trPr>
        <w:tc>
          <w:tcPr>
            <w:tcW w:w="860" w:type="dxa"/>
            <w:vAlign w:val="bottom"/>
            <w:tcBorders>
              <w:right w:val="single" w:sz="8" w:color="CDE9F6"/>
            </w:tcBorders>
            <w:shd w:val="clear" w:color="auto" w:fill="CDE9F6"/>
          </w:tcPr>
          <w:p>
            <w:pPr>
              <w:spacing w:after="0"/>
              <w:rPr>
                <w:sz w:val="23"/>
                <w:szCs w:val="23"/>
                <w:color w:val="auto"/>
              </w:rPr>
            </w:pPr>
          </w:p>
        </w:tc>
        <w:tc>
          <w:tcPr>
            <w:tcW w:w="700" w:type="dxa"/>
            <w:vAlign w:val="bottom"/>
            <w:tcBorders>
              <w:right w:val="single" w:sz="8" w:color="CDE9F6"/>
            </w:tcBorders>
            <w:shd w:val="clear" w:color="auto" w:fill="CDE9F6"/>
          </w:tcPr>
          <w:p>
            <w:pPr>
              <w:jc w:val="center"/>
              <w:spacing w:after="0"/>
              <w:rPr>
                <w:sz w:val="20"/>
                <w:szCs w:val="20"/>
                <w:color w:val="auto"/>
              </w:rPr>
            </w:pPr>
            <w:r>
              <w:rPr>
                <w:rFonts w:ascii="Times New Roman" w:cs="Times New Roman" w:eastAsia="Times New Roman" w:hAnsi="Times New Roman"/>
                <w:sz w:val="14"/>
                <w:szCs w:val="14"/>
                <w:color w:val="auto"/>
                <w:w w:val="98"/>
              </w:rPr>
              <w:t>2/27/2023</w:t>
            </w:r>
          </w:p>
        </w:tc>
        <w:tc>
          <w:tcPr>
            <w:tcW w:w="740" w:type="dxa"/>
            <w:vAlign w:val="bottom"/>
            <w:tcBorders>
              <w:right w:val="single" w:sz="8" w:color="CDE9F6"/>
            </w:tcBorders>
            <w:shd w:val="clear" w:color="auto" w:fill="CDE9F6"/>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right w:val="single" w:sz="8" w:color="CDE9F6"/>
            </w:tcBorders>
            <w:shd w:val="clear" w:color="auto" w:fill="CDE9F6"/>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right w:val="single" w:sz="8" w:color="CDE9F6"/>
            </w:tcBorders>
            <w:shd w:val="clear" w:color="auto" w:fill="CDE9F6"/>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right w:val="single" w:sz="8" w:color="CDE9F6"/>
            </w:tcBorders>
            <w:shd w:val="clear" w:color="auto" w:fill="CDE9F6"/>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right w:val="single" w:sz="8" w:color="CDE9F6"/>
            </w:tcBorders>
            <w:shd w:val="clear" w:color="auto" w:fill="CDE9F6"/>
          </w:tcPr>
          <w:p>
            <w:pPr>
              <w:jc w:val="right"/>
              <w:ind w:right="110"/>
              <w:spacing w:after="0"/>
              <w:rPr>
                <w:sz w:val="20"/>
                <w:szCs w:val="20"/>
                <w:color w:val="auto"/>
              </w:rPr>
            </w:pPr>
            <w:r>
              <w:rPr>
                <w:rFonts w:ascii="Times New Roman" w:cs="Times New Roman" w:eastAsia="Times New Roman" w:hAnsi="Times New Roman"/>
                <w:sz w:val="14"/>
                <w:szCs w:val="14"/>
                <w:color w:val="auto"/>
              </w:rPr>
              <w:t>31,300</w:t>
            </w:r>
          </w:p>
        </w:tc>
        <w:tc>
          <w:tcPr>
            <w:tcW w:w="880" w:type="dxa"/>
            <w:vAlign w:val="bottom"/>
            <w:tcBorders>
              <w:right w:val="single" w:sz="8" w:color="CDE9F6"/>
            </w:tcBorders>
            <w:shd w:val="clear" w:color="auto" w:fill="CDE9F6"/>
          </w:tcPr>
          <w:p>
            <w:pPr>
              <w:jc w:val="right"/>
              <w:spacing w:after="0"/>
              <w:rPr>
                <w:sz w:val="20"/>
                <w:szCs w:val="20"/>
                <w:color w:val="auto"/>
              </w:rPr>
            </w:pPr>
            <w:r>
              <w:rPr>
                <w:rFonts w:ascii="Times New Roman" w:cs="Times New Roman" w:eastAsia="Times New Roman" w:hAnsi="Times New Roman"/>
                <w:sz w:val="14"/>
                <w:szCs w:val="14"/>
                <w:color w:val="auto"/>
              </w:rPr>
              <w:t>2,485,533</w:t>
            </w:r>
          </w:p>
        </w:tc>
        <w:tc>
          <w:tcPr>
            <w:tcW w:w="1060" w:type="dxa"/>
            <w:vAlign w:val="bottom"/>
            <w:tcBorders>
              <w:right w:val="single" w:sz="8" w:color="CDE9F6"/>
            </w:tcBorders>
            <w:shd w:val="clear" w:color="auto" w:fill="CDE9F6"/>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DE9F6"/>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5"/>
        </w:trPr>
        <w:tc>
          <w:tcPr>
            <w:tcW w:w="860" w:type="dxa"/>
            <w:vAlign w:val="bottom"/>
            <w:tcBorders>
              <w:right w:val="single" w:sz="8" w:color="CDE9F6"/>
            </w:tcBorders>
            <w:shd w:val="clear" w:color="auto" w:fill="CDE9F6"/>
          </w:tcPr>
          <w:p>
            <w:pPr>
              <w:spacing w:after="0"/>
              <w:rPr>
                <w:sz w:val="23"/>
                <w:szCs w:val="23"/>
                <w:color w:val="auto"/>
              </w:rPr>
            </w:pPr>
          </w:p>
        </w:tc>
        <w:tc>
          <w:tcPr>
            <w:tcW w:w="700" w:type="dxa"/>
            <w:vAlign w:val="bottom"/>
            <w:tcBorders>
              <w:right w:val="single" w:sz="8" w:color="CDE9F6"/>
            </w:tcBorders>
            <w:shd w:val="clear" w:color="auto" w:fill="CDE9F6"/>
          </w:tcPr>
          <w:p>
            <w:pPr>
              <w:jc w:val="center"/>
              <w:spacing w:after="0"/>
              <w:rPr>
                <w:sz w:val="20"/>
                <w:szCs w:val="20"/>
                <w:color w:val="auto"/>
              </w:rPr>
            </w:pPr>
            <w:r>
              <w:rPr>
                <w:rFonts w:ascii="Times New Roman" w:cs="Times New Roman" w:eastAsia="Times New Roman" w:hAnsi="Times New Roman"/>
                <w:sz w:val="14"/>
                <w:szCs w:val="14"/>
                <w:color w:val="auto"/>
                <w:w w:val="98"/>
              </w:rPr>
              <w:t>2/27/2023</w:t>
            </w:r>
          </w:p>
        </w:tc>
        <w:tc>
          <w:tcPr>
            <w:tcW w:w="740" w:type="dxa"/>
            <w:vAlign w:val="bottom"/>
            <w:tcBorders>
              <w:right w:val="single" w:sz="8" w:color="CDE9F6"/>
            </w:tcBorders>
            <w:shd w:val="clear" w:color="auto" w:fill="CDE9F6"/>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right w:val="single" w:sz="8" w:color="CDE9F6"/>
            </w:tcBorders>
            <w:shd w:val="clear" w:color="auto" w:fill="CDE9F6"/>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right w:val="single" w:sz="8" w:color="CDE9F6"/>
            </w:tcBorders>
            <w:shd w:val="clear" w:color="auto" w:fill="CDE9F6"/>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right w:val="single" w:sz="8" w:color="CDE9F6"/>
            </w:tcBorders>
            <w:shd w:val="clear" w:color="auto" w:fill="CDE9F6"/>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right w:val="single" w:sz="8" w:color="CDE9F6"/>
            </w:tcBorders>
            <w:shd w:val="clear" w:color="auto" w:fill="CDE9F6"/>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right w:val="single" w:sz="8" w:color="CDE9F6"/>
            </w:tcBorders>
            <w:shd w:val="clear" w:color="auto" w:fill="CDE9F6"/>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right w:val="single" w:sz="8" w:color="CDE9F6"/>
            </w:tcBorders>
            <w:shd w:val="clear" w:color="auto" w:fill="CDE9F6"/>
          </w:tcPr>
          <w:p>
            <w:pPr>
              <w:jc w:val="right"/>
              <w:spacing w:after="0"/>
              <w:rPr>
                <w:sz w:val="20"/>
                <w:szCs w:val="20"/>
                <w:color w:val="auto"/>
              </w:rPr>
            </w:pPr>
            <w:r>
              <w:rPr>
                <w:rFonts w:ascii="Times New Roman" w:cs="Times New Roman" w:eastAsia="Times New Roman" w:hAnsi="Times New Roman"/>
                <w:sz w:val="14"/>
                <w:szCs w:val="14"/>
                <w:color w:val="auto"/>
              </w:rPr>
              <w:t>60,096</w:t>
            </w:r>
          </w:p>
        </w:tc>
        <w:tc>
          <w:tcPr>
            <w:tcW w:w="1060" w:type="dxa"/>
            <w:vAlign w:val="bottom"/>
            <w:shd w:val="clear" w:color="auto" w:fill="CDE9F6"/>
          </w:tcPr>
          <w:p>
            <w:pPr>
              <w:jc w:val="right"/>
              <w:spacing w:after="0"/>
              <w:rPr>
                <w:sz w:val="20"/>
                <w:szCs w:val="20"/>
                <w:color w:val="auto"/>
              </w:rPr>
            </w:pPr>
            <w:r>
              <w:rPr>
                <w:rFonts w:ascii="Times New Roman" w:cs="Times New Roman" w:eastAsia="Times New Roman" w:hAnsi="Times New Roman"/>
                <w:sz w:val="14"/>
                <w:szCs w:val="14"/>
                <w:color w:val="auto"/>
              </w:rPr>
              <w:t>4,772,223</w:t>
            </w:r>
          </w:p>
        </w:tc>
        <w:tc>
          <w:tcPr>
            <w:tcW w:w="0" w:type="dxa"/>
            <w:vAlign w:val="bottom"/>
          </w:tcPr>
          <w:p>
            <w:pPr>
              <w:spacing w:after="0"/>
              <w:rPr>
                <w:sz w:val="1"/>
                <w:szCs w:val="1"/>
                <w:color w:val="auto"/>
              </w:rPr>
            </w:pPr>
          </w:p>
        </w:tc>
      </w:tr>
      <w:tr>
        <w:trPr>
          <w:trHeight w:val="275"/>
        </w:trPr>
        <w:tc>
          <w:tcPr>
            <w:tcW w:w="860" w:type="dxa"/>
            <w:vAlign w:val="bottom"/>
            <w:tcBorders>
              <w:right w:val="single" w:sz="8" w:color="CDE9F6"/>
            </w:tcBorders>
            <w:shd w:val="clear" w:color="auto" w:fill="CDE9F6"/>
          </w:tcPr>
          <w:p>
            <w:pPr>
              <w:spacing w:after="0"/>
              <w:rPr>
                <w:sz w:val="23"/>
                <w:szCs w:val="23"/>
                <w:color w:val="auto"/>
              </w:rPr>
            </w:pPr>
          </w:p>
        </w:tc>
        <w:tc>
          <w:tcPr>
            <w:tcW w:w="700" w:type="dxa"/>
            <w:vAlign w:val="bottom"/>
            <w:tcBorders>
              <w:right w:val="single" w:sz="8" w:color="CDE9F6"/>
            </w:tcBorders>
            <w:shd w:val="clear" w:color="auto" w:fill="CDE9F6"/>
          </w:tcPr>
          <w:p>
            <w:pPr>
              <w:jc w:val="center"/>
              <w:spacing w:after="0"/>
              <w:rPr>
                <w:sz w:val="20"/>
                <w:szCs w:val="20"/>
                <w:color w:val="auto"/>
              </w:rPr>
            </w:pPr>
            <w:r>
              <w:rPr>
                <w:rFonts w:ascii="Times New Roman" w:cs="Times New Roman" w:eastAsia="Times New Roman" w:hAnsi="Times New Roman"/>
                <w:sz w:val="14"/>
                <w:szCs w:val="14"/>
                <w:color w:val="auto"/>
                <w:w w:val="98"/>
              </w:rPr>
              <w:t>2/21/2024</w:t>
            </w:r>
          </w:p>
        </w:tc>
        <w:tc>
          <w:tcPr>
            <w:tcW w:w="740" w:type="dxa"/>
            <w:vAlign w:val="bottom"/>
            <w:tcBorders>
              <w:right w:val="single" w:sz="8" w:color="CDE9F6"/>
            </w:tcBorders>
            <w:shd w:val="clear" w:color="auto" w:fill="CDE9F6"/>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right w:val="single" w:sz="8" w:color="CDE9F6"/>
            </w:tcBorders>
            <w:shd w:val="clear" w:color="auto" w:fill="CDE9F6"/>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right w:val="single" w:sz="8" w:color="CDE9F6"/>
            </w:tcBorders>
            <w:shd w:val="clear" w:color="auto" w:fill="CDE9F6"/>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right w:val="single" w:sz="8" w:color="CDE9F6"/>
            </w:tcBorders>
            <w:shd w:val="clear" w:color="auto" w:fill="CDE9F6"/>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right w:val="single" w:sz="8" w:color="CDE9F6"/>
            </w:tcBorders>
            <w:shd w:val="clear" w:color="auto" w:fill="CDE9F6"/>
          </w:tcPr>
          <w:p>
            <w:pPr>
              <w:jc w:val="right"/>
              <w:ind w:right="110"/>
              <w:spacing w:after="0"/>
              <w:rPr>
                <w:sz w:val="20"/>
                <w:szCs w:val="20"/>
                <w:color w:val="auto"/>
              </w:rPr>
            </w:pPr>
            <w:r>
              <w:rPr>
                <w:rFonts w:ascii="Times New Roman" w:cs="Times New Roman" w:eastAsia="Times New Roman" w:hAnsi="Times New Roman"/>
                <w:sz w:val="14"/>
                <w:szCs w:val="14"/>
                <w:color w:val="auto"/>
              </w:rPr>
              <w:t>41,019</w:t>
            </w:r>
          </w:p>
        </w:tc>
        <w:tc>
          <w:tcPr>
            <w:tcW w:w="880" w:type="dxa"/>
            <w:vAlign w:val="bottom"/>
            <w:tcBorders>
              <w:right w:val="single" w:sz="8" w:color="CDE9F6"/>
            </w:tcBorders>
            <w:shd w:val="clear" w:color="auto" w:fill="CDE9F6"/>
          </w:tcPr>
          <w:p>
            <w:pPr>
              <w:jc w:val="right"/>
              <w:spacing w:after="0"/>
              <w:rPr>
                <w:sz w:val="20"/>
                <w:szCs w:val="20"/>
                <w:color w:val="auto"/>
              </w:rPr>
            </w:pPr>
            <w:r>
              <w:rPr>
                <w:rFonts w:ascii="Times New Roman" w:cs="Times New Roman" w:eastAsia="Times New Roman" w:hAnsi="Times New Roman"/>
                <w:sz w:val="14"/>
                <w:szCs w:val="14"/>
                <w:color w:val="auto"/>
              </w:rPr>
              <w:t>3,257,319</w:t>
            </w:r>
          </w:p>
        </w:tc>
        <w:tc>
          <w:tcPr>
            <w:tcW w:w="1060" w:type="dxa"/>
            <w:vAlign w:val="bottom"/>
            <w:tcBorders>
              <w:right w:val="single" w:sz="8" w:color="CDE9F6"/>
            </w:tcBorders>
            <w:shd w:val="clear" w:color="auto" w:fill="CDE9F6"/>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DE9F6"/>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5"/>
        </w:trPr>
        <w:tc>
          <w:tcPr>
            <w:tcW w:w="860" w:type="dxa"/>
            <w:vAlign w:val="bottom"/>
            <w:tcBorders>
              <w:right w:val="single" w:sz="8" w:color="CDE9F6"/>
            </w:tcBorders>
            <w:shd w:val="clear" w:color="auto" w:fill="CDE9F6"/>
          </w:tcPr>
          <w:p>
            <w:pPr>
              <w:spacing w:after="0"/>
              <w:rPr>
                <w:sz w:val="23"/>
                <w:szCs w:val="23"/>
                <w:color w:val="auto"/>
              </w:rPr>
            </w:pPr>
          </w:p>
        </w:tc>
        <w:tc>
          <w:tcPr>
            <w:tcW w:w="700" w:type="dxa"/>
            <w:vAlign w:val="bottom"/>
            <w:tcBorders>
              <w:right w:val="single" w:sz="8" w:color="CDE9F6"/>
            </w:tcBorders>
            <w:shd w:val="clear" w:color="auto" w:fill="CDE9F6"/>
          </w:tcPr>
          <w:p>
            <w:pPr>
              <w:jc w:val="center"/>
              <w:spacing w:after="0"/>
              <w:rPr>
                <w:sz w:val="20"/>
                <w:szCs w:val="20"/>
                <w:color w:val="auto"/>
              </w:rPr>
            </w:pPr>
            <w:r>
              <w:rPr>
                <w:rFonts w:ascii="Times New Roman" w:cs="Times New Roman" w:eastAsia="Times New Roman" w:hAnsi="Times New Roman"/>
                <w:sz w:val="14"/>
                <w:szCs w:val="14"/>
                <w:color w:val="auto"/>
                <w:w w:val="98"/>
              </w:rPr>
              <w:t>2/21/2024</w:t>
            </w:r>
          </w:p>
        </w:tc>
        <w:tc>
          <w:tcPr>
            <w:tcW w:w="740" w:type="dxa"/>
            <w:vAlign w:val="bottom"/>
            <w:tcBorders>
              <w:right w:val="single" w:sz="8" w:color="CDE9F6"/>
            </w:tcBorders>
            <w:shd w:val="clear" w:color="auto" w:fill="CDE9F6"/>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right w:val="single" w:sz="8" w:color="CDE9F6"/>
            </w:tcBorders>
            <w:shd w:val="clear" w:color="auto" w:fill="CDE9F6"/>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right w:val="single" w:sz="8" w:color="CDE9F6"/>
            </w:tcBorders>
            <w:shd w:val="clear" w:color="auto" w:fill="CDE9F6"/>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right w:val="single" w:sz="8" w:color="CDE9F6"/>
            </w:tcBorders>
            <w:shd w:val="clear" w:color="auto" w:fill="CDE9F6"/>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right w:val="single" w:sz="8" w:color="CDE9F6"/>
            </w:tcBorders>
            <w:shd w:val="clear" w:color="auto" w:fill="CDE9F6"/>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right w:val="single" w:sz="8" w:color="CDE9F6"/>
            </w:tcBorders>
            <w:shd w:val="clear" w:color="auto" w:fill="CDE9F6"/>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right w:val="single" w:sz="8" w:color="CDE9F6"/>
            </w:tcBorders>
            <w:shd w:val="clear" w:color="auto" w:fill="CDE9F6"/>
          </w:tcPr>
          <w:p>
            <w:pPr>
              <w:jc w:val="right"/>
              <w:spacing w:after="0"/>
              <w:rPr>
                <w:sz w:val="20"/>
                <w:szCs w:val="20"/>
                <w:color w:val="auto"/>
              </w:rPr>
            </w:pPr>
            <w:r>
              <w:rPr>
                <w:rFonts w:ascii="Times New Roman" w:cs="Times New Roman" w:eastAsia="Times New Roman" w:hAnsi="Times New Roman"/>
                <w:sz w:val="14"/>
                <w:szCs w:val="14"/>
                <w:color w:val="auto"/>
              </w:rPr>
              <w:t>58,337</w:t>
            </w:r>
          </w:p>
        </w:tc>
        <w:tc>
          <w:tcPr>
            <w:tcW w:w="1060" w:type="dxa"/>
            <w:vAlign w:val="bottom"/>
            <w:shd w:val="clear" w:color="auto" w:fill="CDE9F6"/>
          </w:tcPr>
          <w:p>
            <w:pPr>
              <w:jc w:val="right"/>
              <w:spacing w:after="0"/>
              <w:rPr>
                <w:sz w:val="20"/>
                <w:szCs w:val="20"/>
                <w:color w:val="auto"/>
              </w:rPr>
            </w:pPr>
            <w:r>
              <w:rPr>
                <w:rFonts w:ascii="Times New Roman" w:cs="Times New Roman" w:eastAsia="Times New Roman" w:hAnsi="Times New Roman"/>
                <w:sz w:val="14"/>
                <w:szCs w:val="14"/>
                <w:color w:val="auto"/>
              </w:rPr>
              <w:t>4,632,541</w:t>
            </w:r>
          </w:p>
        </w:tc>
        <w:tc>
          <w:tcPr>
            <w:tcW w:w="0" w:type="dxa"/>
            <w:vAlign w:val="bottom"/>
          </w:tcPr>
          <w:p>
            <w:pPr>
              <w:spacing w:after="0"/>
              <w:rPr>
                <w:sz w:val="1"/>
                <w:szCs w:val="1"/>
                <w:color w:val="auto"/>
              </w:rPr>
            </w:pPr>
          </w:p>
        </w:tc>
      </w:tr>
      <w:tr>
        <w:trPr>
          <w:trHeight w:val="275"/>
        </w:trPr>
        <w:tc>
          <w:tcPr>
            <w:tcW w:w="860" w:type="dxa"/>
            <w:vAlign w:val="bottom"/>
            <w:tcBorders>
              <w:right w:val="single" w:sz="8" w:color="CDE9F6"/>
            </w:tcBorders>
            <w:shd w:val="clear" w:color="auto" w:fill="CDE9F6"/>
          </w:tcPr>
          <w:p>
            <w:pPr>
              <w:spacing w:after="0"/>
              <w:rPr>
                <w:sz w:val="23"/>
                <w:szCs w:val="23"/>
                <w:color w:val="auto"/>
              </w:rPr>
            </w:pPr>
          </w:p>
        </w:tc>
        <w:tc>
          <w:tcPr>
            <w:tcW w:w="700" w:type="dxa"/>
            <w:vAlign w:val="bottom"/>
            <w:tcBorders>
              <w:right w:val="single" w:sz="8" w:color="CDE9F6"/>
            </w:tcBorders>
            <w:shd w:val="clear" w:color="auto" w:fill="CDE9F6"/>
          </w:tcPr>
          <w:p>
            <w:pPr>
              <w:jc w:val="center"/>
              <w:spacing w:after="0"/>
              <w:rPr>
                <w:sz w:val="20"/>
                <w:szCs w:val="20"/>
                <w:color w:val="auto"/>
              </w:rPr>
            </w:pPr>
            <w:r>
              <w:rPr>
                <w:rFonts w:ascii="Times New Roman" w:cs="Times New Roman" w:eastAsia="Times New Roman" w:hAnsi="Times New Roman"/>
                <w:sz w:val="14"/>
                <w:szCs w:val="14"/>
                <w:color w:val="auto"/>
                <w:w w:val="98"/>
              </w:rPr>
              <w:t>2/21/2025</w:t>
            </w:r>
          </w:p>
        </w:tc>
        <w:tc>
          <w:tcPr>
            <w:tcW w:w="740" w:type="dxa"/>
            <w:vAlign w:val="bottom"/>
            <w:tcBorders>
              <w:right w:val="single" w:sz="8" w:color="CDE9F6"/>
            </w:tcBorders>
            <w:shd w:val="clear" w:color="auto" w:fill="CDE9F6"/>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right w:val="single" w:sz="8" w:color="CDE9F6"/>
            </w:tcBorders>
            <w:shd w:val="clear" w:color="auto" w:fill="CDE9F6"/>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right w:val="single" w:sz="8" w:color="CDE9F6"/>
            </w:tcBorders>
            <w:shd w:val="clear" w:color="auto" w:fill="CDE9F6"/>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right w:val="single" w:sz="8" w:color="CDE9F6"/>
            </w:tcBorders>
            <w:shd w:val="clear" w:color="auto" w:fill="CDE9F6"/>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right w:val="single" w:sz="8" w:color="CDE9F6"/>
            </w:tcBorders>
            <w:shd w:val="clear" w:color="auto" w:fill="CDE9F6"/>
          </w:tcPr>
          <w:p>
            <w:pPr>
              <w:jc w:val="right"/>
              <w:ind w:right="110"/>
              <w:spacing w:after="0"/>
              <w:rPr>
                <w:sz w:val="20"/>
                <w:szCs w:val="20"/>
                <w:color w:val="auto"/>
              </w:rPr>
            </w:pPr>
            <w:r>
              <w:rPr>
                <w:rFonts w:ascii="Times New Roman" w:cs="Times New Roman" w:eastAsia="Times New Roman" w:hAnsi="Times New Roman"/>
                <w:sz w:val="14"/>
                <w:szCs w:val="14"/>
                <w:color w:val="auto"/>
              </w:rPr>
              <w:t>36,405</w:t>
            </w:r>
          </w:p>
        </w:tc>
        <w:tc>
          <w:tcPr>
            <w:tcW w:w="880" w:type="dxa"/>
            <w:vAlign w:val="bottom"/>
            <w:tcBorders>
              <w:right w:val="single" w:sz="8" w:color="CDE9F6"/>
            </w:tcBorders>
            <w:shd w:val="clear" w:color="auto" w:fill="CDE9F6"/>
          </w:tcPr>
          <w:p>
            <w:pPr>
              <w:jc w:val="right"/>
              <w:spacing w:after="0"/>
              <w:rPr>
                <w:sz w:val="20"/>
                <w:szCs w:val="20"/>
                <w:color w:val="auto"/>
              </w:rPr>
            </w:pPr>
            <w:r>
              <w:rPr>
                <w:rFonts w:ascii="Times New Roman" w:cs="Times New Roman" w:eastAsia="Times New Roman" w:hAnsi="Times New Roman"/>
                <w:sz w:val="14"/>
                <w:szCs w:val="14"/>
                <w:color w:val="auto"/>
              </w:rPr>
              <w:t>2,890,921</w:t>
            </w:r>
          </w:p>
        </w:tc>
        <w:tc>
          <w:tcPr>
            <w:tcW w:w="1060" w:type="dxa"/>
            <w:vAlign w:val="bottom"/>
            <w:tcBorders>
              <w:right w:val="single" w:sz="8" w:color="CDE9F6"/>
            </w:tcBorders>
            <w:shd w:val="clear" w:color="auto" w:fill="CDE9F6"/>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DE9F6"/>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9"/>
        </w:trPr>
        <w:tc>
          <w:tcPr>
            <w:tcW w:w="860" w:type="dxa"/>
            <w:vAlign w:val="bottom"/>
            <w:tcBorders>
              <w:bottom w:val="single" w:sz="8" w:color="CDE9F6"/>
              <w:right w:val="single" w:sz="8" w:color="CDE9F6"/>
            </w:tcBorders>
            <w:shd w:val="clear" w:color="auto" w:fill="CDE9F6"/>
          </w:tcPr>
          <w:p>
            <w:pPr>
              <w:spacing w:after="0"/>
              <w:rPr>
                <w:sz w:val="24"/>
                <w:szCs w:val="24"/>
                <w:color w:val="auto"/>
              </w:rPr>
            </w:pPr>
          </w:p>
        </w:tc>
        <w:tc>
          <w:tcPr>
            <w:tcW w:w="700" w:type="dxa"/>
            <w:vAlign w:val="bottom"/>
            <w:tcBorders>
              <w:bottom w:val="single" w:sz="8" w:color="CDE9F6"/>
              <w:right w:val="single" w:sz="8" w:color="CDE9F6"/>
            </w:tcBorders>
            <w:shd w:val="clear" w:color="auto" w:fill="CDE9F6"/>
          </w:tcPr>
          <w:p>
            <w:pPr>
              <w:jc w:val="center"/>
              <w:spacing w:after="0"/>
              <w:rPr>
                <w:sz w:val="20"/>
                <w:szCs w:val="20"/>
                <w:color w:val="auto"/>
              </w:rPr>
            </w:pPr>
            <w:r>
              <w:rPr>
                <w:rFonts w:ascii="Times New Roman" w:cs="Times New Roman" w:eastAsia="Times New Roman" w:hAnsi="Times New Roman"/>
                <w:sz w:val="14"/>
                <w:szCs w:val="14"/>
                <w:color w:val="auto"/>
                <w:w w:val="98"/>
              </w:rPr>
              <w:t>2/21/2025</w:t>
            </w:r>
          </w:p>
        </w:tc>
        <w:tc>
          <w:tcPr>
            <w:tcW w:w="740" w:type="dxa"/>
            <w:vAlign w:val="bottom"/>
            <w:tcBorders>
              <w:bottom w:val="single" w:sz="8" w:color="CDE9F6"/>
              <w:right w:val="single" w:sz="8" w:color="CDE9F6"/>
            </w:tcBorders>
            <w:shd w:val="clear" w:color="auto" w:fill="CDE9F6"/>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CDE9F6"/>
              <w:right w:val="single" w:sz="8" w:color="CDE9F6"/>
            </w:tcBorders>
            <w:shd w:val="clear" w:color="auto" w:fill="CDE9F6"/>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CDE9F6"/>
              <w:right w:val="single" w:sz="8" w:color="CDE9F6"/>
            </w:tcBorders>
            <w:shd w:val="clear" w:color="auto" w:fill="CDE9F6"/>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DE9F6"/>
              <w:right w:val="single" w:sz="8" w:color="CDE9F6"/>
            </w:tcBorders>
            <w:shd w:val="clear" w:color="auto" w:fill="CDE9F6"/>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CDE9F6"/>
              <w:right w:val="single" w:sz="8" w:color="CDE9F6"/>
            </w:tcBorders>
            <w:shd w:val="clear" w:color="auto" w:fill="CDE9F6"/>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CDE9F6"/>
              <w:right w:val="single" w:sz="8" w:color="CDE9F6"/>
            </w:tcBorders>
            <w:shd w:val="clear" w:color="auto" w:fill="CDE9F6"/>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CDE9F6"/>
              <w:right w:val="single" w:sz="8" w:color="CDE9F6"/>
            </w:tcBorders>
            <w:shd w:val="clear" w:color="auto" w:fill="CDE9F6"/>
          </w:tcPr>
          <w:p>
            <w:pPr>
              <w:jc w:val="right"/>
              <w:spacing w:after="0"/>
              <w:rPr>
                <w:sz w:val="20"/>
                <w:szCs w:val="20"/>
                <w:color w:val="auto"/>
              </w:rPr>
            </w:pPr>
            <w:r>
              <w:rPr>
                <w:rFonts w:ascii="Times New Roman" w:cs="Times New Roman" w:eastAsia="Times New Roman" w:hAnsi="Times New Roman"/>
                <w:sz w:val="14"/>
                <w:szCs w:val="14"/>
                <w:color w:val="auto"/>
              </w:rPr>
              <w:t>36,405</w:t>
            </w:r>
          </w:p>
        </w:tc>
        <w:tc>
          <w:tcPr>
            <w:tcW w:w="1060" w:type="dxa"/>
            <w:vAlign w:val="bottom"/>
            <w:tcBorders>
              <w:bottom w:val="single" w:sz="8" w:color="CDE9F6"/>
            </w:tcBorders>
            <w:shd w:val="clear" w:color="auto" w:fill="CDE9F6"/>
          </w:tcPr>
          <w:p>
            <w:pPr>
              <w:jc w:val="right"/>
              <w:spacing w:after="0"/>
              <w:rPr>
                <w:sz w:val="20"/>
                <w:szCs w:val="20"/>
                <w:color w:val="auto"/>
              </w:rPr>
            </w:pPr>
            <w:r>
              <w:rPr>
                <w:rFonts w:ascii="Times New Roman" w:cs="Times New Roman" w:eastAsia="Times New Roman" w:hAnsi="Times New Roman"/>
                <w:sz w:val="14"/>
                <w:szCs w:val="14"/>
                <w:color w:val="auto"/>
              </w:rPr>
              <w:t>2,890,921</w:t>
            </w:r>
          </w:p>
        </w:tc>
        <w:tc>
          <w:tcPr>
            <w:tcW w:w="0" w:type="dxa"/>
            <w:vAlign w:val="bottom"/>
          </w:tcPr>
          <w:p>
            <w:pPr>
              <w:spacing w:after="0"/>
              <w:rPr>
                <w:sz w:val="1"/>
                <w:szCs w:val="1"/>
                <w:color w:val="auto"/>
              </w:rPr>
            </w:pPr>
          </w:p>
        </w:tc>
      </w:tr>
      <w:tr>
        <w:trPr>
          <w:trHeight w:val="252"/>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Michael Xie</w:t>
            </w: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2/21/2019</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324,285</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2/21/2026</w:t>
            </w:r>
          </w:p>
        </w:tc>
        <w:tc>
          <w:tcPr>
            <w:tcW w:w="78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5"/>
        </w:trPr>
        <w:tc>
          <w:tcPr>
            <w:tcW w:w="860" w:type="dxa"/>
            <w:vAlign w:val="bottom"/>
          </w:tcPr>
          <w:p>
            <w:pPr>
              <w:spacing w:after="0"/>
              <w:rPr>
                <w:sz w:val="23"/>
                <w:szCs w:val="23"/>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2/21/2020</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244,410</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22.90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2/21/2027</w:t>
            </w:r>
          </w:p>
        </w:tc>
        <w:tc>
          <w:tcPr>
            <w:tcW w:w="78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5"/>
        </w:trPr>
        <w:tc>
          <w:tcPr>
            <w:tcW w:w="860" w:type="dxa"/>
            <w:vAlign w:val="bottom"/>
          </w:tcPr>
          <w:p>
            <w:pPr>
              <w:spacing w:after="0"/>
              <w:rPr>
                <w:sz w:val="23"/>
                <w:szCs w:val="23"/>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2/19/2021</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218,565</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34.39</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2/19/2028</w:t>
            </w:r>
          </w:p>
        </w:tc>
        <w:tc>
          <w:tcPr>
            <w:tcW w:w="78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5"/>
        </w:trPr>
        <w:tc>
          <w:tcPr>
            <w:tcW w:w="860" w:type="dxa"/>
            <w:vAlign w:val="bottom"/>
          </w:tcPr>
          <w:p>
            <w:pPr>
              <w:spacing w:after="0"/>
              <w:rPr>
                <w:sz w:val="23"/>
                <w:szCs w:val="23"/>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2/17/2022</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93,380</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4,060</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62.11</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2/17/2029</w:t>
            </w:r>
          </w:p>
        </w:tc>
        <w:tc>
          <w:tcPr>
            <w:tcW w:w="78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5"/>
        </w:trPr>
        <w:tc>
          <w:tcPr>
            <w:tcW w:w="860" w:type="dxa"/>
            <w:vAlign w:val="bottom"/>
          </w:tcPr>
          <w:p>
            <w:pPr>
              <w:spacing w:after="0"/>
              <w:rPr>
                <w:sz w:val="23"/>
                <w:szCs w:val="23"/>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2/17/2022</w:t>
            </w:r>
          </w:p>
        </w:tc>
        <w:tc>
          <w:tcPr>
            <w:tcW w:w="74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2,030</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161,202</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5"/>
        </w:trPr>
        <w:tc>
          <w:tcPr>
            <w:tcW w:w="860" w:type="dxa"/>
            <w:vAlign w:val="bottom"/>
          </w:tcPr>
          <w:p>
            <w:pPr>
              <w:spacing w:after="0"/>
              <w:rPr>
                <w:sz w:val="23"/>
                <w:szCs w:val="23"/>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2/27/2023</w:t>
            </w:r>
          </w:p>
        </w:tc>
        <w:tc>
          <w:tcPr>
            <w:tcW w:w="74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13,818</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1,097,287</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5"/>
        </w:trPr>
        <w:tc>
          <w:tcPr>
            <w:tcW w:w="860" w:type="dxa"/>
            <w:vAlign w:val="bottom"/>
          </w:tcPr>
          <w:p>
            <w:pPr>
              <w:spacing w:after="0"/>
              <w:rPr>
                <w:sz w:val="23"/>
                <w:szCs w:val="23"/>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2/27/2023</w:t>
            </w:r>
          </w:p>
        </w:tc>
        <w:tc>
          <w:tcPr>
            <w:tcW w:w="74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26,530</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2,106,747</w:t>
            </w:r>
          </w:p>
        </w:tc>
        <w:tc>
          <w:tcPr>
            <w:tcW w:w="0" w:type="dxa"/>
            <w:vAlign w:val="bottom"/>
          </w:tcPr>
          <w:p>
            <w:pPr>
              <w:spacing w:after="0"/>
              <w:rPr>
                <w:sz w:val="1"/>
                <w:szCs w:val="1"/>
                <w:color w:val="auto"/>
              </w:rPr>
            </w:pPr>
          </w:p>
        </w:tc>
      </w:tr>
      <w:tr>
        <w:trPr>
          <w:trHeight w:val="275"/>
        </w:trPr>
        <w:tc>
          <w:tcPr>
            <w:tcW w:w="860" w:type="dxa"/>
            <w:vAlign w:val="bottom"/>
          </w:tcPr>
          <w:p>
            <w:pPr>
              <w:spacing w:after="0"/>
              <w:rPr>
                <w:sz w:val="23"/>
                <w:szCs w:val="23"/>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2/21/2024</w:t>
            </w:r>
          </w:p>
        </w:tc>
        <w:tc>
          <w:tcPr>
            <w:tcW w:w="74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20,181</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1,602,573</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5"/>
        </w:trPr>
        <w:tc>
          <w:tcPr>
            <w:tcW w:w="860" w:type="dxa"/>
            <w:vAlign w:val="bottom"/>
          </w:tcPr>
          <w:p>
            <w:pPr>
              <w:spacing w:after="0"/>
              <w:rPr>
                <w:sz w:val="23"/>
                <w:szCs w:val="23"/>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2/21/2024</w:t>
            </w:r>
          </w:p>
        </w:tc>
        <w:tc>
          <w:tcPr>
            <w:tcW w:w="74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28,701</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2,279,146</w:t>
            </w:r>
          </w:p>
        </w:tc>
        <w:tc>
          <w:tcPr>
            <w:tcW w:w="0" w:type="dxa"/>
            <w:vAlign w:val="bottom"/>
          </w:tcPr>
          <w:p>
            <w:pPr>
              <w:spacing w:after="0"/>
              <w:rPr>
                <w:sz w:val="1"/>
                <w:szCs w:val="1"/>
                <w:color w:val="auto"/>
              </w:rPr>
            </w:pPr>
          </w:p>
        </w:tc>
      </w:tr>
      <w:tr>
        <w:trPr>
          <w:trHeight w:val="275"/>
        </w:trPr>
        <w:tc>
          <w:tcPr>
            <w:tcW w:w="860" w:type="dxa"/>
            <w:vAlign w:val="bottom"/>
          </w:tcPr>
          <w:p>
            <w:pPr>
              <w:spacing w:after="0"/>
              <w:rPr>
                <w:sz w:val="23"/>
                <w:szCs w:val="23"/>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2/21/2025</w:t>
            </w:r>
          </w:p>
        </w:tc>
        <w:tc>
          <w:tcPr>
            <w:tcW w:w="74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20,802</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1,651,887</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5"/>
        </w:trPr>
        <w:tc>
          <w:tcPr>
            <w:tcW w:w="860" w:type="dxa"/>
            <w:vAlign w:val="bottom"/>
          </w:tcPr>
          <w:p>
            <w:pPr>
              <w:spacing w:after="0"/>
              <w:rPr>
                <w:sz w:val="23"/>
                <w:szCs w:val="23"/>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2/21/2025</w:t>
            </w:r>
          </w:p>
        </w:tc>
        <w:tc>
          <w:tcPr>
            <w:tcW w:w="74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20,802</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1,651,887</w:t>
            </w:r>
          </w:p>
        </w:tc>
        <w:tc>
          <w:tcPr>
            <w:tcW w:w="0" w:type="dxa"/>
            <w:vAlign w:val="bottom"/>
          </w:tcPr>
          <w:p>
            <w:pPr>
              <w:spacing w:after="0"/>
              <w:rPr>
                <w:sz w:val="1"/>
                <w:szCs w:val="1"/>
                <w:color w:val="auto"/>
              </w:rPr>
            </w:pPr>
          </w:p>
        </w:tc>
      </w:tr>
      <w:tr>
        <w:trPr>
          <w:trHeight w:val="23"/>
        </w:trPr>
        <w:tc>
          <w:tcPr>
            <w:tcW w:w="860" w:type="dxa"/>
            <w:vAlign w:val="bottom"/>
          </w:tcPr>
          <w:p>
            <w:pPr>
              <w:spacing w:after="0"/>
              <w:rPr>
                <w:sz w:val="2"/>
                <w:szCs w:val="2"/>
                <w:color w:val="auto"/>
              </w:rPr>
            </w:pPr>
          </w:p>
        </w:tc>
        <w:tc>
          <w:tcPr>
            <w:tcW w:w="700" w:type="dxa"/>
            <w:vAlign w:val="bottom"/>
          </w:tcPr>
          <w:p>
            <w:pPr>
              <w:spacing w:after="0"/>
              <w:rPr>
                <w:sz w:val="2"/>
                <w:szCs w:val="2"/>
                <w:color w:val="auto"/>
              </w:rPr>
            </w:pPr>
          </w:p>
        </w:tc>
        <w:tc>
          <w:tcPr>
            <w:tcW w:w="7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7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2"/>
        </w:trPr>
        <w:tc>
          <w:tcPr>
            <w:tcW w:w="860" w:type="dxa"/>
            <w:vAlign w:val="bottom"/>
            <w:tcBorders>
              <w:right w:val="single" w:sz="8" w:color="CDE9F6"/>
            </w:tcBorders>
            <w:vMerge w:val="restart"/>
            <w:shd w:val="clear" w:color="auto" w:fill="CDE9F6"/>
          </w:tcPr>
          <w:p>
            <w:pPr>
              <w:spacing w:after="0"/>
              <w:rPr>
                <w:sz w:val="20"/>
                <w:szCs w:val="20"/>
                <w:color w:val="auto"/>
              </w:rPr>
            </w:pPr>
            <w:r>
              <w:rPr>
                <w:rFonts w:ascii="Times New Roman" w:cs="Times New Roman" w:eastAsia="Times New Roman" w:hAnsi="Times New Roman"/>
                <w:sz w:val="14"/>
                <w:szCs w:val="14"/>
                <w:color w:val="auto"/>
              </w:rPr>
              <w:t>Christiane</w:t>
            </w:r>
          </w:p>
        </w:tc>
        <w:tc>
          <w:tcPr>
            <w:tcW w:w="700" w:type="dxa"/>
            <w:vAlign w:val="bottom"/>
            <w:tcBorders>
              <w:right w:val="single" w:sz="8" w:color="CDE9F6"/>
            </w:tcBorders>
            <w:shd w:val="clear" w:color="auto" w:fill="CDE9F6"/>
          </w:tcPr>
          <w:p>
            <w:pPr>
              <w:jc w:val="center"/>
              <w:spacing w:after="0"/>
              <w:rPr>
                <w:sz w:val="20"/>
                <w:szCs w:val="20"/>
                <w:color w:val="auto"/>
              </w:rPr>
            </w:pPr>
            <w:r>
              <w:rPr>
                <w:rFonts w:ascii="Times New Roman" w:cs="Times New Roman" w:eastAsia="Times New Roman" w:hAnsi="Times New Roman"/>
                <w:sz w:val="14"/>
                <w:szCs w:val="14"/>
                <w:color w:val="auto"/>
                <w:w w:val="98"/>
              </w:rPr>
              <w:t>5/16/2024</w:t>
            </w:r>
          </w:p>
        </w:tc>
        <w:tc>
          <w:tcPr>
            <w:tcW w:w="740" w:type="dxa"/>
            <w:vAlign w:val="bottom"/>
            <w:tcBorders>
              <w:right w:val="single" w:sz="8" w:color="CDE9F6"/>
            </w:tcBorders>
            <w:shd w:val="clear" w:color="auto" w:fill="CDE9F6"/>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right w:val="single" w:sz="8" w:color="CDE9F6"/>
            </w:tcBorders>
            <w:shd w:val="clear" w:color="auto" w:fill="CDE9F6"/>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right w:val="single" w:sz="8" w:color="CDE9F6"/>
            </w:tcBorders>
            <w:shd w:val="clear" w:color="auto" w:fill="CDE9F6"/>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right w:val="single" w:sz="8" w:color="CDE9F6"/>
            </w:tcBorders>
            <w:shd w:val="clear" w:color="auto" w:fill="CDE9F6"/>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right w:val="single" w:sz="8" w:color="CDE9F6"/>
            </w:tcBorders>
            <w:shd w:val="clear" w:color="auto" w:fill="CDE9F6"/>
          </w:tcPr>
          <w:p>
            <w:pPr>
              <w:jc w:val="right"/>
              <w:ind w:right="110"/>
              <w:spacing w:after="0"/>
              <w:rPr>
                <w:sz w:val="20"/>
                <w:szCs w:val="20"/>
                <w:color w:val="auto"/>
              </w:rPr>
            </w:pPr>
            <w:r>
              <w:rPr>
                <w:rFonts w:ascii="Times New Roman" w:cs="Times New Roman" w:eastAsia="Times New Roman" w:hAnsi="Times New Roman"/>
                <w:sz w:val="14"/>
                <w:szCs w:val="14"/>
                <w:color w:val="auto"/>
              </w:rPr>
              <w:t>6,848</w:t>
            </w:r>
          </w:p>
        </w:tc>
        <w:tc>
          <w:tcPr>
            <w:tcW w:w="880" w:type="dxa"/>
            <w:vAlign w:val="bottom"/>
            <w:tcBorders>
              <w:right w:val="single" w:sz="8" w:color="CDE9F6"/>
            </w:tcBorders>
            <w:shd w:val="clear" w:color="auto" w:fill="CDE9F6"/>
          </w:tcPr>
          <w:p>
            <w:pPr>
              <w:jc w:val="right"/>
              <w:spacing w:after="0"/>
              <w:rPr>
                <w:sz w:val="20"/>
                <w:szCs w:val="20"/>
                <w:color w:val="auto"/>
              </w:rPr>
            </w:pPr>
            <w:r>
              <w:rPr>
                <w:rFonts w:ascii="Times New Roman" w:cs="Times New Roman" w:eastAsia="Times New Roman" w:hAnsi="Times New Roman"/>
                <w:sz w:val="14"/>
                <w:szCs w:val="14"/>
                <w:color w:val="auto"/>
              </w:rPr>
              <w:t>543,800</w:t>
            </w:r>
          </w:p>
        </w:tc>
        <w:tc>
          <w:tcPr>
            <w:tcW w:w="1060" w:type="dxa"/>
            <w:vAlign w:val="bottom"/>
            <w:tcBorders>
              <w:right w:val="single" w:sz="8" w:color="CDE9F6"/>
            </w:tcBorders>
            <w:shd w:val="clear" w:color="auto" w:fill="CDE9F6"/>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DE9F6"/>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93"/>
        </w:trPr>
        <w:tc>
          <w:tcPr>
            <w:tcW w:w="860" w:type="dxa"/>
            <w:vAlign w:val="bottom"/>
            <w:tcBorders>
              <w:right w:val="single" w:sz="8" w:color="CDE9F6"/>
            </w:tcBorders>
            <w:vMerge w:val="continue"/>
            <w:shd w:val="clear" w:color="auto" w:fill="CDE9F6"/>
          </w:tcPr>
          <w:p>
            <w:pPr>
              <w:spacing w:after="0"/>
              <w:rPr>
                <w:sz w:val="8"/>
                <w:szCs w:val="8"/>
                <w:color w:val="auto"/>
              </w:rPr>
            </w:pPr>
          </w:p>
        </w:tc>
        <w:tc>
          <w:tcPr>
            <w:tcW w:w="700" w:type="dxa"/>
            <w:vAlign w:val="bottom"/>
            <w:tcBorders>
              <w:right w:val="single" w:sz="8" w:color="CDE9F6"/>
            </w:tcBorders>
            <w:vMerge w:val="restart"/>
            <w:shd w:val="clear" w:color="auto" w:fill="CDE9F6"/>
          </w:tcPr>
          <w:p>
            <w:pPr>
              <w:jc w:val="center"/>
              <w:spacing w:after="0"/>
              <w:rPr>
                <w:sz w:val="20"/>
                <w:szCs w:val="20"/>
                <w:color w:val="auto"/>
              </w:rPr>
            </w:pPr>
            <w:r>
              <w:rPr>
                <w:rFonts w:ascii="Times New Roman" w:cs="Times New Roman" w:eastAsia="Times New Roman" w:hAnsi="Times New Roman"/>
                <w:sz w:val="14"/>
                <w:szCs w:val="14"/>
                <w:color w:val="auto"/>
                <w:w w:val="98"/>
              </w:rPr>
              <w:t>5/16/2024</w:t>
            </w:r>
          </w:p>
        </w:tc>
        <w:tc>
          <w:tcPr>
            <w:tcW w:w="740" w:type="dxa"/>
            <w:vAlign w:val="bottom"/>
            <w:tcBorders>
              <w:right w:val="single" w:sz="8" w:color="CDE9F6"/>
            </w:tcBorders>
            <w:vMerge w:val="restart"/>
            <w:shd w:val="clear" w:color="auto" w:fill="CDE9F6"/>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right w:val="single" w:sz="8" w:color="CDE9F6"/>
            </w:tcBorders>
            <w:vMerge w:val="restart"/>
            <w:shd w:val="clear" w:color="auto" w:fill="CDE9F6"/>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right w:val="single" w:sz="8" w:color="CDE9F6"/>
            </w:tcBorders>
            <w:vMerge w:val="restart"/>
            <w:shd w:val="clear" w:color="auto" w:fill="CDE9F6"/>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right w:val="single" w:sz="8" w:color="CDE9F6"/>
            </w:tcBorders>
            <w:vMerge w:val="restart"/>
            <w:shd w:val="clear" w:color="auto" w:fill="CDE9F6"/>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right w:val="single" w:sz="8" w:color="CDE9F6"/>
            </w:tcBorders>
            <w:vMerge w:val="restart"/>
            <w:shd w:val="clear" w:color="auto" w:fill="CDE9F6"/>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right w:val="single" w:sz="8" w:color="CDE9F6"/>
            </w:tcBorders>
            <w:vMerge w:val="restart"/>
            <w:shd w:val="clear" w:color="auto" w:fill="CDE9F6"/>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right w:val="single" w:sz="8" w:color="CDE9F6"/>
            </w:tcBorders>
            <w:vMerge w:val="restart"/>
            <w:shd w:val="clear" w:color="auto" w:fill="CDE9F6"/>
          </w:tcPr>
          <w:p>
            <w:pPr>
              <w:jc w:val="right"/>
              <w:spacing w:after="0"/>
              <w:rPr>
                <w:sz w:val="20"/>
                <w:szCs w:val="20"/>
                <w:color w:val="auto"/>
              </w:rPr>
            </w:pPr>
            <w:r>
              <w:rPr>
                <w:rFonts w:ascii="Times New Roman" w:cs="Times New Roman" w:eastAsia="Times New Roman" w:hAnsi="Times New Roman"/>
                <w:sz w:val="14"/>
                <w:szCs w:val="14"/>
                <w:color w:val="auto"/>
              </w:rPr>
              <w:t>8,764</w:t>
            </w:r>
          </w:p>
        </w:tc>
        <w:tc>
          <w:tcPr>
            <w:tcW w:w="1060" w:type="dxa"/>
            <w:vAlign w:val="bottom"/>
            <w:vMerge w:val="restart"/>
            <w:shd w:val="clear" w:color="auto" w:fill="CDE9F6"/>
          </w:tcPr>
          <w:p>
            <w:pPr>
              <w:jc w:val="right"/>
              <w:spacing w:after="0"/>
              <w:rPr>
                <w:sz w:val="20"/>
                <w:szCs w:val="20"/>
                <w:color w:val="auto"/>
              </w:rPr>
            </w:pPr>
            <w:r>
              <w:rPr>
                <w:rFonts w:ascii="Times New Roman" w:cs="Times New Roman" w:eastAsia="Times New Roman" w:hAnsi="Times New Roman"/>
                <w:sz w:val="14"/>
                <w:szCs w:val="14"/>
                <w:color w:val="auto"/>
              </w:rPr>
              <w:t>695,949</w:t>
            </w:r>
          </w:p>
        </w:tc>
        <w:tc>
          <w:tcPr>
            <w:tcW w:w="0" w:type="dxa"/>
            <w:vAlign w:val="bottom"/>
          </w:tcPr>
          <w:p>
            <w:pPr>
              <w:spacing w:after="0"/>
              <w:rPr>
                <w:sz w:val="1"/>
                <w:szCs w:val="1"/>
                <w:color w:val="auto"/>
              </w:rPr>
            </w:pPr>
          </w:p>
        </w:tc>
      </w:tr>
      <w:tr>
        <w:trPr>
          <w:trHeight w:val="182"/>
        </w:trPr>
        <w:tc>
          <w:tcPr>
            <w:tcW w:w="860" w:type="dxa"/>
            <w:vAlign w:val="bottom"/>
            <w:tcBorders>
              <w:right w:val="single" w:sz="8" w:color="CDE9F6"/>
            </w:tcBorders>
            <w:shd w:val="clear" w:color="auto" w:fill="CDE9F6"/>
          </w:tcPr>
          <w:p>
            <w:pPr>
              <w:ind w:left="160"/>
              <w:spacing w:after="0"/>
              <w:rPr>
                <w:sz w:val="20"/>
                <w:szCs w:val="20"/>
                <w:color w:val="auto"/>
              </w:rPr>
            </w:pPr>
            <w:r>
              <w:rPr>
                <w:rFonts w:ascii="Times New Roman" w:cs="Times New Roman" w:eastAsia="Times New Roman" w:hAnsi="Times New Roman"/>
                <w:sz w:val="14"/>
                <w:szCs w:val="14"/>
                <w:color w:val="auto"/>
              </w:rPr>
              <w:t>Ohlgart</w:t>
            </w:r>
          </w:p>
        </w:tc>
        <w:tc>
          <w:tcPr>
            <w:tcW w:w="700" w:type="dxa"/>
            <w:vAlign w:val="bottom"/>
            <w:tcBorders>
              <w:right w:val="single" w:sz="8" w:color="CDE9F6"/>
            </w:tcBorders>
            <w:vMerge w:val="continue"/>
            <w:shd w:val="clear" w:color="auto" w:fill="CDE9F6"/>
          </w:tcPr>
          <w:p>
            <w:pPr>
              <w:spacing w:after="0"/>
              <w:rPr>
                <w:sz w:val="15"/>
                <w:szCs w:val="15"/>
                <w:color w:val="auto"/>
              </w:rPr>
            </w:pPr>
          </w:p>
        </w:tc>
        <w:tc>
          <w:tcPr>
            <w:tcW w:w="740" w:type="dxa"/>
            <w:vAlign w:val="bottom"/>
            <w:tcBorders>
              <w:right w:val="single" w:sz="8" w:color="CDE9F6"/>
            </w:tcBorders>
            <w:vMerge w:val="continue"/>
            <w:shd w:val="clear" w:color="auto" w:fill="CDE9F6"/>
          </w:tcPr>
          <w:p>
            <w:pPr>
              <w:spacing w:after="0"/>
              <w:rPr>
                <w:sz w:val="15"/>
                <w:szCs w:val="15"/>
                <w:color w:val="auto"/>
              </w:rPr>
            </w:pPr>
          </w:p>
        </w:tc>
        <w:tc>
          <w:tcPr>
            <w:tcW w:w="900" w:type="dxa"/>
            <w:vAlign w:val="bottom"/>
            <w:tcBorders>
              <w:right w:val="single" w:sz="8" w:color="CDE9F6"/>
            </w:tcBorders>
            <w:vMerge w:val="continue"/>
            <w:shd w:val="clear" w:color="auto" w:fill="CDE9F6"/>
          </w:tcPr>
          <w:p>
            <w:pPr>
              <w:spacing w:after="0"/>
              <w:rPr>
                <w:sz w:val="15"/>
                <w:szCs w:val="15"/>
                <w:color w:val="auto"/>
              </w:rPr>
            </w:pPr>
          </w:p>
        </w:tc>
        <w:tc>
          <w:tcPr>
            <w:tcW w:w="560" w:type="dxa"/>
            <w:vAlign w:val="bottom"/>
            <w:tcBorders>
              <w:right w:val="single" w:sz="8" w:color="CDE9F6"/>
            </w:tcBorders>
            <w:vMerge w:val="continue"/>
            <w:shd w:val="clear" w:color="auto" w:fill="CDE9F6"/>
          </w:tcPr>
          <w:p>
            <w:pPr>
              <w:spacing w:after="0"/>
              <w:rPr>
                <w:sz w:val="15"/>
                <w:szCs w:val="15"/>
                <w:color w:val="auto"/>
              </w:rPr>
            </w:pPr>
          </w:p>
        </w:tc>
        <w:tc>
          <w:tcPr>
            <w:tcW w:w="700" w:type="dxa"/>
            <w:vAlign w:val="bottom"/>
            <w:tcBorders>
              <w:right w:val="single" w:sz="8" w:color="CDE9F6"/>
            </w:tcBorders>
            <w:vMerge w:val="continue"/>
            <w:shd w:val="clear" w:color="auto" w:fill="CDE9F6"/>
          </w:tcPr>
          <w:p>
            <w:pPr>
              <w:spacing w:after="0"/>
              <w:rPr>
                <w:sz w:val="15"/>
                <w:szCs w:val="15"/>
                <w:color w:val="auto"/>
              </w:rPr>
            </w:pPr>
          </w:p>
        </w:tc>
        <w:tc>
          <w:tcPr>
            <w:tcW w:w="780" w:type="dxa"/>
            <w:vAlign w:val="bottom"/>
            <w:tcBorders>
              <w:right w:val="single" w:sz="8" w:color="CDE9F6"/>
            </w:tcBorders>
            <w:vMerge w:val="continue"/>
            <w:shd w:val="clear" w:color="auto" w:fill="CDE9F6"/>
          </w:tcPr>
          <w:p>
            <w:pPr>
              <w:spacing w:after="0"/>
              <w:rPr>
                <w:sz w:val="15"/>
                <w:szCs w:val="15"/>
                <w:color w:val="auto"/>
              </w:rPr>
            </w:pPr>
          </w:p>
        </w:tc>
        <w:tc>
          <w:tcPr>
            <w:tcW w:w="880" w:type="dxa"/>
            <w:vAlign w:val="bottom"/>
            <w:tcBorders>
              <w:right w:val="single" w:sz="8" w:color="CDE9F6"/>
            </w:tcBorders>
            <w:vMerge w:val="continue"/>
            <w:shd w:val="clear" w:color="auto" w:fill="CDE9F6"/>
          </w:tcPr>
          <w:p>
            <w:pPr>
              <w:spacing w:after="0"/>
              <w:rPr>
                <w:sz w:val="15"/>
                <w:szCs w:val="15"/>
                <w:color w:val="auto"/>
              </w:rPr>
            </w:pPr>
          </w:p>
        </w:tc>
        <w:tc>
          <w:tcPr>
            <w:tcW w:w="1060" w:type="dxa"/>
            <w:vAlign w:val="bottom"/>
            <w:tcBorders>
              <w:right w:val="single" w:sz="8" w:color="CDE9F6"/>
            </w:tcBorders>
            <w:vMerge w:val="continue"/>
            <w:shd w:val="clear" w:color="auto" w:fill="CDE9F6"/>
          </w:tcPr>
          <w:p>
            <w:pPr>
              <w:spacing w:after="0"/>
              <w:rPr>
                <w:sz w:val="15"/>
                <w:szCs w:val="15"/>
                <w:color w:val="auto"/>
              </w:rPr>
            </w:pPr>
          </w:p>
        </w:tc>
        <w:tc>
          <w:tcPr>
            <w:tcW w:w="1060" w:type="dxa"/>
            <w:vAlign w:val="bottom"/>
            <w:vMerge w:val="continue"/>
            <w:shd w:val="clear" w:color="auto" w:fill="CDE9F6"/>
          </w:tcPr>
          <w:p>
            <w:pPr>
              <w:spacing w:after="0"/>
              <w:rPr>
                <w:sz w:val="15"/>
                <w:szCs w:val="15"/>
                <w:color w:val="auto"/>
              </w:rPr>
            </w:pPr>
          </w:p>
        </w:tc>
        <w:tc>
          <w:tcPr>
            <w:tcW w:w="0" w:type="dxa"/>
            <w:vAlign w:val="bottom"/>
          </w:tcPr>
          <w:p>
            <w:pPr>
              <w:spacing w:after="0"/>
              <w:rPr>
                <w:sz w:val="1"/>
                <w:szCs w:val="1"/>
                <w:color w:val="auto"/>
              </w:rPr>
            </w:pPr>
          </w:p>
        </w:tc>
      </w:tr>
      <w:tr>
        <w:trPr>
          <w:trHeight w:val="275"/>
        </w:trPr>
        <w:tc>
          <w:tcPr>
            <w:tcW w:w="860" w:type="dxa"/>
            <w:vAlign w:val="bottom"/>
            <w:tcBorders>
              <w:right w:val="single" w:sz="8" w:color="CDE9F6"/>
            </w:tcBorders>
            <w:shd w:val="clear" w:color="auto" w:fill="CDE9F6"/>
          </w:tcPr>
          <w:p>
            <w:pPr>
              <w:spacing w:after="0"/>
              <w:rPr>
                <w:sz w:val="23"/>
                <w:szCs w:val="23"/>
                <w:color w:val="auto"/>
              </w:rPr>
            </w:pPr>
          </w:p>
        </w:tc>
        <w:tc>
          <w:tcPr>
            <w:tcW w:w="700" w:type="dxa"/>
            <w:vAlign w:val="bottom"/>
            <w:tcBorders>
              <w:right w:val="single" w:sz="8" w:color="CDE9F6"/>
            </w:tcBorders>
            <w:shd w:val="clear" w:color="auto" w:fill="CDE9F6"/>
          </w:tcPr>
          <w:p>
            <w:pPr>
              <w:jc w:val="center"/>
              <w:spacing w:after="0"/>
              <w:rPr>
                <w:sz w:val="20"/>
                <w:szCs w:val="20"/>
                <w:color w:val="auto"/>
              </w:rPr>
            </w:pPr>
            <w:r>
              <w:rPr>
                <w:rFonts w:ascii="Times New Roman" w:cs="Times New Roman" w:eastAsia="Times New Roman" w:hAnsi="Times New Roman"/>
                <w:sz w:val="14"/>
                <w:szCs w:val="14"/>
                <w:color w:val="auto"/>
                <w:w w:val="98"/>
              </w:rPr>
              <w:t>2/21/2025</w:t>
            </w:r>
          </w:p>
        </w:tc>
        <w:tc>
          <w:tcPr>
            <w:tcW w:w="740" w:type="dxa"/>
            <w:vAlign w:val="bottom"/>
            <w:tcBorders>
              <w:right w:val="single" w:sz="8" w:color="CDE9F6"/>
            </w:tcBorders>
            <w:shd w:val="clear" w:color="auto" w:fill="CDE9F6"/>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right w:val="single" w:sz="8" w:color="CDE9F6"/>
            </w:tcBorders>
            <w:shd w:val="clear" w:color="auto" w:fill="CDE9F6"/>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right w:val="single" w:sz="8" w:color="CDE9F6"/>
            </w:tcBorders>
            <w:shd w:val="clear" w:color="auto" w:fill="CDE9F6"/>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right w:val="single" w:sz="8" w:color="CDE9F6"/>
            </w:tcBorders>
            <w:shd w:val="clear" w:color="auto" w:fill="CDE9F6"/>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right w:val="single" w:sz="8" w:color="CDE9F6"/>
            </w:tcBorders>
            <w:shd w:val="clear" w:color="auto" w:fill="CDE9F6"/>
          </w:tcPr>
          <w:p>
            <w:pPr>
              <w:jc w:val="right"/>
              <w:ind w:right="110"/>
              <w:spacing w:after="0"/>
              <w:rPr>
                <w:sz w:val="20"/>
                <w:szCs w:val="20"/>
                <w:color w:val="auto"/>
              </w:rPr>
            </w:pPr>
            <w:r>
              <w:rPr>
                <w:rFonts w:ascii="Times New Roman" w:cs="Times New Roman" w:eastAsia="Times New Roman" w:hAnsi="Times New Roman"/>
                <w:sz w:val="14"/>
                <w:szCs w:val="14"/>
                <w:color w:val="auto"/>
              </w:rPr>
              <w:t>10,401</w:t>
            </w:r>
          </w:p>
        </w:tc>
        <w:tc>
          <w:tcPr>
            <w:tcW w:w="880" w:type="dxa"/>
            <w:vAlign w:val="bottom"/>
            <w:tcBorders>
              <w:right w:val="single" w:sz="8" w:color="CDE9F6"/>
            </w:tcBorders>
            <w:shd w:val="clear" w:color="auto" w:fill="CDE9F6"/>
          </w:tcPr>
          <w:p>
            <w:pPr>
              <w:jc w:val="right"/>
              <w:spacing w:after="0"/>
              <w:rPr>
                <w:sz w:val="20"/>
                <w:szCs w:val="20"/>
                <w:color w:val="auto"/>
              </w:rPr>
            </w:pPr>
            <w:r>
              <w:rPr>
                <w:rFonts w:ascii="Times New Roman" w:cs="Times New Roman" w:eastAsia="Times New Roman" w:hAnsi="Times New Roman"/>
                <w:sz w:val="14"/>
                <w:szCs w:val="14"/>
                <w:color w:val="auto"/>
              </w:rPr>
              <w:t>825,943</w:t>
            </w:r>
          </w:p>
        </w:tc>
        <w:tc>
          <w:tcPr>
            <w:tcW w:w="1060" w:type="dxa"/>
            <w:vAlign w:val="bottom"/>
            <w:tcBorders>
              <w:right w:val="single" w:sz="8" w:color="CDE9F6"/>
            </w:tcBorders>
            <w:shd w:val="clear" w:color="auto" w:fill="CDE9F6"/>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DE9F6"/>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5"/>
        </w:trPr>
        <w:tc>
          <w:tcPr>
            <w:tcW w:w="860" w:type="dxa"/>
            <w:vAlign w:val="bottom"/>
            <w:tcBorders>
              <w:right w:val="single" w:sz="8" w:color="CDE9F6"/>
            </w:tcBorders>
            <w:shd w:val="clear" w:color="auto" w:fill="CDE9F6"/>
          </w:tcPr>
          <w:p>
            <w:pPr>
              <w:spacing w:after="0"/>
              <w:rPr>
                <w:sz w:val="23"/>
                <w:szCs w:val="23"/>
                <w:color w:val="auto"/>
              </w:rPr>
            </w:pPr>
          </w:p>
        </w:tc>
        <w:tc>
          <w:tcPr>
            <w:tcW w:w="700" w:type="dxa"/>
            <w:vAlign w:val="bottom"/>
            <w:tcBorders>
              <w:right w:val="single" w:sz="8" w:color="CDE9F6"/>
            </w:tcBorders>
            <w:shd w:val="clear" w:color="auto" w:fill="CDE9F6"/>
          </w:tcPr>
          <w:p>
            <w:pPr>
              <w:jc w:val="center"/>
              <w:spacing w:after="0"/>
              <w:rPr>
                <w:sz w:val="20"/>
                <w:szCs w:val="20"/>
                <w:color w:val="auto"/>
              </w:rPr>
            </w:pPr>
            <w:r>
              <w:rPr>
                <w:rFonts w:ascii="Times New Roman" w:cs="Times New Roman" w:eastAsia="Times New Roman" w:hAnsi="Times New Roman"/>
                <w:sz w:val="14"/>
                <w:szCs w:val="14"/>
                <w:color w:val="auto"/>
                <w:w w:val="98"/>
              </w:rPr>
              <w:t>2/21/2025</w:t>
            </w:r>
          </w:p>
        </w:tc>
        <w:tc>
          <w:tcPr>
            <w:tcW w:w="740" w:type="dxa"/>
            <w:vAlign w:val="bottom"/>
            <w:tcBorders>
              <w:right w:val="single" w:sz="8" w:color="CDE9F6"/>
            </w:tcBorders>
            <w:shd w:val="clear" w:color="auto" w:fill="CDE9F6"/>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right w:val="single" w:sz="8" w:color="CDE9F6"/>
            </w:tcBorders>
            <w:shd w:val="clear" w:color="auto" w:fill="CDE9F6"/>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right w:val="single" w:sz="8" w:color="CDE9F6"/>
            </w:tcBorders>
            <w:shd w:val="clear" w:color="auto" w:fill="CDE9F6"/>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right w:val="single" w:sz="8" w:color="CDE9F6"/>
            </w:tcBorders>
            <w:shd w:val="clear" w:color="auto" w:fill="CDE9F6"/>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right w:val="single" w:sz="8" w:color="CDE9F6"/>
            </w:tcBorders>
            <w:shd w:val="clear" w:color="auto" w:fill="CDE9F6"/>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right w:val="single" w:sz="8" w:color="CDE9F6"/>
            </w:tcBorders>
            <w:shd w:val="clear" w:color="auto" w:fill="CDE9F6"/>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right w:val="single" w:sz="8" w:color="CDE9F6"/>
            </w:tcBorders>
            <w:shd w:val="clear" w:color="auto" w:fill="CDE9F6"/>
          </w:tcPr>
          <w:p>
            <w:pPr>
              <w:jc w:val="right"/>
              <w:spacing w:after="0"/>
              <w:rPr>
                <w:sz w:val="20"/>
                <w:szCs w:val="20"/>
                <w:color w:val="auto"/>
              </w:rPr>
            </w:pPr>
            <w:r>
              <w:rPr>
                <w:rFonts w:ascii="Times New Roman" w:cs="Times New Roman" w:eastAsia="Times New Roman" w:hAnsi="Times New Roman"/>
                <w:sz w:val="14"/>
                <w:szCs w:val="14"/>
                <w:color w:val="auto"/>
              </w:rPr>
              <w:t>10,401</w:t>
            </w:r>
          </w:p>
        </w:tc>
        <w:tc>
          <w:tcPr>
            <w:tcW w:w="1060" w:type="dxa"/>
            <w:vAlign w:val="bottom"/>
            <w:shd w:val="clear" w:color="auto" w:fill="CDE9F6"/>
          </w:tcPr>
          <w:p>
            <w:pPr>
              <w:jc w:val="right"/>
              <w:spacing w:after="0"/>
              <w:rPr>
                <w:sz w:val="20"/>
                <w:szCs w:val="20"/>
                <w:color w:val="auto"/>
              </w:rPr>
            </w:pPr>
            <w:r>
              <w:rPr>
                <w:rFonts w:ascii="Times New Roman" w:cs="Times New Roman" w:eastAsia="Times New Roman" w:hAnsi="Times New Roman"/>
                <w:sz w:val="14"/>
                <w:szCs w:val="14"/>
                <w:color w:val="auto"/>
              </w:rPr>
              <w:t>825,943</w:t>
            </w:r>
          </w:p>
        </w:tc>
        <w:tc>
          <w:tcPr>
            <w:tcW w:w="0" w:type="dxa"/>
            <w:vAlign w:val="bottom"/>
          </w:tcPr>
          <w:p>
            <w:pPr>
              <w:spacing w:after="0"/>
              <w:rPr>
                <w:sz w:val="1"/>
                <w:szCs w:val="1"/>
                <w:color w:val="auto"/>
              </w:rPr>
            </w:pPr>
          </w:p>
        </w:tc>
      </w:tr>
      <w:tr>
        <w:trPr>
          <w:trHeight w:val="275"/>
        </w:trPr>
        <w:tc>
          <w:tcPr>
            <w:tcW w:w="860" w:type="dxa"/>
            <w:vAlign w:val="bottom"/>
            <w:tcBorders>
              <w:right w:val="single" w:sz="8" w:color="CDE9F6"/>
            </w:tcBorders>
            <w:shd w:val="clear" w:color="auto" w:fill="CDE9F6"/>
          </w:tcPr>
          <w:p>
            <w:pPr>
              <w:spacing w:after="0"/>
              <w:rPr>
                <w:sz w:val="23"/>
                <w:szCs w:val="23"/>
                <w:color w:val="auto"/>
              </w:rPr>
            </w:pPr>
          </w:p>
        </w:tc>
        <w:tc>
          <w:tcPr>
            <w:tcW w:w="700" w:type="dxa"/>
            <w:vAlign w:val="bottom"/>
            <w:tcBorders>
              <w:right w:val="single" w:sz="8" w:color="CDE9F6"/>
            </w:tcBorders>
            <w:shd w:val="clear" w:color="auto" w:fill="CDE9F6"/>
          </w:tcPr>
          <w:p>
            <w:pPr>
              <w:jc w:val="center"/>
              <w:spacing w:after="0"/>
              <w:rPr>
                <w:sz w:val="20"/>
                <w:szCs w:val="20"/>
                <w:color w:val="auto"/>
              </w:rPr>
            </w:pPr>
            <w:r>
              <w:rPr>
                <w:rFonts w:ascii="Times New Roman" w:cs="Times New Roman" w:eastAsia="Times New Roman" w:hAnsi="Times New Roman"/>
                <w:sz w:val="14"/>
                <w:szCs w:val="14"/>
                <w:color w:val="auto"/>
                <w:w w:val="98"/>
              </w:rPr>
              <w:t>8/20/2025</w:t>
            </w:r>
          </w:p>
        </w:tc>
        <w:tc>
          <w:tcPr>
            <w:tcW w:w="740" w:type="dxa"/>
            <w:vAlign w:val="bottom"/>
            <w:tcBorders>
              <w:right w:val="single" w:sz="8" w:color="CDE9F6"/>
            </w:tcBorders>
            <w:shd w:val="clear" w:color="auto" w:fill="CDE9F6"/>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right w:val="single" w:sz="8" w:color="CDE9F6"/>
            </w:tcBorders>
            <w:shd w:val="clear" w:color="auto" w:fill="CDE9F6"/>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right w:val="single" w:sz="8" w:color="CDE9F6"/>
            </w:tcBorders>
            <w:shd w:val="clear" w:color="auto" w:fill="CDE9F6"/>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right w:val="single" w:sz="8" w:color="CDE9F6"/>
            </w:tcBorders>
            <w:shd w:val="clear" w:color="auto" w:fill="CDE9F6"/>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right w:val="single" w:sz="8" w:color="CDE9F6"/>
            </w:tcBorders>
            <w:shd w:val="clear" w:color="auto" w:fill="CDE9F6"/>
          </w:tcPr>
          <w:p>
            <w:pPr>
              <w:jc w:val="right"/>
              <w:ind w:right="110"/>
              <w:spacing w:after="0"/>
              <w:rPr>
                <w:sz w:val="20"/>
                <w:szCs w:val="20"/>
                <w:color w:val="auto"/>
              </w:rPr>
            </w:pPr>
            <w:r>
              <w:rPr>
                <w:rFonts w:ascii="Times New Roman" w:cs="Times New Roman" w:eastAsia="Times New Roman" w:hAnsi="Times New Roman"/>
                <w:sz w:val="14"/>
                <w:szCs w:val="14"/>
                <w:color w:val="auto"/>
              </w:rPr>
              <w:t>4,810</w:t>
            </w:r>
          </w:p>
        </w:tc>
        <w:tc>
          <w:tcPr>
            <w:tcW w:w="880" w:type="dxa"/>
            <w:vAlign w:val="bottom"/>
            <w:tcBorders>
              <w:right w:val="single" w:sz="8" w:color="CDE9F6"/>
            </w:tcBorders>
            <w:shd w:val="clear" w:color="auto" w:fill="CDE9F6"/>
          </w:tcPr>
          <w:p>
            <w:pPr>
              <w:jc w:val="right"/>
              <w:spacing w:after="0"/>
              <w:rPr>
                <w:sz w:val="20"/>
                <w:szCs w:val="20"/>
                <w:color w:val="auto"/>
              </w:rPr>
            </w:pPr>
            <w:r>
              <w:rPr>
                <w:rFonts w:ascii="Times New Roman" w:cs="Times New Roman" w:eastAsia="Times New Roman" w:hAnsi="Times New Roman"/>
                <w:sz w:val="14"/>
                <w:szCs w:val="14"/>
                <w:color w:val="auto"/>
              </w:rPr>
              <w:t>381,962</w:t>
            </w:r>
          </w:p>
        </w:tc>
        <w:tc>
          <w:tcPr>
            <w:tcW w:w="1060" w:type="dxa"/>
            <w:vAlign w:val="bottom"/>
            <w:tcBorders>
              <w:right w:val="single" w:sz="8" w:color="CDE9F6"/>
            </w:tcBorders>
            <w:shd w:val="clear" w:color="auto" w:fill="CDE9F6"/>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DE9F6"/>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9"/>
        </w:trPr>
        <w:tc>
          <w:tcPr>
            <w:tcW w:w="860" w:type="dxa"/>
            <w:vAlign w:val="bottom"/>
            <w:tcBorders>
              <w:bottom w:val="single" w:sz="8" w:color="CDE9F6"/>
              <w:right w:val="single" w:sz="8" w:color="CDE9F6"/>
            </w:tcBorders>
            <w:shd w:val="clear" w:color="auto" w:fill="CDE9F6"/>
          </w:tcPr>
          <w:p>
            <w:pPr>
              <w:spacing w:after="0"/>
              <w:rPr>
                <w:sz w:val="24"/>
                <w:szCs w:val="24"/>
                <w:color w:val="auto"/>
              </w:rPr>
            </w:pPr>
          </w:p>
        </w:tc>
        <w:tc>
          <w:tcPr>
            <w:tcW w:w="700" w:type="dxa"/>
            <w:vAlign w:val="bottom"/>
            <w:tcBorders>
              <w:bottom w:val="single" w:sz="8" w:color="CDE9F6"/>
              <w:right w:val="single" w:sz="8" w:color="CDE9F6"/>
            </w:tcBorders>
            <w:shd w:val="clear" w:color="auto" w:fill="CDE9F6"/>
          </w:tcPr>
          <w:p>
            <w:pPr>
              <w:jc w:val="center"/>
              <w:spacing w:after="0"/>
              <w:rPr>
                <w:sz w:val="20"/>
                <w:szCs w:val="20"/>
                <w:color w:val="auto"/>
              </w:rPr>
            </w:pPr>
            <w:r>
              <w:rPr>
                <w:rFonts w:ascii="Times New Roman" w:cs="Times New Roman" w:eastAsia="Times New Roman" w:hAnsi="Times New Roman"/>
                <w:sz w:val="14"/>
                <w:szCs w:val="14"/>
                <w:color w:val="auto"/>
                <w:w w:val="98"/>
              </w:rPr>
              <w:t>8/20/2025</w:t>
            </w:r>
          </w:p>
        </w:tc>
        <w:tc>
          <w:tcPr>
            <w:tcW w:w="740" w:type="dxa"/>
            <w:vAlign w:val="bottom"/>
            <w:tcBorders>
              <w:bottom w:val="single" w:sz="8" w:color="CDE9F6"/>
              <w:right w:val="single" w:sz="8" w:color="CDE9F6"/>
            </w:tcBorders>
            <w:shd w:val="clear" w:color="auto" w:fill="CDE9F6"/>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CDE9F6"/>
              <w:right w:val="single" w:sz="8" w:color="CDE9F6"/>
            </w:tcBorders>
            <w:shd w:val="clear" w:color="auto" w:fill="CDE9F6"/>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CDE9F6"/>
              <w:right w:val="single" w:sz="8" w:color="CDE9F6"/>
            </w:tcBorders>
            <w:shd w:val="clear" w:color="auto" w:fill="CDE9F6"/>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DE9F6"/>
              <w:right w:val="single" w:sz="8" w:color="CDE9F6"/>
            </w:tcBorders>
            <w:shd w:val="clear" w:color="auto" w:fill="CDE9F6"/>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CDE9F6"/>
              <w:right w:val="single" w:sz="8" w:color="CDE9F6"/>
            </w:tcBorders>
            <w:shd w:val="clear" w:color="auto" w:fill="CDE9F6"/>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CDE9F6"/>
              <w:right w:val="single" w:sz="8" w:color="CDE9F6"/>
            </w:tcBorders>
            <w:shd w:val="clear" w:color="auto" w:fill="CDE9F6"/>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CDE9F6"/>
              <w:right w:val="single" w:sz="8" w:color="CDE9F6"/>
            </w:tcBorders>
            <w:shd w:val="clear" w:color="auto" w:fill="CDE9F6"/>
          </w:tcPr>
          <w:p>
            <w:pPr>
              <w:jc w:val="right"/>
              <w:spacing w:after="0"/>
              <w:rPr>
                <w:sz w:val="20"/>
                <w:szCs w:val="20"/>
                <w:color w:val="auto"/>
              </w:rPr>
            </w:pPr>
            <w:r>
              <w:rPr>
                <w:rFonts w:ascii="Times New Roman" w:cs="Times New Roman" w:eastAsia="Times New Roman" w:hAnsi="Times New Roman"/>
                <w:sz w:val="14"/>
                <w:szCs w:val="14"/>
                <w:color w:val="auto"/>
              </w:rPr>
              <w:t>4,810</w:t>
            </w:r>
          </w:p>
        </w:tc>
        <w:tc>
          <w:tcPr>
            <w:tcW w:w="1060" w:type="dxa"/>
            <w:vAlign w:val="bottom"/>
            <w:tcBorders>
              <w:bottom w:val="single" w:sz="8" w:color="CDE9F6"/>
            </w:tcBorders>
            <w:shd w:val="clear" w:color="auto" w:fill="CDE9F6"/>
          </w:tcPr>
          <w:p>
            <w:pPr>
              <w:jc w:val="right"/>
              <w:spacing w:after="0"/>
              <w:rPr>
                <w:sz w:val="20"/>
                <w:szCs w:val="20"/>
                <w:color w:val="auto"/>
              </w:rPr>
            </w:pPr>
            <w:r>
              <w:rPr>
                <w:rFonts w:ascii="Times New Roman" w:cs="Times New Roman" w:eastAsia="Times New Roman" w:hAnsi="Times New Roman"/>
                <w:sz w:val="14"/>
                <w:szCs w:val="14"/>
                <w:color w:val="auto"/>
              </w:rPr>
              <w:t>381,962</w:t>
            </w:r>
          </w:p>
        </w:tc>
        <w:tc>
          <w:tcPr>
            <w:tcW w:w="0" w:type="dxa"/>
            <w:vAlign w:val="bottom"/>
          </w:tcPr>
          <w:p>
            <w:pPr>
              <w:spacing w:after="0"/>
              <w:rPr>
                <w:sz w:val="1"/>
                <w:szCs w:val="1"/>
                <w:color w:val="auto"/>
              </w:rPr>
            </w:pPr>
          </w:p>
        </w:tc>
      </w:tr>
      <w:tr>
        <w:trPr>
          <w:trHeight w:val="275"/>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Keith Jensen</w:t>
            </w: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11/19/2025</w:t>
            </w:r>
          </w:p>
        </w:tc>
        <w:tc>
          <w:tcPr>
            <w:tcW w:w="74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588</w:t>
            </w:r>
            <w:r>
              <w:rPr>
                <w:rFonts w:ascii="Times New Roman" w:cs="Times New Roman" w:eastAsia="Times New Roman" w:hAnsi="Times New Roman"/>
                <w:sz w:val="20"/>
                <w:szCs w:val="20"/>
                <w:color w:val="auto"/>
                <w:vertAlign w:val="superscript"/>
              </w:rPr>
              <w:t>(5)</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46,693</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2"/>
        </w:trPr>
        <w:tc>
          <w:tcPr>
            <w:tcW w:w="860" w:type="dxa"/>
            <w:vAlign w:val="bottom"/>
            <w:tcBorders>
              <w:right w:val="single" w:sz="8" w:color="CDE9F6"/>
            </w:tcBorders>
            <w:shd w:val="clear" w:color="auto" w:fill="CDE9F6"/>
          </w:tcPr>
          <w:p>
            <w:pPr>
              <w:spacing w:after="0"/>
              <w:rPr>
                <w:sz w:val="20"/>
                <w:szCs w:val="20"/>
                <w:color w:val="auto"/>
              </w:rPr>
            </w:pPr>
            <w:r>
              <w:rPr>
                <w:rFonts w:ascii="Times New Roman" w:cs="Times New Roman" w:eastAsia="Times New Roman" w:hAnsi="Times New Roman"/>
                <w:sz w:val="14"/>
                <w:szCs w:val="14"/>
                <w:color w:val="auto"/>
              </w:rPr>
              <w:t>John Whittle</w:t>
            </w:r>
          </w:p>
        </w:tc>
        <w:tc>
          <w:tcPr>
            <w:tcW w:w="700" w:type="dxa"/>
            <w:vAlign w:val="bottom"/>
            <w:tcBorders>
              <w:right w:val="single" w:sz="8" w:color="CDE9F6"/>
            </w:tcBorders>
            <w:shd w:val="clear" w:color="auto" w:fill="CDE9F6"/>
          </w:tcPr>
          <w:p>
            <w:pPr>
              <w:jc w:val="center"/>
              <w:spacing w:after="0"/>
              <w:rPr>
                <w:sz w:val="20"/>
                <w:szCs w:val="20"/>
                <w:color w:val="auto"/>
              </w:rPr>
            </w:pPr>
            <w:r>
              <w:rPr>
                <w:rFonts w:ascii="Times New Roman" w:cs="Times New Roman" w:eastAsia="Times New Roman" w:hAnsi="Times New Roman"/>
                <w:sz w:val="14"/>
                <w:szCs w:val="14"/>
                <w:color w:val="auto"/>
                <w:w w:val="98"/>
              </w:rPr>
              <w:t>2/21/2020</w:t>
            </w:r>
          </w:p>
        </w:tc>
        <w:tc>
          <w:tcPr>
            <w:tcW w:w="740" w:type="dxa"/>
            <w:vAlign w:val="bottom"/>
            <w:tcBorders>
              <w:right w:val="single" w:sz="8" w:color="CDE9F6"/>
            </w:tcBorders>
            <w:shd w:val="clear" w:color="auto" w:fill="CDE9F6"/>
          </w:tcPr>
          <w:p>
            <w:pPr>
              <w:jc w:val="right"/>
              <w:spacing w:after="0"/>
              <w:rPr>
                <w:sz w:val="20"/>
                <w:szCs w:val="20"/>
                <w:color w:val="auto"/>
              </w:rPr>
            </w:pPr>
            <w:r>
              <w:rPr>
                <w:rFonts w:ascii="Times New Roman" w:cs="Times New Roman" w:eastAsia="Times New Roman" w:hAnsi="Times New Roman"/>
                <w:sz w:val="14"/>
                <w:szCs w:val="14"/>
                <w:color w:val="auto"/>
              </w:rPr>
              <w:t>57,015</w:t>
            </w:r>
          </w:p>
        </w:tc>
        <w:tc>
          <w:tcPr>
            <w:tcW w:w="900" w:type="dxa"/>
            <w:vAlign w:val="bottom"/>
            <w:tcBorders>
              <w:right w:val="single" w:sz="8" w:color="CDE9F6"/>
            </w:tcBorders>
            <w:shd w:val="clear" w:color="auto" w:fill="CDE9F6"/>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right w:val="single" w:sz="8" w:color="CDE9F6"/>
            </w:tcBorders>
            <w:shd w:val="clear" w:color="auto" w:fill="CDE9F6"/>
          </w:tcPr>
          <w:p>
            <w:pPr>
              <w:jc w:val="right"/>
              <w:spacing w:after="0"/>
              <w:rPr>
                <w:sz w:val="20"/>
                <w:szCs w:val="20"/>
                <w:color w:val="auto"/>
              </w:rPr>
            </w:pPr>
            <w:r>
              <w:rPr>
                <w:rFonts w:ascii="Times New Roman" w:cs="Times New Roman" w:eastAsia="Times New Roman" w:hAnsi="Times New Roman"/>
                <w:sz w:val="14"/>
                <w:szCs w:val="14"/>
                <w:color w:val="auto"/>
              </w:rPr>
              <w:t>22.90</w:t>
            </w:r>
          </w:p>
        </w:tc>
        <w:tc>
          <w:tcPr>
            <w:tcW w:w="700" w:type="dxa"/>
            <w:vAlign w:val="bottom"/>
            <w:tcBorders>
              <w:right w:val="single" w:sz="8" w:color="CDE9F6"/>
            </w:tcBorders>
            <w:shd w:val="clear" w:color="auto" w:fill="CDE9F6"/>
          </w:tcPr>
          <w:p>
            <w:pPr>
              <w:jc w:val="right"/>
              <w:spacing w:after="0"/>
              <w:rPr>
                <w:sz w:val="20"/>
                <w:szCs w:val="20"/>
                <w:color w:val="auto"/>
              </w:rPr>
            </w:pPr>
            <w:r>
              <w:rPr>
                <w:rFonts w:ascii="Times New Roman" w:cs="Times New Roman" w:eastAsia="Times New Roman" w:hAnsi="Times New Roman"/>
                <w:sz w:val="14"/>
                <w:szCs w:val="14"/>
                <w:color w:val="auto"/>
              </w:rPr>
              <w:t>2/21/2027</w:t>
            </w:r>
          </w:p>
        </w:tc>
        <w:tc>
          <w:tcPr>
            <w:tcW w:w="780" w:type="dxa"/>
            <w:vAlign w:val="bottom"/>
            <w:tcBorders>
              <w:right w:val="single" w:sz="8" w:color="CDE9F6"/>
            </w:tcBorders>
            <w:shd w:val="clear" w:color="auto" w:fill="CDE9F6"/>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right w:val="single" w:sz="8" w:color="CDE9F6"/>
            </w:tcBorders>
            <w:shd w:val="clear" w:color="auto" w:fill="CDE9F6"/>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right w:val="single" w:sz="8" w:color="CDE9F6"/>
            </w:tcBorders>
            <w:shd w:val="clear" w:color="auto" w:fill="CDE9F6"/>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DE9F6"/>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5"/>
        </w:trPr>
        <w:tc>
          <w:tcPr>
            <w:tcW w:w="860" w:type="dxa"/>
            <w:vAlign w:val="bottom"/>
            <w:tcBorders>
              <w:right w:val="single" w:sz="8" w:color="CDE9F6"/>
            </w:tcBorders>
            <w:shd w:val="clear" w:color="auto" w:fill="CDE9F6"/>
          </w:tcPr>
          <w:p>
            <w:pPr>
              <w:spacing w:after="0"/>
              <w:rPr>
                <w:sz w:val="23"/>
                <w:szCs w:val="23"/>
                <w:color w:val="auto"/>
              </w:rPr>
            </w:pPr>
          </w:p>
        </w:tc>
        <w:tc>
          <w:tcPr>
            <w:tcW w:w="700" w:type="dxa"/>
            <w:vAlign w:val="bottom"/>
            <w:tcBorders>
              <w:right w:val="single" w:sz="8" w:color="CDE9F6"/>
            </w:tcBorders>
            <w:shd w:val="clear" w:color="auto" w:fill="CDE9F6"/>
          </w:tcPr>
          <w:p>
            <w:pPr>
              <w:jc w:val="center"/>
              <w:spacing w:after="0"/>
              <w:rPr>
                <w:sz w:val="20"/>
                <w:szCs w:val="20"/>
                <w:color w:val="auto"/>
              </w:rPr>
            </w:pPr>
            <w:r>
              <w:rPr>
                <w:rFonts w:ascii="Times New Roman" w:cs="Times New Roman" w:eastAsia="Times New Roman" w:hAnsi="Times New Roman"/>
                <w:sz w:val="14"/>
                <w:szCs w:val="14"/>
                <w:color w:val="auto"/>
                <w:w w:val="98"/>
              </w:rPr>
              <w:t>2/19/2021</w:t>
            </w:r>
          </w:p>
        </w:tc>
        <w:tc>
          <w:tcPr>
            <w:tcW w:w="740" w:type="dxa"/>
            <w:vAlign w:val="bottom"/>
            <w:tcBorders>
              <w:right w:val="single" w:sz="8" w:color="CDE9F6"/>
            </w:tcBorders>
            <w:shd w:val="clear" w:color="auto" w:fill="CDE9F6"/>
          </w:tcPr>
          <w:p>
            <w:pPr>
              <w:jc w:val="right"/>
              <w:spacing w:after="0"/>
              <w:rPr>
                <w:sz w:val="20"/>
                <w:szCs w:val="20"/>
                <w:color w:val="auto"/>
              </w:rPr>
            </w:pPr>
            <w:r>
              <w:rPr>
                <w:rFonts w:ascii="Times New Roman" w:cs="Times New Roman" w:eastAsia="Times New Roman" w:hAnsi="Times New Roman"/>
                <w:sz w:val="14"/>
                <w:szCs w:val="14"/>
                <w:color w:val="auto"/>
              </w:rPr>
              <w:t>89,000</w:t>
            </w:r>
          </w:p>
        </w:tc>
        <w:tc>
          <w:tcPr>
            <w:tcW w:w="900" w:type="dxa"/>
            <w:vAlign w:val="bottom"/>
            <w:tcBorders>
              <w:right w:val="single" w:sz="8" w:color="CDE9F6"/>
            </w:tcBorders>
            <w:shd w:val="clear" w:color="auto" w:fill="CDE9F6"/>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right w:val="single" w:sz="8" w:color="CDE9F6"/>
            </w:tcBorders>
            <w:shd w:val="clear" w:color="auto" w:fill="CDE9F6"/>
          </w:tcPr>
          <w:p>
            <w:pPr>
              <w:jc w:val="right"/>
              <w:spacing w:after="0"/>
              <w:rPr>
                <w:sz w:val="20"/>
                <w:szCs w:val="20"/>
                <w:color w:val="auto"/>
              </w:rPr>
            </w:pPr>
            <w:r>
              <w:rPr>
                <w:rFonts w:ascii="Times New Roman" w:cs="Times New Roman" w:eastAsia="Times New Roman" w:hAnsi="Times New Roman"/>
                <w:sz w:val="14"/>
                <w:szCs w:val="14"/>
                <w:color w:val="auto"/>
              </w:rPr>
              <w:t>34.39</w:t>
            </w:r>
          </w:p>
        </w:tc>
        <w:tc>
          <w:tcPr>
            <w:tcW w:w="700" w:type="dxa"/>
            <w:vAlign w:val="bottom"/>
            <w:tcBorders>
              <w:right w:val="single" w:sz="8" w:color="CDE9F6"/>
            </w:tcBorders>
            <w:shd w:val="clear" w:color="auto" w:fill="CDE9F6"/>
          </w:tcPr>
          <w:p>
            <w:pPr>
              <w:jc w:val="right"/>
              <w:spacing w:after="0"/>
              <w:rPr>
                <w:sz w:val="20"/>
                <w:szCs w:val="20"/>
                <w:color w:val="auto"/>
              </w:rPr>
            </w:pPr>
            <w:r>
              <w:rPr>
                <w:rFonts w:ascii="Times New Roman" w:cs="Times New Roman" w:eastAsia="Times New Roman" w:hAnsi="Times New Roman"/>
                <w:sz w:val="14"/>
                <w:szCs w:val="14"/>
                <w:color w:val="auto"/>
              </w:rPr>
              <w:t>2/19/2028</w:t>
            </w:r>
          </w:p>
        </w:tc>
        <w:tc>
          <w:tcPr>
            <w:tcW w:w="780" w:type="dxa"/>
            <w:vAlign w:val="bottom"/>
            <w:tcBorders>
              <w:right w:val="single" w:sz="8" w:color="CDE9F6"/>
            </w:tcBorders>
            <w:shd w:val="clear" w:color="auto" w:fill="CDE9F6"/>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right w:val="single" w:sz="8" w:color="CDE9F6"/>
            </w:tcBorders>
            <w:shd w:val="clear" w:color="auto" w:fill="CDE9F6"/>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right w:val="single" w:sz="8" w:color="CDE9F6"/>
            </w:tcBorders>
            <w:shd w:val="clear" w:color="auto" w:fill="CDE9F6"/>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DE9F6"/>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5"/>
        </w:trPr>
        <w:tc>
          <w:tcPr>
            <w:tcW w:w="860" w:type="dxa"/>
            <w:vAlign w:val="bottom"/>
            <w:tcBorders>
              <w:right w:val="single" w:sz="8" w:color="CDE9F6"/>
            </w:tcBorders>
            <w:shd w:val="clear" w:color="auto" w:fill="CDE9F6"/>
          </w:tcPr>
          <w:p>
            <w:pPr>
              <w:spacing w:after="0"/>
              <w:rPr>
                <w:sz w:val="23"/>
                <w:szCs w:val="23"/>
                <w:color w:val="auto"/>
              </w:rPr>
            </w:pPr>
          </w:p>
        </w:tc>
        <w:tc>
          <w:tcPr>
            <w:tcW w:w="700" w:type="dxa"/>
            <w:vAlign w:val="bottom"/>
            <w:tcBorders>
              <w:right w:val="single" w:sz="8" w:color="CDE9F6"/>
            </w:tcBorders>
            <w:shd w:val="clear" w:color="auto" w:fill="CDE9F6"/>
          </w:tcPr>
          <w:p>
            <w:pPr>
              <w:jc w:val="center"/>
              <w:spacing w:after="0"/>
              <w:rPr>
                <w:sz w:val="20"/>
                <w:szCs w:val="20"/>
                <w:color w:val="auto"/>
              </w:rPr>
            </w:pPr>
            <w:r>
              <w:rPr>
                <w:rFonts w:ascii="Times New Roman" w:cs="Times New Roman" w:eastAsia="Times New Roman" w:hAnsi="Times New Roman"/>
                <w:sz w:val="14"/>
                <w:szCs w:val="14"/>
                <w:color w:val="auto"/>
                <w:w w:val="98"/>
              </w:rPr>
              <w:t>2/17/2022</w:t>
            </w:r>
          </w:p>
        </w:tc>
        <w:tc>
          <w:tcPr>
            <w:tcW w:w="740" w:type="dxa"/>
            <w:vAlign w:val="bottom"/>
            <w:tcBorders>
              <w:right w:val="single" w:sz="8" w:color="CDE9F6"/>
            </w:tcBorders>
            <w:shd w:val="clear" w:color="auto" w:fill="CDE9F6"/>
          </w:tcPr>
          <w:p>
            <w:pPr>
              <w:jc w:val="right"/>
              <w:spacing w:after="0"/>
              <w:rPr>
                <w:sz w:val="20"/>
                <w:szCs w:val="20"/>
                <w:color w:val="auto"/>
              </w:rPr>
            </w:pPr>
            <w:r>
              <w:rPr>
                <w:rFonts w:ascii="Times New Roman" w:cs="Times New Roman" w:eastAsia="Times New Roman" w:hAnsi="Times New Roman"/>
                <w:sz w:val="14"/>
                <w:szCs w:val="14"/>
                <w:color w:val="auto"/>
              </w:rPr>
              <w:t>54,337</w:t>
            </w:r>
          </w:p>
        </w:tc>
        <w:tc>
          <w:tcPr>
            <w:tcW w:w="900" w:type="dxa"/>
            <w:vAlign w:val="bottom"/>
            <w:tcBorders>
              <w:right w:val="single" w:sz="8" w:color="CDE9F6"/>
            </w:tcBorders>
            <w:shd w:val="clear" w:color="auto" w:fill="CDE9F6"/>
          </w:tcPr>
          <w:p>
            <w:pPr>
              <w:jc w:val="right"/>
              <w:spacing w:after="0"/>
              <w:rPr>
                <w:sz w:val="20"/>
                <w:szCs w:val="20"/>
                <w:color w:val="auto"/>
              </w:rPr>
            </w:pPr>
            <w:r>
              <w:rPr>
                <w:rFonts w:ascii="Times New Roman" w:cs="Times New Roman" w:eastAsia="Times New Roman" w:hAnsi="Times New Roman"/>
                <w:sz w:val="14"/>
                <w:szCs w:val="14"/>
                <w:color w:val="auto"/>
              </w:rPr>
              <w:t>2,363</w:t>
            </w:r>
          </w:p>
        </w:tc>
        <w:tc>
          <w:tcPr>
            <w:tcW w:w="560" w:type="dxa"/>
            <w:vAlign w:val="bottom"/>
            <w:tcBorders>
              <w:right w:val="single" w:sz="8" w:color="CDE9F6"/>
            </w:tcBorders>
            <w:shd w:val="clear" w:color="auto" w:fill="CDE9F6"/>
          </w:tcPr>
          <w:p>
            <w:pPr>
              <w:jc w:val="right"/>
              <w:spacing w:after="0"/>
              <w:rPr>
                <w:sz w:val="20"/>
                <w:szCs w:val="20"/>
                <w:color w:val="auto"/>
              </w:rPr>
            </w:pPr>
            <w:r>
              <w:rPr>
                <w:rFonts w:ascii="Times New Roman" w:cs="Times New Roman" w:eastAsia="Times New Roman" w:hAnsi="Times New Roman"/>
                <w:sz w:val="14"/>
                <w:szCs w:val="14"/>
                <w:color w:val="auto"/>
              </w:rPr>
              <w:t>62.11</w:t>
            </w:r>
          </w:p>
        </w:tc>
        <w:tc>
          <w:tcPr>
            <w:tcW w:w="700" w:type="dxa"/>
            <w:vAlign w:val="bottom"/>
            <w:tcBorders>
              <w:right w:val="single" w:sz="8" w:color="CDE9F6"/>
            </w:tcBorders>
            <w:shd w:val="clear" w:color="auto" w:fill="CDE9F6"/>
          </w:tcPr>
          <w:p>
            <w:pPr>
              <w:jc w:val="right"/>
              <w:spacing w:after="0"/>
              <w:rPr>
                <w:sz w:val="20"/>
                <w:szCs w:val="20"/>
                <w:color w:val="auto"/>
              </w:rPr>
            </w:pPr>
            <w:r>
              <w:rPr>
                <w:rFonts w:ascii="Times New Roman" w:cs="Times New Roman" w:eastAsia="Times New Roman" w:hAnsi="Times New Roman"/>
                <w:sz w:val="14"/>
                <w:szCs w:val="14"/>
                <w:color w:val="auto"/>
              </w:rPr>
              <w:t>2/17/2029</w:t>
            </w:r>
          </w:p>
        </w:tc>
        <w:tc>
          <w:tcPr>
            <w:tcW w:w="780" w:type="dxa"/>
            <w:vAlign w:val="bottom"/>
            <w:tcBorders>
              <w:right w:val="single" w:sz="8" w:color="CDE9F6"/>
            </w:tcBorders>
            <w:shd w:val="clear" w:color="auto" w:fill="CDE9F6"/>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right w:val="single" w:sz="8" w:color="CDE9F6"/>
            </w:tcBorders>
            <w:shd w:val="clear" w:color="auto" w:fill="CDE9F6"/>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right w:val="single" w:sz="8" w:color="CDE9F6"/>
            </w:tcBorders>
            <w:shd w:val="clear" w:color="auto" w:fill="CDE9F6"/>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DE9F6"/>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5"/>
        </w:trPr>
        <w:tc>
          <w:tcPr>
            <w:tcW w:w="860" w:type="dxa"/>
            <w:vAlign w:val="bottom"/>
            <w:tcBorders>
              <w:right w:val="single" w:sz="8" w:color="CDE9F6"/>
            </w:tcBorders>
            <w:shd w:val="clear" w:color="auto" w:fill="CDE9F6"/>
          </w:tcPr>
          <w:p>
            <w:pPr>
              <w:spacing w:after="0"/>
              <w:rPr>
                <w:sz w:val="23"/>
                <w:szCs w:val="23"/>
                <w:color w:val="auto"/>
              </w:rPr>
            </w:pPr>
          </w:p>
        </w:tc>
        <w:tc>
          <w:tcPr>
            <w:tcW w:w="700" w:type="dxa"/>
            <w:vAlign w:val="bottom"/>
            <w:tcBorders>
              <w:right w:val="single" w:sz="8" w:color="CDE9F6"/>
            </w:tcBorders>
            <w:shd w:val="clear" w:color="auto" w:fill="CDE9F6"/>
          </w:tcPr>
          <w:p>
            <w:pPr>
              <w:jc w:val="center"/>
              <w:spacing w:after="0"/>
              <w:rPr>
                <w:sz w:val="20"/>
                <w:szCs w:val="20"/>
                <w:color w:val="auto"/>
              </w:rPr>
            </w:pPr>
            <w:r>
              <w:rPr>
                <w:rFonts w:ascii="Times New Roman" w:cs="Times New Roman" w:eastAsia="Times New Roman" w:hAnsi="Times New Roman"/>
                <w:sz w:val="14"/>
                <w:szCs w:val="14"/>
                <w:color w:val="auto"/>
                <w:w w:val="98"/>
              </w:rPr>
              <w:t>2/17/2022</w:t>
            </w:r>
          </w:p>
        </w:tc>
        <w:tc>
          <w:tcPr>
            <w:tcW w:w="740" w:type="dxa"/>
            <w:vAlign w:val="bottom"/>
            <w:tcBorders>
              <w:right w:val="single" w:sz="8" w:color="CDE9F6"/>
            </w:tcBorders>
            <w:shd w:val="clear" w:color="auto" w:fill="CDE9F6"/>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right w:val="single" w:sz="8" w:color="CDE9F6"/>
            </w:tcBorders>
            <w:shd w:val="clear" w:color="auto" w:fill="CDE9F6"/>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right w:val="single" w:sz="8" w:color="CDE9F6"/>
            </w:tcBorders>
            <w:shd w:val="clear" w:color="auto" w:fill="CDE9F6"/>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right w:val="single" w:sz="8" w:color="CDE9F6"/>
            </w:tcBorders>
            <w:shd w:val="clear" w:color="auto" w:fill="CDE9F6"/>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right w:val="single" w:sz="8" w:color="CDE9F6"/>
            </w:tcBorders>
            <w:shd w:val="clear" w:color="auto" w:fill="CDE9F6"/>
          </w:tcPr>
          <w:p>
            <w:pPr>
              <w:jc w:val="right"/>
              <w:ind w:right="110"/>
              <w:spacing w:after="0"/>
              <w:rPr>
                <w:sz w:val="20"/>
                <w:szCs w:val="20"/>
                <w:color w:val="auto"/>
              </w:rPr>
            </w:pPr>
            <w:r>
              <w:rPr>
                <w:rFonts w:ascii="Times New Roman" w:cs="Times New Roman" w:eastAsia="Times New Roman" w:hAnsi="Times New Roman"/>
                <w:sz w:val="14"/>
                <w:szCs w:val="14"/>
                <w:color w:val="auto"/>
              </w:rPr>
              <w:t>1,185</w:t>
            </w:r>
          </w:p>
        </w:tc>
        <w:tc>
          <w:tcPr>
            <w:tcW w:w="880" w:type="dxa"/>
            <w:vAlign w:val="bottom"/>
            <w:tcBorders>
              <w:right w:val="single" w:sz="8" w:color="CDE9F6"/>
            </w:tcBorders>
            <w:shd w:val="clear" w:color="auto" w:fill="CDE9F6"/>
          </w:tcPr>
          <w:p>
            <w:pPr>
              <w:jc w:val="right"/>
              <w:spacing w:after="0"/>
              <w:rPr>
                <w:sz w:val="20"/>
                <w:szCs w:val="20"/>
                <w:color w:val="auto"/>
              </w:rPr>
            </w:pPr>
            <w:r>
              <w:rPr>
                <w:rFonts w:ascii="Times New Roman" w:cs="Times New Roman" w:eastAsia="Times New Roman" w:hAnsi="Times New Roman"/>
                <w:sz w:val="14"/>
                <w:szCs w:val="14"/>
                <w:color w:val="auto"/>
              </w:rPr>
              <w:t>94,101</w:t>
            </w:r>
          </w:p>
        </w:tc>
        <w:tc>
          <w:tcPr>
            <w:tcW w:w="1060" w:type="dxa"/>
            <w:vAlign w:val="bottom"/>
            <w:tcBorders>
              <w:right w:val="single" w:sz="8" w:color="CDE9F6"/>
            </w:tcBorders>
            <w:shd w:val="clear" w:color="auto" w:fill="CDE9F6"/>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DE9F6"/>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5"/>
        </w:trPr>
        <w:tc>
          <w:tcPr>
            <w:tcW w:w="860" w:type="dxa"/>
            <w:vAlign w:val="bottom"/>
            <w:tcBorders>
              <w:right w:val="single" w:sz="8" w:color="CDE9F6"/>
            </w:tcBorders>
            <w:shd w:val="clear" w:color="auto" w:fill="CDE9F6"/>
          </w:tcPr>
          <w:p>
            <w:pPr>
              <w:spacing w:after="0"/>
              <w:rPr>
                <w:sz w:val="23"/>
                <w:szCs w:val="23"/>
                <w:color w:val="auto"/>
              </w:rPr>
            </w:pPr>
          </w:p>
        </w:tc>
        <w:tc>
          <w:tcPr>
            <w:tcW w:w="700" w:type="dxa"/>
            <w:vAlign w:val="bottom"/>
            <w:tcBorders>
              <w:right w:val="single" w:sz="8" w:color="CDE9F6"/>
            </w:tcBorders>
            <w:shd w:val="clear" w:color="auto" w:fill="CDE9F6"/>
          </w:tcPr>
          <w:p>
            <w:pPr>
              <w:jc w:val="center"/>
              <w:spacing w:after="0"/>
              <w:rPr>
                <w:sz w:val="20"/>
                <w:szCs w:val="20"/>
                <w:color w:val="auto"/>
              </w:rPr>
            </w:pPr>
            <w:r>
              <w:rPr>
                <w:rFonts w:ascii="Times New Roman" w:cs="Times New Roman" w:eastAsia="Times New Roman" w:hAnsi="Times New Roman"/>
                <w:sz w:val="14"/>
                <w:szCs w:val="14"/>
                <w:color w:val="auto"/>
                <w:w w:val="98"/>
              </w:rPr>
              <w:t>2/27/2023</w:t>
            </w:r>
          </w:p>
        </w:tc>
        <w:tc>
          <w:tcPr>
            <w:tcW w:w="740" w:type="dxa"/>
            <w:vAlign w:val="bottom"/>
            <w:tcBorders>
              <w:right w:val="single" w:sz="8" w:color="CDE9F6"/>
            </w:tcBorders>
            <w:shd w:val="clear" w:color="auto" w:fill="CDE9F6"/>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right w:val="single" w:sz="8" w:color="CDE9F6"/>
            </w:tcBorders>
            <w:shd w:val="clear" w:color="auto" w:fill="CDE9F6"/>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right w:val="single" w:sz="8" w:color="CDE9F6"/>
            </w:tcBorders>
            <w:shd w:val="clear" w:color="auto" w:fill="CDE9F6"/>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right w:val="single" w:sz="8" w:color="CDE9F6"/>
            </w:tcBorders>
            <w:shd w:val="clear" w:color="auto" w:fill="CDE9F6"/>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right w:val="single" w:sz="8" w:color="CDE9F6"/>
            </w:tcBorders>
            <w:shd w:val="clear" w:color="auto" w:fill="CDE9F6"/>
          </w:tcPr>
          <w:p>
            <w:pPr>
              <w:jc w:val="right"/>
              <w:ind w:right="110"/>
              <w:spacing w:after="0"/>
              <w:rPr>
                <w:sz w:val="20"/>
                <w:szCs w:val="20"/>
                <w:color w:val="auto"/>
              </w:rPr>
            </w:pPr>
            <w:r>
              <w:rPr>
                <w:rFonts w:ascii="Times New Roman" w:cs="Times New Roman" w:eastAsia="Times New Roman" w:hAnsi="Times New Roman"/>
                <w:sz w:val="14"/>
                <w:szCs w:val="14"/>
                <w:color w:val="auto"/>
              </w:rPr>
              <w:t>8,041</w:t>
            </w:r>
          </w:p>
        </w:tc>
        <w:tc>
          <w:tcPr>
            <w:tcW w:w="880" w:type="dxa"/>
            <w:vAlign w:val="bottom"/>
            <w:tcBorders>
              <w:right w:val="single" w:sz="8" w:color="CDE9F6"/>
            </w:tcBorders>
            <w:shd w:val="clear" w:color="auto" w:fill="CDE9F6"/>
          </w:tcPr>
          <w:p>
            <w:pPr>
              <w:jc w:val="right"/>
              <w:spacing w:after="0"/>
              <w:rPr>
                <w:sz w:val="20"/>
                <w:szCs w:val="20"/>
                <w:color w:val="auto"/>
              </w:rPr>
            </w:pPr>
            <w:r>
              <w:rPr>
                <w:rFonts w:ascii="Times New Roman" w:cs="Times New Roman" w:eastAsia="Times New Roman" w:hAnsi="Times New Roman"/>
                <w:sz w:val="14"/>
                <w:szCs w:val="14"/>
                <w:color w:val="auto"/>
              </w:rPr>
              <w:t>638,536</w:t>
            </w:r>
          </w:p>
        </w:tc>
        <w:tc>
          <w:tcPr>
            <w:tcW w:w="1060" w:type="dxa"/>
            <w:vAlign w:val="bottom"/>
            <w:tcBorders>
              <w:right w:val="single" w:sz="8" w:color="CDE9F6"/>
            </w:tcBorders>
            <w:shd w:val="clear" w:color="auto" w:fill="CDE9F6"/>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DE9F6"/>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5"/>
        </w:trPr>
        <w:tc>
          <w:tcPr>
            <w:tcW w:w="860" w:type="dxa"/>
            <w:vAlign w:val="bottom"/>
            <w:tcBorders>
              <w:right w:val="single" w:sz="8" w:color="CDE9F6"/>
            </w:tcBorders>
            <w:shd w:val="clear" w:color="auto" w:fill="CDE9F6"/>
          </w:tcPr>
          <w:p>
            <w:pPr>
              <w:spacing w:after="0"/>
              <w:rPr>
                <w:sz w:val="23"/>
                <w:szCs w:val="23"/>
                <w:color w:val="auto"/>
              </w:rPr>
            </w:pPr>
          </w:p>
        </w:tc>
        <w:tc>
          <w:tcPr>
            <w:tcW w:w="700" w:type="dxa"/>
            <w:vAlign w:val="bottom"/>
            <w:tcBorders>
              <w:right w:val="single" w:sz="8" w:color="CDE9F6"/>
            </w:tcBorders>
            <w:shd w:val="clear" w:color="auto" w:fill="CDE9F6"/>
          </w:tcPr>
          <w:p>
            <w:pPr>
              <w:jc w:val="center"/>
              <w:spacing w:after="0"/>
              <w:rPr>
                <w:sz w:val="20"/>
                <w:szCs w:val="20"/>
                <w:color w:val="auto"/>
              </w:rPr>
            </w:pPr>
            <w:r>
              <w:rPr>
                <w:rFonts w:ascii="Times New Roman" w:cs="Times New Roman" w:eastAsia="Times New Roman" w:hAnsi="Times New Roman"/>
                <w:sz w:val="14"/>
                <w:szCs w:val="14"/>
                <w:color w:val="auto"/>
                <w:w w:val="98"/>
              </w:rPr>
              <w:t>2/27/2023</w:t>
            </w:r>
          </w:p>
        </w:tc>
        <w:tc>
          <w:tcPr>
            <w:tcW w:w="740" w:type="dxa"/>
            <w:vAlign w:val="bottom"/>
            <w:tcBorders>
              <w:right w:val="single" w:sz="8" w:color="CDE9F6"/>
            </w:tcBorders>
            <w:shd w:val="clear" w:color="auto" w:fill="CDE9F6"/>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right w:val="single" w:sz="8" w:color="CDE9F6"/>
            </w:tcBorders>
            <w:shd w:val="clear" w:color="auto" w:fill="CDE9F6"/>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right w:val="single" w:sz="8" w:color="CDE9F6"/>
            </w:tcBorders>
            <w:shd w:val="clear" w:color="auto" w:fill="CDE9F6"/>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right w:val="single" w:sz="8" w:color="CDE9F6"/>
            </w:tcBorders>
            <w:shd w:val="clear" w:color="auto" w:fill="CDE9F6"/>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right w:val="single" w:sz="8" w:color="CDE9F6"/>
            </w:tcBorders>
            <w:shd w:val="clear" w:color="auto" w:fill="CDE9F6"/>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right w:val="single" w:sz="8" w:color="CDE9F6"/>
            </w:tcBorders>
            <w:shd w:val="clear" w:color="auto" w:fill="CDE9F6"/>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right w:val="single" w:sz="8" w:color="CDE9F6"/>
            </w:tcBorders>
            <w:shd w:val="clear" w:color="auto" w:fill="CDE9F6"/>
          </w:tcPr>
          <w:p>
            <w:pPr>
              <w:jc w:val="right"/>
              <w:spacing w:after="0"/>
              <w:rPr>
                <w:sz w:val="20"/>
                <w:szCs w:val="20"/>
                <w:color w:val="auto"/>
              </w:rPr>
            </w:pPr>
            <w:r>
              <w:rPr>
                <w:rFonts w:ascii="Times New Roman" w:cs="Times New Roman" w:eastAsia="Times New Roman" w:hAnsi="Times New Roman"/>
                <w:sz w:val="14"/>
                <w:szCs w:val="14"/>
                <w:color w:val="auto"/>
              </w:rPr>
              <w:t>15,438</w:t>
            </w:r>
          </w:p>
        </w:tc>
        <w:tc>
          <w:tcPr>
            <w:tcW w:w="1060" w:type="dxa"/>
            <w:vAlign w:val="bottom"/>
            <w:shd w:val="clear" w:color="auto" w:fill="CDE9F6"/>
          </w:tcPr>
          <w:p>
            <w:pPr>
              <w:jc w:val="right"/>
              <w:spacing w:after="0"/>
              <w:rPr>
                <w:sz w:val="20"/>
                <w:szCs w:val="20"/>
                <w:color w:val="auto"/>
              </w:rPr>
            </w:pPr>
            <w:r>
              <w:rPr>
                <w:rFonts w:ascii="Times New Roman" w:cs="Times New Roman" w:eastAsia="Times New Roman" w:hAnsi="Times New Roman"/>
                <w:sz w:val="14"/>
                <w:szCs w:val="14"/>
                <w:color w:val="auto"/>
              </w:rPr>
              <w:t>1,225,932</w:t>
            </w:r>
          </w:p>
        </w:tc>
        <w:tc>
          <w:tcPr>
            <w:tcW w:w="0" w:type="dxa"/>
            <w:vAlign w:val="bottom"/>
          </w:tcPr>
          <w:p>
            <w:pPr>
              <w:spacing w:after="0"/>
              <w:rPr>
                <w:sz w:val="1"/>
                <w:szCs w:val="1"/>
                <w:color w:val="auto"/>
              </w:rPr>
            </w:pPr>
          </w:p>
        </w:tc>
      </w:tr>
      <w:tr>
        <w:trPr>
          <w:trHeight w:val="275"/>
        </w:trPr>
        <w:tc>
          <w:tcPr>
            <w:tcW w:w="860" w:type="dxa"/>
            <w:vAlign w:val="bottom"/>
            <w:tcBorders>
              <w:right w:val="single" w:sz="8" w:color="CDE9F6"/>
            </w:tcBorders>
            <w:shd w:val="clear" w:color="auto" w:fill="CDE9F6"/>
          </w:tcPr>
          <w:p>
            <w:pPr>
              <w:spacing w:after="0"/>
              <w:rPr>
                <w:sz w:val="23"/>
                <w:szCs w:val="23"/>
                <w:color w:val="auto"/>
              </w:rPr>
            </w:pPr>
          </w:p>
        </w:tc>
        <w:tc>
          <w:tcPr>
            <w:tcW w:w="700" w:type="dxa"/>
            <w:vAlign w:val="bottom"/>
            <w:tcBorders>
              <w:right w:val="single" w:sz="8" w:color="CDE9F6"/>
            </w:tcBorders>
            <w:shd w:val="clear" w:color="auto" w:fill="CDE9F6"/>
          </w:tcPr>
          <w:p>
            <w:pPr>
              <w:jc w:val="center"/>
              <w:spacing w:after="0"/>
              <w:rPr>
                <w:sz w:val="20"/>
                <w:szCs w:val="20"/>
                <w:color w:val="auto"/>
              </w:rPr>
            </w:pPr>
            <w:r>
              <w:rPr>
                <w:rFonts w:ascii="Times New Roman" w:cs="Times New Roman" w:eastAsia="Times New Roman" w:hAnsi="Times New Roman"/>
                <w:sz w:val="14"/>
                <w:szCs w:val="14"/>
                <w:color w:val="auto"/>
                <w:w w:val="98"/>
              </w:rPr>
              <w:t>2/21/2024</w:t>
            </w:r>
          </w:p>
        </w:tc>
        <w:tc>
          <w:tcPr>
            <w:tcW w:w="740" w:type="dxa"/>
            <w:vAlign w:val="bottom"/>
            <w:tcBorders>
              <w:right w:val="single" w:sz="8" w:color="CDE9F6"/>
            </w:tcBorders>
            <w:shd w:val="clear" w:color="auto" w:fill="CDE9F6"/>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right w:val="single" w:sz="8" w:color="CDE9F6"/>
            </w:tcBorders>
            <w:shd w:val="clear" w:color="auto" w:fill="CDE9F6"/>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right w:val="single" w:sz="8" w:color="CDE9F6"/>
            </w:tcBorders>
            <w:shd w:val="clear" w:color="auto" w:fill="CDE9F6"/>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right w:val="single" w:sz="8" w:color="CDE9F6"/>
            </w:tcBorders>
            <w:shd w:val="clear" w:color="auto" w:fill="CDE9F6"/>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right w:val="single" w:sz="8" w:color="CDE9F6"/>
            </w:tcBorders>
            <w:shd w:val="clear" w:color="auto" w:fill="CDE9F6"/>
          </w:tcPr>
          <w:p>
            <w:pPr>
              <w:jc w:val="right"/>
              <w:ind w:right="110"/>
              <w:spacing w:after="0"/>
              <w:rPr>
                <w:sz w:val="20"/>
                <w:szCs w:val="20"/>
                <w:color w:val="auto"/>
              </w:rPr>
            </w:pPr>
            <w:r>
              <w:rPr>
                <w:rFonts w:ascii="Times New Roman" w:cs="Times New Roman" w:eastAsia="Times New Roman" w:hAnsi="Times New Roman"/>
                <w:sz w:val="14"/>
                <w:szCs w:val="14"/>
                <w:color w:val="auto"/>
              </w:rPr>
              <w:t>16,442</w:t>
            </w:r>
          </w:p>
        </w:tc>
        <w:tc>
          <w:tcPr>
            <w:tcW w:w="880" w:type="dxa"/>
            <w:vAlign w:val="bottom"/>
            <w:tcBorders>
              <w:right w:val="single" w:sz="8" w:color="CDE9F6"/>
            </w:tcBorders>
            <w:shd w:val="clear" w:color="auto" w:fill="CDE9F6"/>
          </w:tcPr>
          <w:p>
            <w:pPr>
              <w:jc w:val="right"/>
              <w:spacing w:after="0"/>
              <w:rPr>
                <w:sz w:val="20"/>
                <w:szCs w:val="20"/>
                <w:color w:val="auto"/>
              </w:rPr>
            </w:pPr>
            <w:r>
              <w:rPr>
                <w:rFonts w:ascii="Times New Roman" w:cs="Times New Roman" w:eastAsia="Times New Roman" w:hAnsi="Times New Roman"/>
                <w:sz w:val="14"/>
                <w:szCs w:val="14"/>
                <w:color w:val="auto"/>
              </w:rPr>
              <w:t>1,305,659</w:t>
            </w:r>
          </w:p>
        </w:tc>
        <w:tc>
          <w:tcPr>
            <w:tcW w:w="1060" w:type="dxa"/>
            <w:vAlign w:val="bottom"/>
            <w:tcBorders>
              <w:right w:val="single" w:sz="8" w:color="CDE9F6"/>
            </w:tcBorders>
            <w:shd w:val="clear" w:color="auto" w:fill="CDE9F6"/>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DE9F6"/>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5"/>
        </w:trPr>
        <w:tc>
          <w:tcPr>
            <w:tcW w:w="860" w:type="dxa"/>
            <w:vAlign w:val="bottom"/>
            <w:tcBorders>
              <w:right w:val="single" w:sz="8" w:color="CDE9F6"/>
            </w:tcBorders>
            <w:shd w:val="clear" w:color="auto" w:fill="CDE9F6"/>
          </w:tcPr>
          <w:p>
            <w:pPr>
              <w:spacing w:after="0"/>
              <w:rPr>
                <w:sz w:val="23"/>
                <w:szCs w:val="23"/>
                <w:color w:val="auto"/>
              </w:rPr>
            </w:pPr>
          </w:p>
        </w:tc>
        <w:tc>
          <w:tcPr>
            <w:tcW w:w="700" w:type="dxa"/>
            <w:vAlign w:val="bottom"/>
            <w:tcBorders>
              <w:right w:val="single" w:sz="8" w:color="CDE9F6"/>
            </w:tcBorders>
            <w:shd w:val="clear" w:color="auto" w:fill="CDE9F6"/>
          </w:tcPr>
          <w:p>
            <w:pPr>
              <w:jc w:val="center"/>
              <w:spacing w:after="0"/>
              <w:rPr>
                <w:sz w:val="20"/>
                <w:szCs w:val="20"/>
                <w:color w:val="auto"/>
              </w:rPr>
            </w:pPr>
            <w:r>
              <w:rPr>
                <w:rFonts w:ascii="Times New Roman" w:cs="Times New Roman" w:eastAsia="Times New Roman" w:hAnsi="Times New Roman"/>
                <w:sz w:val="14"/>
                <w:szCs w:val="14"/>
                <w:color w:val="auto"/>
                <w:w w:val="98"/>
              </w:rPr>
              <w:t>2/21/2024</w:t>
            </w:r>
          </w:p>
        </w:tc>
        <w:tc>
          <w:tcPr>
            <w:tcW w:w="740" w:type="dxa"/>
            <w:vAlign w:val="bottom"/>
            <w:tcBorders>
              <w:right w:val="single" w:sz="8" w:color="CDE9F6"/>
            </w:tcBorders>
            <w:shd w:val="clear" w:color="auto" w:fill="CDE9F6"/>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right w:val="single" w:sz="8" w:color="CDE9F6"/>
            </w:tcBorders>
            <w:shd w:val="clear" w:color="auto" w:fill="CDE9F6"/>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right w:val="single" w:sz="8" w:color="CDE9F6"/>
            </w:tcBorders>
            <w:shd w:val="clear" w:color="auto" w:fill="CDE9F6"/>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right w:val="single" w:sz="8" w:color="CDE9F6"/>
            </w:tcBorders>
            <w:shd w:val="clear" w:color="auto" w:fill="CDE9F6"/>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right w:val="single" w:sz="8" w:color="CDE9F6"/>
            </w:tcBorders>
            <w:shd w:val="clear" w:color="auto" w:fill="CDE9F6"/>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right w:val="single" w:sz="8" w:color="CDE9F6"/>
            </w:tcBorders>
            <w:shd w:val="clear" w:color="auto" w:fill="CDE9F6"/>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right w:val="single" w:sz="8" w:color="CDE9F6"/>
            </w:tcBorders>
            <w:shd w:val="clear" w:color="auto" w:fill="CDE9F6"/>
          </w:tcPr>
          <w:p>
            <w:pPr>
              <w:jc w:val="right"/>
              <w:spacing w:after="0"/>
              <w:rPr>
                <w:sz w:val="20"/>
                <w:szCs w:val="20"/>
                <w:color w:val="auto"/>
              </w:rPr>
            </w:pPr>
            <w:r>
              <w:rPr>
                <w:rFonts w:ascii="Times New Roman" w:cs="Times New Roman" w:eastAsia="Times New Roman" w:hAnsi="Times New Roman"/>
                <w:sz w:val="14"/>
                <w:szCs w:val="14"/>
                <w:color w:val="auto"/>
              </w:rPr>
              <w:t>23,384</w:t>
            </w:r>
          </w:p>
        </w:tc>
        <w:tc>
          <w:tcPr>
            <w:tcW w:w="1060" w:type="dxa"/>
            <w:vAlign w:val="bottom"/>
            <w:shd w:val="clear" w:color="auto" w:fill="CDE9F6"/>
          </w:tcPr>
          <w:p>
            <w:pPr>
              <w:jc w:val="right"/>
              <w:spacing w:after="0"/>
              <w:rPr>
                <w:sz w:val="20"/>
                <w:szCs w:val="20"/>
                <w:color w:val="auto"/>
              </w:rPr>
            </w:pPr>
            <w:r>
              <w:rPr>
                <w:rFonts w:ascii="Times New Roman" w:cs="Times New Roman" w:eastAsia="Times New Roman" w:hAnsi="Times New Roman"/>
                <w:sz w:val="14"/>
                <w:szCs w:val="14"/>
                <w:color w:val="auto"/>
              </w:rPr>
              <w:t>1,856,923</w:t>
            </w:r>
          </w:p>
        </w:tc>
        <w:tc>
          <w:tcPr>
            <w:tcW w:w="0" w:type="dxa"/>
            <w:vAlign w:val="bottom"/>
          </w:tcPr>
          <w:p>
            <w:pPr>
              <w:spacing w:after="0"/>
              <w:rPr>
                <w:sz w:val="1"/>
                <w:szCs w:val="1"/>
                <w:color w:val="auto"/>
              </w:rPr>
            </w:pPr>
          </w:p>
        </w:tc>
      </w:tr>
      <w:tr>
        <w:trPr>
          <w:trHeight w:val="275"/>
        </w:trPr>
        <w:tc>
          <w:tcPr>
            <w:tcW w:w="860" w:type="dxa"/>
            <w:vAlign w:val="bottom"/>
            <w:tcBorders>
              <w:right w:val="single" w:sz="8" w:color="CDE9F6"/>
            </w:tcBorders>
            <w:shd w:val="clear" w:color="auto" w:fill="CDE9F6"/>
          </w:tcPr>
          <w:p>
            <w:pPr>
              <w:spacing w:after="0"/>
              <w:rPr>
                <w:sz w:val="23"/>
                <w:szCs w:val="23"/>
                <w:color w:val="auto"/>
              </w:rPr>
            </w:pPr>
          </w:p>
        </w:tc>
        <w:tc>
          <w:tcPr>
            <w:tcW w:w="700" w:type="dxa"/>
            <w:vAlign w:val="bottom"/>
            <w:tcBorders>
              <w:right w:val="single" w:sz="8" w:color="CDE9F6"/>
            </w:tcBorders>
            <w:shd w:val="clear" w:color="auto" w:fill="CDE9F6"/>
          </w:tcPr>
          <w:p>
            <w:pPr>
              <w:jc w:val="center"/>
              <w:spacing w:after="0"/>
              <w:rPr>
                <w:sz w:val="20"/>
                <w:szCs w:val="20"/>
                <w:color w:val="auto"/>
              </w:rPr>
            </w:pPr>
            <w:r>
              <w:rPr>
                <w:rFonts w:ascii="Times New Roman" w:cs="Times New Roman" w:eastAsia="Times New Roman" w:hAnsi="Times New Roman"/>
                <w:sz w:val="14"/>
                <w:szCs w:val="14"/>
                <w:color w:val="auto"/>
                <w:w w:val="98"/>
              </w:rPr>
              <w:t>2/21/2025</w:t>
            </w:r>
          </w:p>
        </w:tc>
        <w:tc>
          <w:tcPr>
            <w:tcW w:w="740" w:type="dxa"/>
            <w:vAlign w:val="bottom"/>
            <w:tcBorders>
              <w:right w:val="single" w:sz="8" w:color="CDE9F6"/>
            </w:tcBorders>
            <w:shd w:val="clear" w:color="auto" w:fill="CDE9F6"/>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right w:val="single" w:sz="8" w:color="CDE9F6"/>
            </w:tcBorders>
            <w:shd w:val="clear" w:color="auto" w:fill="CDE9F6"/>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right w:val="single" w:sz="8" w:color="CDE9F6"/>
            </w:tcBorders>
            <w:shd w:val="clear" w:color="auto" w:fill="CDE9F6"/>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right w:val="single" w:sz="8" w:color="CDE9F6"/>
            </w:tcBorders>
            <w:shd w:val="clear" w:color="auto" w:fill="CDE9F6"/>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right w:val="single" w:sz="8" w:color="CDE9F6"/>
            </w:tcBorders>
            <w:shd w:val="clear" w:color="auto" w:fill="CDE9F6"/>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right w:val="single" w:sz="8" w:color="CDE9F6"/>
            </w:tcBorders>
            <w:shd w:val="clear" w:color="auto" w:fill="CDE9F6"/>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right w:val="single" w:sz="8" w:color="CDE9F6"/>
            </w:tcBorders>
            <w:shd w:val="clear" w:color="auto" w:fill="CDE9F6"/>
          </w:tcPr>
          <w:p>
            <w:pPr>
              <w:jc w:val="right"/>
              <w:spacing w:after="0"/>
              <w:rPr>
                <w:sz w:val="20"/>
                <w:szCs w:val="20"/>
                <w:color w:val="auto"/>
              </w:rPr>
            </w:pPr>
            <w:r>
              <w:rPr>
                <w:rFonts w:ascii="Times New Roman" w:cs="Times New Roman" w:eastAsia="Times New Roman" w:hAnsi="Times New Roman"/>
                <w:sz w:val="14"/>
                <w:szCs w:val="14"/>
                <w:color w:val="auto"/>
              </w:rPr>
              <w:t>18,202</w:t>
            </w:r>
          </w:p>
        </w:tc>
        <w:tc>
          <w:tcPr>
            <w:tcW w:w="1060" w:type="dxa"/>
            <w:vAlign w:val="bottom"/>
            <w:shd w:val="clear" w:color="auto" w:fill="CDE9F6"/>
          </w:tcPr>
          <w:p>
            <w:pPr>
              <w:jc w:val="right"/>
              <w:spacing w:after="0"/>
              <w:rPr>
                <w:sz w:val="20"/>
                <w:szCs w:val="20"/>
                <w:color w:val="auto"/>
              </w:rPr>
            </w:pPr>
            <w:r>
              <w:rPr>
                <w:rFonts w:ascii="Times New Roman" w:cs="Times New Roman" w:eastAsia="Times New Roman" w:hAnsi="Times New Roman"/>
                <w:sz w:val="14"/>
                <w:szCs w:val="14"/>
                <w:color w:val="auto"/>
              </w:rPr>
              <w:t>1,445,421</w:t>
            </w:r>
          </w:p>
        </w:tc>
        <w:tc>
          <w:tcPr>
            <w:tcW w:w="0" w:type="dxa"/>
            <w:vAlign w:val="bottom"/>
          </w:tcPr>
          <w:p>
            <w:pPr>
              <w:spacing w:after="0"/>
              <w:rPr>
                <w:sz w:val="1"/>
                <w:szCs w:val="1"/>
                <w:color w:val="auto"/>
              </w:rPr>
            </w:pPr>
          </w:p>
        </w:tc>
      </w:tr>
      <w:tr>
        <w:trPr>
          <w:trHeight w:val="275"/>
        </w:trPr>
        <w:tc>
          <w:tcPr>
            <w:tcW w:w="860" w:type="dxa"/>
            <w:vAlign w:val="bottom"/>
            <w:tcBorders>
              <w:right w:val="single" w:sz="8" w:color="CDE9F6"/>
            </w:tcBorders>
            <w:shd w:val="clear" w:color="auto" w:fill="CDE9F6"/>
          </w:tcPr>
          <w:p>
            <w:pPr>
              <w:spacing w:after="0"/>
              <w:rPr>
                <w:sz w:val="23"/>
                <w:szCs w:val="23"/>
                <w:color w:val="auto"/>
              </w:rPr>
            </w:pPr>
          </w:p>
        </w:tc>
        <w:tc>
          <w:tcPr>
            <w:tcW w:w="700" w:type="dxa"/>
            <w:vAlign w:val="bottom"/>
            <w:tcBorders>
              <w:right w:val="single" w:sz="8" w:color="CDE9F6"/>
            </w:tcBorders>
            <w:shd w:val="clear" w:color="auto" w:fill="CDE9F6"/>
          </w:tcPr>
          <w:p>
            <w:pPr>
              <w:jc w:val="center"/>
              <w:spacing w:after="0"/>
              <w:rPr>
                <w:sz w:val="20"/>
                <w:szCs w:val="20"/>
                <w:color w:val="auto"/>
              </w:rPr>
            </w:pPr>
            <w:r>
              <w:rPr>
                <w:rFonts w:ascii="Times New Roman" w:cs="Times New Roman" w:eastAsia="Times New Roman" w:hAnsi="Times New Roman"/>
                <w:sz w:val="14"/>
                <w:szCs w:val="14"/>
                <w:color w:val="auto"/>
                <w:w w:val="98"/>
              </w:rPr>
              <w:t>2/21/2025</w:t>
            </w:r>
          </w:p>
        </w:tc>
        <w:tc>
          <w:tcPr>
            <w:tcW w:w="740" w:type="dxa"/>
            <w:vAlign w:val="bottom"/>
            <w:tcBorders>
              <w:right w:val="single" w:sz="8" w:color="CDE9F6"/>
            </w:tcBorders>
            <w:shd w:val="clear" w:color="auto" w:fill="CDE9F6"/>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right w:val="single" w:sz="8" w:color="CDE9F6"/>
            </w:tcBorders>
            <w:shd w:val="clear" w:color="auto" w:fill="CDE9F6"/>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right w:val="single" w:sz="8" w:color="CDE9F6"/>
            </w:tcBorders>
            <w:shd w:val="clear" w:color="auto" w:fill="CDE9F6"/>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right w:val="single" w:sz="8" w:color="CDE9F6"/>
            </w:tcBorders>
            <w:shd w:val="clear" w:color="auto" w:fill="CDE9F6"/>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right w:val="single" w:sz="8" w:color="CDE9F6"/>
            </w:tcBorders>
            <w:shd w:val="clear" w:color="auto" w:fill="CDE9F6"/>
          </w:tcPr>
          <w:p>
            <w:pPr>
              <w:jc w:val="right"/>
              <w:ind w:right="110"/>
              <w:spacing w:after="0"/>
              <w:rPr>
                <w:sz w:val="20"/>
                <w:szCs w:val="20"/>
                <w:color w:val="auto"/>
              </w:rPr>
            </w:pPr>
            <w:r>
              <w:rPr>
                <w:rFonts w:ascii="Times New Roman" w:cs="Times New Roman" w:eastAsia="Times New Roman" w:hAnsi="Times New Roman"/>
                <w:sz w:val="14"/>
                <w:szCs w:val="14"/>
                <w:color w:val="auto"/>
              </w:rPr>
              <w:t>18,202</w:t>
            </w:r>
          </w:p>
        </w:tc>
        <w:tc>
          <w:tcPr>
            <w:tcW w:w="880" w:type="dxa"/>
            <w:vAlign w:val="bottom"/>
            <w:tcBorders>
              <w:right w:val="single" w:sz="8" w:color="CDE9F6"/>
            </w:tcBorders>
            <w:shd w:val="clear" w:color="auto" w:fill="CDE9F6"/>
          </w:tcPr>
          <w:p>
            <w:pPr>
              <w:jc w:val="right"/>
              <w:spacing w:after="0"/>
              <w:rPr>
                <w:sz w:val="20"/>
                <w:szCs w:val="20"/>
                <w:color w:val="auto"/>
              </w:rPr>
            </w:pPr>
            <w:r>
              <w:rPr>
                <w:rFonts w:ascii="Times New Roman" w:cs="Times New Roman" w:eastAsia="Times New Roman" w:hAnsi="Times New Roman"/>
                <w:sz w:val="14"/>
                <w:szCs w:val="14"/>
                <w:color w:val="auto"/>
              </w:rPr>
              <w:t>1,445,421</w:t>
            </w:r>
          </w:p>
        </w:tc>
        <w:tc>
          <w:tcPr>
            <w:tcW w:w="1060" w:type="dxa"/>
            <w:vAlign w:val="bottom"/>
            <w:tcBorders>
              <w:right w:val="single" w:sz="8" w:color="CDE9F6"/>
            </w:tcBorders>
            <w:shd w:val="clear" w:color="auto" w:fill="CDE9F6"/>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DE9F6"/>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860" w:type="dxa"/>
            <w:vAlign w:val="bottom"/>
            <w:tcBorders>
              <w:right w:val="single" w:sz="8" w:color="CDE9F6"/>
            </w:tcBorders>
            <w:shd w:val="clear" w:color="auto" w:fill="CDE9F6"/>
          </w:tcPr>
          <w:p>
            <w:pPr>
              <w:spacing w:after="0"/>
              <w:rPr>
                <w:sz w:val="2"/>
                <w:szCs w:val="2"/>
                <w:color w:val="auto"/>
              </w:rPr>
            </w:pPr>
          </w:p>
        </w:tc>
        <w:tc>
          <w:tcPr>
            <w:tcW w:w="700" w:type="dxa"/>
            <w:vAlign w:val="bottom"/>
            <w:tcBorders>
              <w:right w:val="single" w:sz="8" w:color="CDE9F6"/>
            </w:tcBorders>
            <w:shd w:val="clear" w:color="auto" w:fill="CDE9F6"/>
          </w:tcPr>
          <w:p>
            <w:pPr>
              <w:spacing w:after="0"/>
              <w:rPr>
                <w:sz w:val="2"/>
                <w:szCs w:val="2"/>
                <w:color w:val="auto"/>
              </w:rPr>
            </w:pPr>
          </w:p>
        </w:tc>
        <w:tc>
          <w:tcPr>
            <w:tcW w:w="740" w:type="dxa"/>
            <w:vAlign w:val="bottom"/>
            <w:tcBorders>
              <w:right w:val="single" w:sz="8" w:color="CDE9F6"/>
            </w:tcBorders>
            <w:shd w:val="clear" w:color="auto" w:fill="CDE9F6"/>
          </w:tcPr>
          <w:p>
            <w:pPr>
              <w:spacing w:after="0"/>
              <w:rPr>
                <w:sz w:val="2"/>
                <w:szCs w:val="2"/>
                <w:color w:val="auto"/>
              </w:rPr>
            </w:pPr>
          </w:p>
        </w:tc>
        <w:tc>
          <w:tcPr>
            <w:tcW w:w="900" w:type="dxa"/>
            <w:vAlign w:val="bottom"/>
            <w:tcBorders>
              <w:right w:val="single" w:sz="8" w:color="CDE9F6"/>
            </w:tcBorders>
            <w:shd w:val="clear" w:color="auto" w:fill="CDE9F6"/>
          </w:tcPr>
          <w:p>
            <w:pPr>
              <w:spacing w:after="0"/>
              <w:rPr>
                <w:sz w:val="2"/>
                <w:szCs w:val="2"/>
                <w:color w:val="auto"/>
              </w:rPr>
            </w:pPr>
          </w:p>
        </w:tc>
        <w:tc>
          <w:tcPr>
            <w:tcW w:w="560" w:type="dxa"/>
            <w:vAlign w:val="bottom"/>
            <w:tcBorders>
              <w:right w:val="single" w:sz="8" w:color="CDE9F6"/>
            </w:tcBorders>
            <w:shd w:val="clear" w:color="auto" w:fill="CDE9F6"/>
          </w:tcPr>
          <w:p>
            <w:pPr>
              <w:spacing w:after="0"/>
              <w:rPr>
                <w:sz w:val="2"/>
                <w:szCs w:val="2"/>
                <w:color w:val="auto"/>
              </w:rPr>
            </w:pPr>
          </w:p>
        </w:tc>
        <w:tc>
          <w:tcPr>
            <w:tcW w:w="700" w:type="dxa"/>
            <w:vAlign w:val="bottom"/>
            <w:tcBorders>
              <w:right w:val="single" w:sz="8" w:color="CDE9F6"/>
            </w:tcBorders>
            <w:shd w:val="clear" w:color="auto" w:fill="CDE9F6"/>
          </w:tcPr>
          <w:p>
            <w:pPr>
              <w:spacing w:after="0"/>
              <w:rPr>
                <w:sz w:val="2"/>
                <w:szCs w:val="2"/>
                <w:color w:val="auto"/>
              </w:rPr>
            </w:pPr>
          </w:p>
        </w:tc>
        <w:tc>
          <w:tcPr>
            <w:tcW w:w="780" w:type="dxa"/>
            <w:vAlign w:val="bottom"/>
            <w:tcBorders>
              <w:right w:val="single" w:sz="8" w:color="CDE9F6"/>
            </w:tcBorders>
            <w:shd w:val="clear" w:color="auto" w:fill="CDE9F6"/>
          </w:tcPr>
          <w:p>
            <w:pPr>
              <w:spacing w:after="0"/>
              <w:rPr>
                <w:sz w:val="2"/>
                <w:szCs w:val="2"/>
                <w:color w:val="auto"/>
              </w:rPr>
            </w:pPr>
          </w:p>
        </w:tc>
        <w:tc>
          <w:tcPr>
            <w:tcW w:w="880" w:type="dxa"/>
            <w:vAlign w:val="bottom"/>
            <w:tcBorders>
              <w:right w:val="single" w:sz="8" w:color="CDE9F6"/>
            </w:tcBorders>
            <w:shd w:val="clear" w:color="auto" w:fill="CDE9F6"/>
          </w:tcPr>
          <w:p>
            <w:pPr>
              <w:spacing w:after="0"/>
              <w:rPr>
                <w:sz w:val="2"/>
                <w:szCs w:val="2"/>
                <w:color w:val="auto"/>
              </w:rPr>
            </w:pPr>
          </w:p>
        </w:tc>
        <w:tc>
          <w:tcPr>
            <w:tcW w:w="1060" w:type="dxa"/>
            <w:vAlign w:val="bottom"/>
            <w:tcBorders>
              <w:right w:val="single" w:sz="8" w:color="CDE9F6"/>
            </w:tcBorders>
            <w:shd w:val="clear" w:color="auto" w:fill="CDE9F6"/>
          </w:tcPr>
          <w:p>
            <w:pPr>
              <w:spacing w:after="0"/>
              <w:rPr>
                <w:sz w:val="2"/>
                <w:szCs w:val="2"/>
                <w:color w:val="auto"/>
              </w:rPr>
            </w:pPr>
          </w:p>
        </w:tc>
        <w:tc>
          <w:tcPr>
            <w:tcW w:w="1060" w:type="dxa"/>
            <w:vAlign w:val="bottom"/>
            <w:shd w:val="clear" w:color="auto" w:fill="CDE9F6"/>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________________________</w:t>
      </w:r>
    </w:p>
    <w:p>
      <w:pPr>
        <w:spacing w:after="0" w:line="87" w:lineRule="exact"/>
        <w:rPr>
          <w:sz w:val="20"/>
          <w:szCs w:val="20"/>
          <w:color w:val="auto"/>
        </w:rPr>
      </w:pPr>
    </w:p>
    <w:p>
      <w:pPr>
        <w:ind w:left="920" w:right="1019" w:hanging="346"/>
        <w:spacing w:after="0" w:line="276" w:lineRule="auto"/>
        <w:tabs>
          <w:tab w:leader="none" w:pos="905"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Reflects stock options granted under the 2009 Plan. Unless otherwise indicated, all options granted to NEOs vest over four years starting on the date of the grant, with 25% vesting after one year and the remainder vesting monthly thereafter.</w:t>
      </w:r>
    </w:p>
    <w:p>
      <w:pPr>
        <w:spacing w:after="0" w:line="19" w:lineRule="exact"/>
        <w:rPr>
          <w:rFonts w:ascii="Times New Roman" w:cs="Times New Roman" w:eastAsia="Times New Roman" w:hAnsi="Times New Roman"/>
          <w:sz w:val="17"/>
          <w:szCs w:val="17"/>
          <w:color w:val="auto"/>
        </w:rPr>
      </w:pPr>
    </w:p>
    <w:p>
      <w:pPr>
        <w:ind w:left="920" w:right="659" w:hanging="346"/>
        <w:spacing w:after="0" w:line="270" w:lineRule="auto"/>
        <w:tabs>
          <w:tab w:leader="none" w:pos="905"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RSUs granted under the 2009 Plan. Unless otherwise indicated, all RSUs granted to NEOs vest over four years starting on February 1 of the year of grant, with 25% vesting after one year and the remainder vesting quarterly thereafter. Further information about the RSUs is provided in the section titled “</w:t>
      </w:r>
      <w:r>
        <w:rPr>
          <w:rFonts w:ascii="Times New Roman" w:cs="Times New Roman" w:eastAsia="Times New Roman" w:hAnsi="Times New Roman"/>
          <w:sz w:val="17"/>
          <w:szCs w:val="17"/>
          <w:i w:val="1"/>
          <w:iCs w:val="1"/>
          <w:color w:val="auto"/>
        </w:rPr>
        <w:t>Executive Compensation — Compensation Discussion and Analysis — Equity-Based Awards</w:t>
      </w:r>
      <w:r>
        <w:rPr>
          <w:rFonts w:ascii="Times New Roman" w:cs="Times New Roman" w:eastAsia="Times New Roman" w:hAnsi="Times New Roman"/>
          <w:sz w:val="17"/>
          <w:szCs w:val="17"/>
          <w:color w:val="auto"/>
        </w:rPr>
        <w:t>.”</w:t>
      </w:r>
    </w:p>
    <w:p>
      <w:pPr>
        <w:sectPr>
          <w:pgSz w:w="11900" w:h="16838" w:orient="portrait"/>
          <w:cols w:equalWidth="0" w:num="1">
            <w:col w:w="9019"/>
          </w:cols>
          <w:pgMar w:left="1440" w:top="265" w:right="1440" w:bottom="29" w:gutter="0" w:footer="0" w:header="0"/>
        </w:sectPr>
      </w:pP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29" w:gutter="0" w:footer="0" w:header="0"/>
          <w:type w:val="continuous"/>
        </w:sectPr>
      </w:pPr>
    </w:p>
    <w:bookmarkStart w:id="52" w:name="page53"/>
    <w:bookmarkEnd w:id="52"/>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32" w:lineRule="exact"/>
        <w:rPr>
          <w:sz w:val="20"/>
          <w:szCs w:val="20"/>
          <w:color w:val="auto"/>
        </w:rPr>
      </w:pPr>
    </w:p>
    <w:p>
      <w:pPr>
        <w:ind w:left="920" w:right="599" w:hanging="346"/>
        <w:spacing w:after="0" w:line="257" w:lineRule="auto"/>
        <w:tabs>
          <w:tab w:leader="none" w:pos="905"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PSUs granted under the 2009 Plan. Unless otherwise indicated, all PSUs are earned based on the percentile ranking of our total stockholder return among companies included in the S&amp;P 500 Index and include four performance periods of one, two, three and four years, with the first three performance periods each weighted 20% and the four-year performance period weighted 40%. Further information about the PSUs is provided in the section titled “</w:t>
      </w:r>
      <w:r>
        <w:rPr>
          <w:rFonts w:ascii="Times New Roman" w:cs="Times New Roman" w:eastAsia="Times New Roman" w:hAnsi="Times New Roman"/>
          <w:sz w:val="17"/>
          <w:szCs w:val="17"/>
          <w:i w:val="1"/>
          <w:iCs w:val="1"/>
          <w:color w:val="auto"/>
        </w:rPr>
        <w:t>Executive Compensation — Compensation Discussion and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Analysis — 2025 PSU Awards</w:t>
      </w:r>
      <w:r>
        <w:rPr>
          <w:rFonts w:ascii="Times New Roman" w:cs="Times New Roman" w:eastAsia="Times New Roman" w:hAnsi="Times New Roman"/>
          <w:sz w:val="17"/>
          <w:szCs w:val="17"/>
          <w:color w:val="auto"/>
        </w:rPr>
        <w:t>.”</w:t>
      </w:r>
    </w:p>
    <w:p>
      <w:pPr>
        <w:spacing w:after="0" w:line="1" w:lineRule="exact"/>
        <w:rPr>
          <w:rFonts w:ascii="Times New Roman" w:cs="Times New Roman" w:eastAsia="Times New Roman" w:hAnsi="Times New Roman"/>
          <w:sz w:val="17"/>
          <w:szCs w:val="17"/>
          <w:color w:val="auto"/>
        </w:rPr>
      </w:pPr>
    </w:p>
    <w:p>
      <w:pPr>
        <w:jc w:val="both"/>
        <w:ind w:left="920" w:right="859" w:hanging="346"/>
        <w:spacing w:after="0" w:line="257" w:lineRule="auto"/>
        <w:tabs>
          <w:tab w:leader="none" w:pos="905"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the fair market value of the shares underlying the RSUs and PSUs as of December 31, 2025, which was the last business day of 2025, based on the closing price on Nasdaq of our common stock on December 31, 2025, which was $79.41 per share.</w:t>
      </w:r>
    </w:p>
    <w:p>
      <w:pPr>
        <w:ind w:left="920" w:right="779" w:hanging="346"/>
        <w:spacing w:after="0" w:line="274" w:lineRule="auto"/>
        <w:tabs>
          <w:tab w:leader="none" w:pos="905"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RSUs that vest on the one-year anniversary of August 5, 2026, the date of Mr. Jensen’s Fortinet Strategic Advisory Council Member Agreement.</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2025 Option Exercises and Stock Vested Table</w:t>
      </w:r>
    </w:p>
    <w:p>
      <w:pPr>
        <w:spacing w:after="0" w:line="147" w:lineRule="exact"/>
        <w:rPr>
          <w:sz w:val="20"/>
          <w:szCs w:val="20"/>
          <w:color w:val="auto"/>
        </w:rPr>
      </w:pPr>
    </w:p>
    <w:p>
      <w:pPr>
        <w:ind w:left="580" w:right="919" w:firstLine="349"/>
        <w:spacing w:after="0" w:line="296" w:lineRule="auto"/>
        <w:rPr>
          <w:sz w:val="20"/>
          <w:szCs w:val="20"/>
          <w:color w:val="auto"/>
        </w:rPr>
      </w:pPr>
      <w:r>
        <w:rPr>
          <w:rFonts w:ascii="Times New Roman" w:cs="Times New Roman" w:eastAsia="Times New Roman" w:hAnsi="Times New Roman"/>
          <w:sz w:val="17"/>
          <w:szCs w:val="17"/>
          <w:color w:val="auto"/>
        </w:rPr>
        <w:t>The following table presents information concerning amounts realized from stock option exercises and RSUs vested during 2025 for each of the NEOs.</w:t>
      </w:r>
    </w:p>
    <w:p>
      <w:pPr>
        <w:spacing w:after="0" w:line="206" w:lineRule="exact"/>
        <w:rPr>
          <w:sz w:val="20"/>
          <w:szCs w:val="20"/>
          <w:color w:val="auto"/>
        </w:rPr>
      </w:pPr>
    </w:p>
    <w:tbl>
      <w:tblPr>
        <w:tblLayout w:type="fixed"/>
        <w:tblInd w:w="580" w:type="dxa"/>
        <w:tblCellMar>
          <w:top w:w="0" w:type="dxa"/>
          <w:left w:w="0" w:type="dxa"/>
          <w:bottom w:w="0" w:type="dxa"/>
          <w:right w:w="0" w:type="dxa"/>
        </w:tblCellMar>
      </w:tblPr>
      <w:tr>
        <w:trPr>
          <w:trHeight w:val="184"/>
        </w:trPr>
        <w:tc>
          <w:tcPr>
            <w:tcW w:w="2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00" w:type="dxa"/>
            <w:vAlign w:val="bottom"/>
            <w:gridSpan w:val="4"/>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2460" w:type="dxa"/>
            <w:vAlign w:val="bottom"/>
            <w:gridSpan w:val="3"/>
          </w:tcPr>
          <w:p>
            <w:pPr>
              <w:jc w:val="right"/>
              <w:ind w:right="738"/>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0" w:type="dxa"/>
            <w:vAlign w:val="bottom"/>
          </w:tcPr>
          <w:p>
            <w:pPr>
              <w:spacing w:after="0"/>
              <w:rPr>
                <w:sz w:val="1"/>
                <w:szCs w:val="1"/>
                <w:color w:val="auto"/>
              </w:rPr>
            </w:pPr>
          </w:p>
        </w:tc>
      </w:tr>
      <w:tr>
        <w:trPr>
          <w:trHeight w:val="23"/>
        </w:trPr>
        <w:tc>
          <w:tcPr>
            <w:tcW w:w="2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3"/>
        </w:trPr>
        <w:tc>
          <w:tcPr>
            <w:tcW w:w="2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tcPr>
          <w:p>
            <w:pPr>
              <w:jc w:val="center"/>
              <w:ind w:right="80"/>
              <w:spacing w:after="0" w:line="113" w:lineRule="exact"/>
              <w:rPr>
                <w:sz w:val="20"/>
                <w:szCs w:val="20"/>
                <w:color w:val="auto"/>
              </w:rPr>
            </w:pPr>
            <w:r>
              <w:rPr>
                <w:rFonts w:ascii="Times New Roman" w:cs="Times New Roman" w:eastAsia="Times New Roman" w:hAnsi="Times New Roman"/>
                <w:sz w:val="13"/>
                <w:szCs w:val="13"/>
                <w:b w:val="1"/>
                <w:bCs w:val="1"/>
                <w:color w:val="auto"/>
              </w:rPr>
              <w:t>Number of Shares</w:t>
            </w:r>
          </w:p>
        </w:tc>
        <w:tc>
          <w:tcPr>
            <w:tcW w:w="12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w w:val="99"/>
              </w:rPr>
              <w:t>Value Realized on</w:t>
            </w:r>
          </w:p>
        </w:tc>
        <w:tc>
          <w:tcPr>
            <w:tcW w:w="1220" w:type="dxa"/>
            <w:vAlign w:val="bottom"/>
            <w:gridSpan w:val="2"/>
          </w:tcPr>
          <w:p>
            <w:pPr>
              <w:jc w:val="center"/>
              <w:ind w:right="100"/>
              <w:spacing w:after="0" w:line="113" w:lineRule="exact"/>
              <w:rPr>
                <w:sz w:val="20"/>
                <w:szCs w:val="20"/>
                <w:color w:val="auto"/>
              </w:rPr>
            </w:pPr>
            <w:r>
              <w:rPr>
                <w:rFonts w:ascii="Times New Roman" w:cs="Times New Roman" w:eastAsia="Times New Roman" w:hAnsi="Times New Roman"/>
                <w:sz w:val="13"/>
                <w:szCs w:val="13"/>
                <w:b w:val="1"/>
                <w:bCs w:val="1"/>
                <w:color w:val="auto"/>
              </w:rPr>
              <w:t>Number of Shares</w:t>
            </w: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Value Realized on</w:t>
            </w:r>
          </w:p>
        </w:tc>
        <w:tc>
          <w:tcPr>
            <w:tcW w:w="0" w:type="dxa"/>
            <w:vAlign w:val="bottom"/>
          </w:tcPr>
          <w:p>
            <w:pPr>
              <w:spacing w:after="0"/>
              <w:rPr>
                <w:sz w:val="1"/>
                <w:szCs w:val="1"/>
                <w:color w:val="auto"/>
              </w:rPr>
            </w:pPr>
          </w:p>
        </w:tc>
      </w:tr>
      <w:tr>
        <w:trPr>
          <w:trHeight w:val="142"/>
        </w:trPr>
        <w:tc>
          <w:tcPr>
            <w:tcW w:w="29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40" w:type="dxa"/>
            <w:vAlign w:val="bottom"/>
            <w:gridSpan w:val="2"/>
          </w:tcPr>
          <w:p>
            <w:pPr>
              <w:jc w:val="center"/>
              <w:ind w:right="100"/>
              <w:spacing w:after="0" w:line="143" w:lineRule="exact"/>
              <w:rPr>
                <w:sz w:val="20"/>
                <w:szCs w:val="20"/>
                <w:color w:val="auto"/>
              </w:rPr>
            </w:pPr>
            <w:r>
              <w:rPr>
                <w:rFonts w:ascii="Times New Roman" w:cs="Times New Roman" w:eastAsia="Times New Roman" w:hAnsi="Times New Roman"/>
                <w:sz w:val="14"/>
                <w:szCs w:val="14"/>
                <w:b w:val="1"/>
                <w:bCs w:val="1"/>
                <w:color w:val="auto"/>
                <w:w w:val="99"/>
              </w:rPr>
              <w:t>Acquired on</w:t>
            </w:r>
          </w:p>
        </w:tc>
        <w:tc>
          <w:tcPr>
            <w:tcW w:w="1260" w:type="dxa"/>
            <w:vAlign w:val="bottom"/>
            <w:gridSpan w:val="2"/>
            <w:vMerge w:val="continue"/>
          </w:tcPr>
          <w:p>
            <w:pPr>
              <w:spacing w:after="0"/>
              <w:rPr>
                <w:sz w:val="12"/>
                <w:szCs w:val="12"/>
                <w:color w:val="auto"/>
              </w:rPr>
            </w:pPr>
          </w:p>
        </w:tc>
        <w:tc>
          <w:tcPr>
            <w:tcW w:w="1220" w:type="dxa"/>
            <w:vAlign w:val="bottom"/>
            <w:gridSpan w:val="2"/>
          </w:tcPr>
          <w:p>
            <w:pPr>
              <w:jc w:val="center"/>
              <w:ind w:right="80"/>
              <w:spacing w:after="0" w:line="143" w:lineRule="exact"/>
              <w:rPr>
                <w:sz w:val="20"/>
                <w:szCs w:val="20"/>
                <w:color w:val="auto"/>
              </w:rPr>
            </w:pPr>
            <w:r>
              <w:rPr>
                <w:rFonts w:ascii="Times New Roman" w:cs="Times New Roman" w:eastAsia="Times New Roman" w:hAnsi="Times New Roman"/>
                <w:sz w:val="14"/>
                <w:szCs w:val="14"/>
                <w:b w:val="1"/>
                <w:bCs w:val="1"/>
                <w:color w:val="auto"/>
                <w:w w:val="99"/>
              </w:rPr>
              <w:t>Acquired on</w:t>
            </w:r>
          </w:p>
        </w:tc>
        <w:tc>
          <w:tcPr>
            <w:tcW w:w="1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900" w:type="dxa"/>
            <w:vAlign w:val="bottom"/>
            <w:gridSpan w:val="2"/>
            <w:vMerge w:val="continue"/>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Exercise (#)</w:t>
            </w:r>
          </w:p>
        </w:tc>
        <w:tc>
          <w:tcPr>
            <w:tcW w:w="1260" w:type="dxa"/>
            <w:vAlign w:val="bottom"/>
            <w:gridSpan w:val="2"/>
          </w:tcPr>
          <w:p>
            <w:pPr>
              <w:jc w:val="right"/>
              <w:ind w:right="280"/>
              <w:spacing w:after="0" w:line="209" w:lineRule="exact"/>
              <w:rPr>
                <w:sz w:val="20"/>
                <w:szCs w:val="20"/>
                <w:color w:val="auto"/>
              </w:rPr>
            </w:pPr>
            <w:r>
              <w:rPr>
                <w:rFonts w:ascii="Times New Roman" w:cs="Times New Roman" w:eastAsia="Times New Roman" w:hAnsi="Times New Roman"/>
                <w:sz w:val="14"/>
                <w:szCs w:val="14"/>
                <w:b w:val="1"/>
                <w:bCs w:val="1"/>
                <w:color w:val="auto"/>
              </w:rPr>
              <w:t>Exercise ($)</w:t>
            </w:r>
            <w:r>
              <w:rPr>
                <w:rFonts w:ascii="Times New Roman" w:cs="Times New Roman" w:eastAsia="Times New Roman" w:hAnsi="Times New Roman"/>
                <w:sz w:val="20"/>
                <w:szCs w:val="20"/>
                <w:b w:val="1"/>
                <w:bCs w:val="1"/>
                <w:color w:val="auto"/>
                <w:vertAlign w:val="superscript"/>
              </w:rPr>
              <w:t>(1)</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Vesting (#)</w:t>
            </w:r>
          </w:p>
        </w:tc>
        <w:tc>
          <w:tcPr>
            <w:tcW w:w="1240" w:type="dxa"/>
            <w:vAlign w:val="bottom"/>
          </w:tcPr>
          <w:p>
            <w:pPr>
              <w:jc w:val="right"/>
              <w:ind w:right="158"/>
              <w:spacing w:after="0" w:line="209" w:lineRule="exact"/>
              <w:rPr>
                <w:sz w:val="20"/>
                <w:szCs w:val="20"/>
                <w:color w:val="auto"/>
              </w:rPr>
            </w:pPr>
            <w:r>
              <w:rPr>
                <w:rFonts w:ascii="Times New Roman" w:cs="Times New Roman" w:eastAsia="Times New Roman" w:hAnsi="Times New Roman"/>
                <w:sz w:val="14"/>
                <w:szCs w:val="14"/>
                <w:b w:val="1"/>
                <w:bCs w:val="1"/>
                <w:color w:val="auto"/>
              </w:rPr>
              <w:t>Vesting ($)</w:t>
            </w:r>
            <w:r>
              <w:rPr>
                <w:rFonts w:ascii="Times New Roman" w:cs="Times New Roman" w:eastAsia="Times New Roman" w:hAnsi="Times New Roman"/>
                <w:sz w:val="20"/>
                <w:szCs w:val="20"/>
                <w:b w:val="1"/>
                <w:bCs w:val="1"/>
                <w:color w:val="auto"/>
                <w:vertAlign w:val="superscript"/>
              </w:rPr>
              <w:t>(2)</w:t>
            </w:r>
          </w:p>
        </w:tc>
        <w:tc>
          <w:tcPr>
            <w:tcW w:w="0" w:type="dxa"/>
            <w:vAlign w:val="bottom"/>
          </w:tcPr>
          <w:p>
            <w:pPr>
              <w:spacing w:after="0"/>
              <w:rPr>
                <w:sz w:val="1"/>
                <w:szCs w:val="1"/>
                <w:color w:val="auto"/>
              </w:rPr>
            </w:pPr>
          </w:p>
        </w:tc>
      </w:tr>
      <w:tr>
        <w:trPr>
          <w:trHeight w:val="235"/>
        </w:trPr>
        <w:tc>
          <w:tcPr>
            <w:tcW w:w="2800" w:type="dxa"/>
            <w:vAlign w:val="bottom"/>
            <w:tcBorders>
              <w:top w:val="single" w:sz="8" w:color="auto"/>
              <w:bottom w:val="single" w:sz="8" w:color="CDE9F6"/>
            </w:tcBorders>
            <w:shd w:val="clear" w:color="auto" w:fill="CDE9F6"/>
          </w:tcPr>
          <w:p>
            <w:pPr>
              <w:spacing w:after="0"/>
              <w:rPr>
                <w:sz w:val="20"/>
                <w:szCs w:val="20"/>
                <w:color w:val="auto"/>
              </w:rPr>
            </w:pPr>
            <w:r>
              <w:rPr>
                <w:rFonts w:ascii="Times New Roman" w:cs="Times New Roman" w:eastAsia="Times New Roman" w:hAnsi="Times New Roman"/>
                <w:sz w:val="17"/>
                <w:szCs w:val="17"/>
                <w:color w:val="auto"/>
              </w:rPr>
              <w:t>Ken Xie</w:t>
            </w:r>
          </w:p>
        </w:tc>
        <w:tc>
          <w:tcPr>
            <w:tcW w:w="100" w:type="dxa"/>
            <w:vAlign w:val="bottom"/>
            <w:tcBorders>
              <w:top w:val="single" w:sz="8" w:color="CDE9F6"/>
              <w:bottom w:val="single" w:sz="8" w:color="CDE9F6"/>
            </w:tcBorders>
            <w:shd w:val="clear" w:color="auto" w:fill="CDE9F6"/>
          </w:tcPr>
          <w:p>
            <w:pPr>
              <w:spacing w:after="0"/>
              <w:rPr>
                <w:sz w:val="20"/>
                <w:szCs w:val="20"/>
                <w:color w:val="auto"/>
              </w:rPr>
            </w:pPr>
          </w:p>
        </w:tc>
        <w:tc>
          <w:tcPr>
            <w:tcW w:w="1140" w:type="dxa"/>
            <w:vAlign w:val="bottom"/>
            <w:tcBorders>
              <w:top w:val="single" w:sz="8" w:color="auto"/>
              <w:bottom w:val="single" w:sz="8" w:color="CDE9F6"/>
            </w:tcBorders>
            <w:shd w:val="clear" w:color="auto" w:fill="CDE9F6"/>
          </w:tcPr>
          <w:p>
            <w:pPr>
              <w:jc w:val="right"/>
              <w:spacing w:after="0"/>
              <w:rPr>
                <w:sz w:val="20"/>
                <w:szCs w:val="20"/>
                <w:color w:val="auto"/>
              </w:rPr>
            </w:pPr>
            <w:r>
              <w:rPr>
                <w:rFonts w:ascii="Times New Roman" w:cs="Times New Roman" w:eastAsia="Times New Roman" w:hAnsi="Times New Roman"/>
                <w:sz w:val="17"/>
                <w:szCs w:val="17"/>
                <w:color w:val="auto"/>
              </w:rPr>
              <w:t>766,667</w:t>
            </w:r>
          </w:p>
        </w:tc>
        <w:tc>
          <w:tcPr>
            <w:tcW w:w="100" w:type="dxa"/>
            <w:vAlign w:val="bottom"/>
            <w:tcBorders>
              <w:top w:val="single" w:sz="8" w:color="CDE9F6"/>
              <w:bottom w:val="single" w:sz="8" w:color="CDE9F6"/>
            </w:tcBorders>
            <w:shd w:val="clear" w:color="auto" w:fill="CDE9F6"/>
          </w:tcPr>
          <w:p>
            <w:pPr>
              <w:spacing w:after="0"/>
              <w:rPr>
                <w:sz w:val="20"/>
                <w:szCs w:val="20"/>
                <w:color w:val="auto"/>
              </w:rPr>
            </w:pPr>
          </w:p>
        </w:tc>
        <w:tc>
          <w:tcPr>
            <w:tcW w:w="1140" w:type="dxa"/>
            <w:vAlign w:val="bottom"/>
            <w:tcBorders>
              <w:top w:val="single" w:sz="8" w:color="auto"/>
              <w:bottom w:val="single" w:sz="8" w:color="CDE9F6"/>
            </w:tcBorders>
            <w:shd w:val="clear" w:color="auto" w:fill="CDE9F6"/>
          </w:tcPr>
          <w:p>
            <w:pPr>
              <w:jc w:val="right"/>
              <w:spacing w:after="0"/>
              <w:rPr>
                <w:sz w:val="20"/>
                <w:szCs w:val="20"/>
                <w:color w:val="auto"/>
              </w:rPr>
            </w:pPr>
            <w:r>
              <w:rPr>
                <w:rFonts w:ascii="Times New Roman" w:cs="Times New Roman" w:eastAsia="Times New Roman" w:hAnsi="Times New Roman"/>
                <w:sz w:val="17"/>
                <w:szCs w:val="17"/>
                <w:color w:val="auto"/>
              </w:rPr>
              <w:t>63,146,742</w:t>
            </w:r>
          </w:p>
        </w:tc>
        <w:tc>
          <w:tcPr>
            <w:tcW w:w="120" w:type="dxa"/>
            <w:vAlign w:val="bottom"/>
            <w:tcBorders>
              <w:top w:val="single" w:sz="8" w:color="CDE9F6"/>
              <w:bottom w:val="single" w:sz="8" w:color="CDE9F6"/>
            </w:tcBorders>
            <w:shd w:val="clear" w:color="auto" w:fill="CDE9F6"/>
          </w:tcPr>
          <w:p>
            <w:pPr>
              <w:spacing w:after="0"/>
              <w:rPr>
                <w:sz w:val="20"/>
                <w:szCs w:val="20"/>
                <w:color w:val="auto"/>
              </w:rPr>
            </w:pPr>
          </w:p>
        </w:tc>
        <w:tc>
          <w:tcPr>
            <w:tcW w:w="1140" w:type="dxa"/>
            <w:vAlign w:val="bottom"/>
            <w:tcBorders>
              <w:top w:val="single" w:sz="8" w:color="auto"/>
              <w:bottom w:val="single" w:sz="8" w:color="CDE9F6"/>
            </w:tcBorders>
            <w:shd w:val="clear" w:color="auto" w:fill="CDE9F6"/>
          </w:tcPr>
          <w:p>
            <w:pPr>
              <w:jc w:val="right"/>
              <w:spacing w:after="0"/>
              <w:rPr>
                <w:sz w:val="20"/>
                <w:szCs w:val="20"/>
                <w:color w:val="auto"/>
              </w:rPr>
            </w:pPr>
            <w:r>
              <w:rPr>
                <w:rFonts w:ascii="Times New Roman" w:cs="Times New Roman" w:eastAsia="Times New Roman" w:hAnsi="Times New Roman"/>
                <w:sz w:val="17"/>
                <w:szCs w:val="17"/>
                <w:color w:val="auto"/>
              </w:rPr>
              <w:t>161,574</w:t>
            </w:r>
          </w:p>
        </w:tc>
        <w:tc>
          <w:tcPr>
            <w:tcW w:w="80" w:type="dxa"/>
            <w:vAlign w:val="bottom"/>
            <w:tcBorders>
              <w:top w:val="single" w:sz="8" w:color="CDE9F6"/>
              <w:bottom w:val="single" w:sz="8" w:color="CDE9F6"/>
            </w:tcBorders>
            <w:shd w:val="clear" w:color="auto" w:fill="CDE9F6"/>
          </w:tcPr>
          <w:p>
            <w:pPr>
              <w:spacing w:after="0"/>
              <w:rPr>
                <w:sz w:val="20"/>
                <w:szCs w:val="20"/>
                <w:color w:val="auto"/>
              </w:rPr>
            </w:pPr>
          </w:p>
        </w:tc>
        <w:tc>
          <w:tcPr>
            <w:tcW w:w="1240" w:type="dxa"/>
            <w:vAlign w:val="bottom"/>
            <w:tcBorders>
              <w:top w:val="single" w:sz="8" w:color="auto"/>
              <w:bottom w:val="single" w:sz="8" w:color="CDE9F6"/>
            </w:tcBorders>
            <w:shd w:val="clear" w:color="auto" w:fill="CDE9F6"/>
          </w:tcPr>
          <w:p>
            <w:pPr>
              <w:jc w:val="right"/>
              <w:spacing w:after="0"/>
              <w:rPr>
                <w:sz w:val="20"/>
                <w:szCs w:val="20"/>
                <w:color w:val="auto"/>
              </w:rPr>
            </w:pPr>
            <w:r>
              <w:rPr>
                <w:rFonts w:ascii="Times New Roman" w:cs="Times New Roman" w:eastAsia="Times New Roman" w:hAnsi="Times New Roman"/>
                <w:sz w:val="17"/>
                <w:szCs w:val="17"/>
                <w:color w:val="auto"/>
              </w:rPr>
              <w:t>16,053,178</w:t>
            </w:r>
          </w:p>
        </w:tc>
        <w:tc>
          <w:tcPr>
            <w:tcW w:w="0" w:type="dxa"/>
            <w:vAlign w:val="bottom"/>
          </w:tcPr>
          <w:p>
            <w:pPr>
              <w:spacing w:after="0"/>
              <w:rPr>
                <w:sz w:val="1"/>
                <w:szCs w:val="1"/>
                <w:color w:val="auto"/>
              </w:rPr>
            </w:pPr>
          </w:p>
        </w:tc>
      </w:tr>
      <w:tr>
        <w:trPr>
          <w:trHeight w:val="235"/>
        </w:trPr>
        <w:tc>
          <w:tcPr>
            <w:tcW w:w="29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Michael Xie</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473,050</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49,409,126</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71,457</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7,105,593</w:t>
            </w:r>
          </w:p>
        </w:tc>
        <w:tc>
          <w:tcPr>
            <w:tcW w:w="0" w:type="dxa"/>
            <w:vAlign w:val="bottom"/>
          </w:tcPr>
          <w:p>
            <w:pPr>
              <w:spacing w:after="0"/>
              <w:rPr>
                <w:sz w:val="1"/>
                <w:szCs w:val="1"/>
                <w:color w:val="auto"/>
              </w:rPr>
            </w:pPr>
          </w:p>
        </w:tc>
      </w:tr>
      <w:tr>
        <w:trPr>
          <w:trHeight w:val="40"/>
        </w:trPr>
        <w:tc>
          <w:tcPr>
            <w:tcW w:w="2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5"/>
        </w:trPr>
        <w:tc>
          <w:tcPr>
            <w:tcW w:w="2900" w:type="dxa"/>
            <w:vAlign w:val="bottom"/>
            <w:tcBorders>
              <w:bottom w:val="single" w:sz="8" w:color="CDE9F6"/>
            </w:tcBorders>
            <w:gridSpan w:val="2"/>
            <w:shd w:val="clear" w:color="auto" w:fill="CDE9F6"/>
          </w:tcPr>
          <w:p>
            <w:pPr>
              <w:spacing w:after="0"/>
              <w:rPr>
                <w:sz w:val="20"/>
                <w:szCs w:val="20"/>
                <w:color w:val="auto"/>
              </w:rPr>
            </w:pPr>
            <w:r>
              <w:rPr>
                <w:rFonts w:ascii="Times New Roman" w:cs="Times New Roman" w:eastAsia="Times New Roman" w:hAnsi="Times New Roman"/>
                <w:sz w:val="17"/>
                <w:szCs w:val="17"/>
                <w:color w:val="auto"/>
              </w:rPr>
              <w:t>Christiane Ohlgart</w:t>
            </w:r>
          </w:p>
        </w:tc>
        <w:tc>
          <w:tcPr>
            <w:tcW w:w="1240" w:type="dxa"/>
            <w:vAlign w:val="bottom"/>
            <w:tcBorders>
              <w:bottom w:val="single" w:sz="8" w:color="CDE9F6"/>
            </w:tcBorders>
            <w:gridSpan w:val="2"/>
            <w:shd w:val="clear" w:color="auto" w:fill="CDE9F6"/>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bottom w:val="single" w:sz="8" w:color="CDE9F6"/>
            </w:tcBorders>
            <w:gridSpan w:val="2"/>
            <w:shd w:val="clear" w:color="auto" w:fill="CDE9F6"/>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bottom w:val="single" w:sz="8" w:color="CDE9F6"/>
            </w:tcBorders>
            <w:gridSpan w:val="2"/>
            <w:shd w:val="clear" w:color="auto" w:fill="CDE9F6"/>
          </w:tcPr>
          <w:p>
            <w:pPr>
              <w:jc w:val="right"/>
              <w:ind w:right="80"/>
              <w:spacing w:after="0"/>
              <w:rPr>
                <w:sz w:val="20"/>
                <w:szCs w:val="20"/>
                <w:color w:val="auto"/>
              </w:rPr>
            </w:pPr>
            <w:r>
              <w:rPr>
                <w:rFonts w:ascii="Times New Roman" w:cs="Times New Roman" w:eastAsia="Times New Roman" w:hAnsi="Times New Roman"/>
                <w:sz w:val="17"/>
                <w:szCs w:val="17"/>
                <w:color w:val="auto"/>
              </w:rPr>
              <w:t>8,489</w:t>
            </w:r>
          </w:p>
        </w:tc>
        <w:tc>
          <w:tcPr>
            <w:tcW w:w="1240" w:type="dxa"/>
            <w:vAlign w:val="bottom"/>
            <w:tcBorders>
              <w:bottom w:val="single" w:sz="8" w:color="CDE9F6"/>
            </w:tcBorders>
            <w:shd w:val="clear" w:color="auto" w:fill="CDE9F6"/>
          </w:tcPr>
          <w:p>
            <w:pPr>
              <w:jc w:val="right"/>
              <w:spacing w:after="0"/>
              <w:rPr>
                <w:sz w:val="20"/>
                <w:szCs w:val="20"/>
                <w:color w:val="auto"/>
              </w:rPr>
            </w:pPr>
            <w:r>
              <w:rPr>
                <w:rFonts w:ascii="Times New Roman" w:cs="Times New Roman" w:eastAsia="Times New Roman" w:hAnsi="Times New Roman"/>
                <w:sz w:val="17"/>
                <w:szCs w:val="17"/>
                <w:color w:val="auto"/>
              </w:rPr>
              <w:t>867,774</w:t>
            </w:r>
          </w:p>
        </w:tc>
        <w:tc>
          <w:tcPr>
            <w:tcW w:w="0" w:type="dxa"/>
            <w:vAlign w:val="bottom"/>
          </w:tcPr>
          <w:p>
            <w:pPr>
              <w:spacing w:after="0"/>
              <w:rPr>
                <w:sz w:val="1"/>
                <w:szCs w:val="1"/>
                <w:color w:val="auto"/>
              </w:rPr>
            </w:pPr>
          </w:p>
        </w:tc>
      </w:tr>
      <w:tr>
        <w:trPr>
          <w:trHeight w:val="235"/>
        </w:trPr>
        <w:tc>
          <w:tcPr>
            <w:tcW w:w="29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Keith Jensen</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25,220</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1,443,788</w:t>
            </w:r>
          </w:p>
        </w:tc>
        <w:tc>
          <w:tcPr>
            <w:tcW w:w="120" w:type="dxa"/>
            <w:vAlign w:val="bottom"/>
          </w:tcPr>
          <w:p>
            <w:pPr>
              <w:spacing w:after="0"/>
              <w:rPr>
                <w:sz w:val="20"/>
                <w:szCs w:val="20"/>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50,210</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5,086,127</w:t>
            </w:r>
          </w:p>
        </w:tc>
        <w:tc>
          <w:tcPr>
            <w:tcW w:w="0" w:type="dxa"/>
            <w:vAlign w:val="bottom"/>
          </w:tcPr>
          <w:p>
            <w:pPr>
              <w:spacing w:after="0"/>
              <w:rPr>
                <w:sz w:val="1"/>
                <w:szCs w:val="1"/>
                <w:color w:val="auto"/>
              </w:rPr>
            </w:pPr>
          </w:p>
        </w:tc>
      </w:tr>
      <w:tr>
        <w:trPr>
          <w:trHeight w:val="40"/>
        </w:trPr>
        <w:tc>
          <w:tcPr>
            <w:tcW w:w="2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5"/>
        </w:trPr>
        <w:tc>
          <w:tcPr>
            <w:tcW w:w="2900" w:type="dxa"/>
            <w:vAlign w:val="bottom"/>
            <w:gridSpan w:val="2"/>
            <w:shd w:val="clear" w:color="auto" w:fill="CDE9F6"/>
          </w:tcPr>
          <w:p>
            <w:pPr>
              <w:spacing w:after="0"/>
              <w:rPr>
                <w:sz w:val="20"/>
                <w:szCs w:val="20"/>
                <w:color w:val="auto"/>
              </w:rPr>
            </w:pPr>
            <w:r>
              <w:rPr>
                <w:rFonts w:ascii="Times New Roman" w:cs="Times New Roman" w:eastAsia="Times New Roman" w:hAnsi="Times New Roman"/>
                <w:sz w:val="17"/>
                <w:szCs w:val="17"/>
                <w:color w:val="auto"/>
              </w:rPr>
              <w:t>John Whittle</w:t>
            </w:r>
          </w:p>
        </w:tc>
        <w:tc>
          <w:tcPr>
            <w:tcW w:w="1240" w:type="dxa"/>
            <w:vAlign w:val="bottom"/>
            <w:gridSpan w:val="2"/>
            <w:shd w:val="clear" w:color="auto" w:fill="CDE9F6"/>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gridSpan w:val="2"/>
            <w:shd w:val="clear" w:color="auto" w:fill="CDE9F6"/>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2"/>
            <w:shd w:val="clear" w:color="auto" w:fill="CDE9F6"/>
          </w:tcPr>
          <w:p>
            <w:pPr>
              <w:jc w:val="right"/>
              <w:ind w:right="80"/>
              <w:spacing w:after="0"/>
              <w:rPr>
                <w:sz w:val="20"/>
                <w:szCs w:val="20"/>
                <w:color w:val="auto"/>
              </w:rPr>
            </w:pPr>
            <w:r>
              <w:rPr>
                <w:rFonts w:ascii="Times New Roman" w:cs="Times New Roman" w:eastAsia="Times New Roman" w:hAnsi="Times New Roman"/>
                <w:sz w:val="17"/>
                <w:szCs w:val="17"/>
                <w:color w:val="auto"/>
              </w:rPr>
              <w:t>48,472</w:t>
            </w:r>
          </w:p>
        </w:tc>
        <w:tc>
          <w:tcPr>
            <w:tcW w:w="1240" w:type="dxa"/>
            <w:vAlign w:val="bottom"/>
            <w:shd w:val="clear" w:color="auto" w:fill="CDE9F6"/>
          </w:tcPr>
          <w:p>
            <w:pPr>
              <w:jc w:val="right"/>
              <w:spacing w:after="0"/>
              <w:rPr>
                <w:sz w:val="20"/>
                <w:szCs w:val="20"/>
                <w:color w:val="auto"/>
              </w:rPr>
            </w:pPr>
            <w:r>
              <w:rPr>
                <w:rFonts w:ascii="Times New Roman" w:cs="Times New Roman" w:eastAsia="Times New Roman" w:hAnsi="Times New Roman"/>
                <w:sz w:val="17"/>
                <w:szCs w:val="17"/>
                <w:color w:val="auto"/>
              </w:rPr>
              <w:t>4,822,285</w:t>
            </w:r>
          </w:p>
        </w:tc>
        <w:tc>
          <w:tcPr>
            <w:tcW w:w="0" w:type="dxa"/>
            <w:vAlign w:val="bottom"/>
          </w:tcPr>
          <w:p>
            <w:pPr>
              <w:spacing w:after="0"/>
              <w:rPr>
                <w:sz w:val="1"/>
                <w:szCs w:val="1"/>
                <w:color w:val="auto"/>
              </w:rPr>
            </w:pPr>
          </w:p>
        </w:tc>
      </w:tr>
      <w:tr>
        <w:trPr>
          <w:trHeight w:val="40"/>
        </w:trPr>
        <w:tc>
          <w:tcPr>
            <w:tcW w:w="2800" w:type="dxa"/>
            <w:vAlign w:val="bottom"/>
            <w:shd w:val="clear" w:color="auto" w:fill="CDE9F6"/>
          </w:tcPr>
          <w:p>
            <w:pPr>
              <w:spacing w:after="0"/>
              <w:rPr>
                <w:sz w:val="3"/>
                <w:szCs w:val="3"/>
                <w:color w:val="auto"/>
              </w:rPr>
            </w:pPr>
          </w:p>
        </w:tc>
        <w:tc>
          <w:tcPr>
            <w:tcW w:w="100" w:type="dxa"/>
            <w:vAlign w:val="bottom"/>
            <w:shd w:val="clear" w:color="auto" w:fill="CDE9F6"/>
          </w:tcPr>
          <w:p>
            <w:pPr>
              <w:spacing w:after="0"/>
              <w:rPr>
                <w:sz w:val="3"/>
                <w:szCs w:val="3"/>
                <w:color w:val="auto"/>
              </w:rPr>
            </w:pPr>
          </w:p>
        </w:tc>
        <w:tc>
          <w:tcPr>
            <w:tcW w:w="1140" w:type="dxa"/>
            <w:vAlign w:val="bottom"/>
            <w:shd w:val="clear" w:color="auto" w:fill="CDE9F6"/>
          </w:tcPr>
          <w:p>
            <w:pPr>
              <w:spacing w:after="0"/>
              <w:rPr>
                <w:sz w:val="3"/>
                <w:szCs w:val="3"/>
                <w:color w:val="auto"/>
              </w:rPr>
            </w:pPr>
          </w:p>
        </w:tc>
        <w:tc>
          <w:tcPr>
            <w:tcW w:w="100" w:type="dxa"/>
            <w:vAlign w:val="bottom"/>
            <w:shd w:val="clear" w:color="auto" w:fill="CDE9F6"/>
          </w:tcPr>
          <w:p>
            <w:pPr>
              <w:spacing w:after="0"/>
              <w:rPr>
                <w:sz w:val="3"/>
                <w:szCs w:val="3"/>
                <w:color w:val="auto"/>
              </w:rPr>
            </w:pPr>
          </w:p>
        </w:tc>
        <w:tc>
          <w:tcPr>
            <w:tcW w:w="1140" w:type="dxa"/>
            <w:vAlign w:val="bottom"/>
            <w:shd w:val="clear" w:color="auto" w:fill="CDE9F6"/>
          </w:tcPr>
          <w:p>
            <w:pPr>
              <w:spacing w:after="0"/>
              <w:rPr>
                <w:sz w:val="3"/>
                <w:szCs w:val="3"/>
                <w:color w:val="auto"/>
              </w:rPr>
            </w:pPr>
          </w:p>
        </w:tc>
        <w:tc>
          <w:tcPr>
            <w:tcW w:w="120" w:type="dxa"/>
            <w:vAlign w:val="bottom"/>
            <w:shd w:val="clear" w:color="auto" w:fill="CDE9F6"/>
          </w:tcPr>
          <w:p>
            <w:pPr>
              <w:spacing w:after="0"/>
              <w:rPr>
                <w:sz w:val="3"/>
                <w:szCs w:val="3"/>
                <w:color w:val="auto"/>
              </w:rPr>
            </w:pPr>
          </w:p>
        </w:tc>
        <w:tc>
          <w:tcPr>
            <w:tcW w:w="1140" w:type="dxa"/>
            <w:vAlign w:val="bottom"/>
            <w:shd w:val="clear" w:color="auto" w:fill="CDE9F6"/>
          </w:tcPr>
          <w:p>
            <w:pPr>
              <w:spacing w:after="0"/>
              <w:rPr>
                <w:sz w:val="3"/>
                <w:szCs w:val="3"/>
                <w:color w:val="auto"/>
              </w:rPr>
            </w:pPr>
          </w:p>
        </w:tc>
        <w:tc>
          <w:tcPr>
            <w:tcW w:w="80" w:type="dxa"/>
            <w:vAlign w:val="bottom"/>
            <w:shd w:val="clear" w:color="auto" w:fill="CDE9F6"/>
          </w:tcPr>
          <w:p>
            <w:pPr>
              <w:spacing w:after="0"/>
              <w:rPr>
                <w:sz w:val="3"/>
                <w:szCs w:val="3"/>
                <w:color w:val="auto"/>
              </w:rPr>
            </w:pPr>
          </w:p>
        </w:tc>
        <w:tc>
          <w:tcPr>
            <w:tcW w:w="1240" w:type="dxa"/>
            <w:vAlign w:val="bottom"/>
            <w:shd w:val="clear" w:color="auto" w:fill="CDE9F6"/>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3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________________________</w:t>
      </w:r>
    </w:p>
    <w:p>
      <w:pPr>
        <w:spacing w:after="0" w:line="87" w:lineRule="exact"/>
        <w:rPr>
          <w:sz w:val="20"/>
          <w:szCs w:val="20"/>
          <w:color w:val="auto"/>
        </w:rPr>
      </w:pPr>
    </w:p>
    <w:p>
      <w:pPr>
        <w:ind w:left="920" w:right="859" w:hanging="346"/>
        <w:spacing w:after="0" w:line="276" w:lineRule="auto"/>
        <w:tabs>
          <w:tab w:leader="none" w:pos="905"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value realized on exercise reflects the difference between the fair market value of Fortinet common stock at the time of exercise on the exercise date and the exercise price of the stock option. Amounts shown are presented on an aggregate basis for all exercises that occurred during 2025.</w:t>
      </w:r>
    </w:p>
    <w:p>
      <w:pPr>
        <w:spacing w:after="0" w:line="19" w:lineRule="exact"/>
        <w:rPr>
          <w:rFonts w:ascii="Times New Roman" w:cs="Times New Roman" w:eastAsia="Times New Roman" w:hAnsi="Times New Roman"/>
          <w:sz w:val="17"/>
          <w:szCs w:val="17"/>
          <w:color w:val="auto"/>
        </w:rPr>
      </w:pPr>
    </w:p>
    <w:p>
      <w:pPr>
        <w:ind w:left="920" w:right="739" w:hanging="346"/>
        <w:spacing w:after="0" w:line="296" w:lineRule="auto"/>
        <w:tabs>
          <w:tab w:leader="none" w:pos="905"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value realized on vesting reflects the aggregate fair market value of all Fortinet common stock issued pursuant to vested RSUs during 2025.</w:t>
      </w:r>
    </w:p>
    <w:p>
      <w:pPr>
        <w:spacing w:after="0" w:line="14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Potential Payments Upon Termination or Change of Control</w:t>
      </w:r>
    </w:p>
    <w:p>
      <w:pPr>
        <w:spacing w:after="0" w:line="22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7"/>
          <w:szCs w:val="17"/>
          <w:b w:val="1"/>
          <w:bCs w:val="1"/>
          <w:i w:val="1"/>
          <w:iCs w:val="1"/>
          <w:color w:val="auto"/>
        </w:rPr>
        <w:t>Change of Control Severance Arrangements</w:t>
      </w:r>
    </w:p>
    <w:p>
      <w:pPr>
        <w:spacing w:after="0" w:line="162" w:lineRule="exact"/>
        <w:rPr>
          <w:sz w:val="20"/>
          <w:szCs w:val="20"/>
          <w:color w:val="auto"/>
        </w:rPr>
      </w:pPr>
    </w:p>
    <w:p>
      <w:pPr>
        <w:ind w:left="580" w:right="679" w:firstLine="349"/>
        <w:spacing w:after="0" w:line="265" w:lineRule="auto"/>
        <w:rPr>
          <w:sz w:val="20"/>
          <w:szCs w:val="20"/>
          <w:color w:val="auto"/>
        </w:rPr>
      </w:pPr>
      <w:r>
        <w:rPr>
          <w:rFonts w:ascii="Times New Roman" w:cs="Times New Roman" w:eastAsia="Times New Roman" w:hAnsi="Times New Roman"/>
          <w:sz w:val="17"/>
          <w:szCs w:val="17"/>
          <w:color w:val="auto"/>
        </w:rPr>
        <w:t>We have entered into a Change of Control Severance Agreement with each of our NEOs, except for Keith Jensen, whose Change of Control Severance Agreement terminated upon his resignation as our Chief Financial Officer on May 15, 2025, under which each NEO may receive certain payments and benefits upon certain terminations of employment, provided that the NEO has provided us with an executed release of claims and subject to satisfaction of a non-solicitation and non-competition covenant for a period of 12 months following termination. The term of each NEO’s Change of Control Severance Agreement expires on August 7, 2029.</w:t>
      </w:r>
    </w:p>
    <w:p>
      <w:pPr>
        <w:spacing w:after="0" w:line="93" w:lineRule="exact"/>
        <w:rPr>
          <w:sz w:val="20"/>
          <w:szCs w:val="20"/>
          <w:color w:val="auto"/>
        </w:rPr>
      </w:pPr>
    </w:p>
    <w:p>
      <w:pPr>
        <w:ind w:left="580" w:right="599" w:firstLine="349"/>
        <w:spacing w:after="0" w:line="262" w:lineRule="auto"/>
        <w:rPr>
          <w:sz w:val="20"/>
          <w:szCs w:val="20"/>
          <w:color w:val="auto"/>
        </w:rPr>
      </w:pPr>
      <w:r>
        <w:rPr>
          <w:rFonts w:ascii="Times New Roman" w:cs="Times New Roman" w:eastAsia="Times New Roman" w:hAnsi="Times New Roman"/>
          <w:sz w:val="17"/>
          <w:szCs w:val="17"/>
          <w:color w:val="auto"/>
        </w:rPr>
        <w:t>Pursuant to each Change of Control Agreement, if an NEO is terminated without Cause (as defined below) or if an NEO terminates the NEO’s employment for Good Reason (as defined below) outside of the Change of Control Period (as defined below), the NEO will be entitled to: (i) continuing base salary at the then-current rate for 12 months following termination; (ii) acceleration of the unvested equity awards subject to time-based vesting then held by the NEO that would have vested over the next 12 months; and (iii) 12 months of medical, dental and/or vision COBRA premiums for the NEO and/or the NEO’s eligible dependents. Treatment of equity awards subject to performance-based vesting shall be subject to the award agreement governing their grant, as described in greater detail below in the section titled “PSUs.”</w:t>
      </w:r>
    </w:p>
    <w:p>
      <w:pPr>
        <w:spacing w:after="0" w:line="113" w:lineRule="exact"/>
        <w:rPr>
          <w:sz w:val="20"/>
          <w:szCs w:val="20"/>
          <w:color w:val="auto"/>
        </w:rPr>
      </w:pPr>
    </w:p>
    <w:p>
      <w:pPr>
        <w:ind w:left="580" w:right="639" w:firstLine="349"/>
        <w:spacing w:after="0" w:line="270" w:lineRule="auto"/>
        <w:rPr>
          <w:sz w:val="20"/>
          <w:szCs w:val="20"/>
          <w:color w:val="auto"/>
        </w:rPr>
      </w:pPr>
      <w:r>
        <w:rPr>
          <w:rFonts w:ascii="Times New Roman" w:cs="Times New Roman" w:eastAsia="Times New Roman" w:hAnsi="Times New Roman"/>
          <w:sz w:val="17"/>
          <w:szCs w:val="17"/>
          <w:color w:val="auto"/>
        </w:rPr>
        <w:t>Also pursuant to each Change of Control Agreement, if an NEO is terminated without Cause or if an NEO terminates the NEO’s employment for Good Reason within the 12-month period following a Change of Control (or, in the case of the CEO only, within the period commencing three months prior and ending 12-months following a Change of Control), each such period, as applicable, the “Change in Control Period,” the NEO</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3" w:name="page54"/>
    <w:bookmarkEnd w:id="53"/>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580" w:right="739"/>
        <w:spacing w:after="0" w:line="262" w:lineRule="auto"/>
        <w:rPr>
          <w:sz w:val="20"/>
          <w:szCs w:val="20"/>
          <w:color w:val="auto"/>
        </w:rPr>
      </w:pPr>
      <w:r>
        <w:rPr>
          <w:rFonts w:ascii="Times New Roman" w:cs="Times New Roman" w:eastAsia="Times New Roman" w:hAnsi="Times New Roman"/>
          <w:sz w:val="17"/>
          <w:szCs w:val="17"/>
          <w:color w:val="auto"/>
        </w:rPr>
        <w:t>will be entitled to: (i) continuing base salary for 12 months following termination (at the greater of the base salary in effect immediately prior to (A) the Change of Control and (B) the NEO’s termination date); (ii) an additional severance payment equal to the NEO’s annual target bonus for the year in which the termination occurs, payable in a lump sum; (iii) acceleration of 100% of the unvested equity awards subject to time-based and performance-based vesting then held by the NEO (with performance deemed achieved at target, unless otherwise set forth in the applicable award agreement); and (iv) 12 months of medical, dental and/or vision COBRA premiums for the NEO and/or the NEO’s eligible dependents. The terms of the award agreements for all outstanding performance-based awards are described below in the section titled “PSUs.”</w:t>
      </w:r>
    </w:p>
    <w:p>
      <w:pPr>
        <w:spacing w:after="0" w:line="113" w:lineRule="exact"/>
        <w:rPr>
          <w:sz w:val="20"/>
          <w:szCs w:val="20"/>
          <w:color w:val="auto"/>
        </w:rPr>
      </w:pPr>
    </w:p>
    <w:p>
      <w:pPr>
        <w:ind w:left="580" w:right="599" w:firstLine="349"/>
        <w:spacing w:after="0" w:line="263" w:lineRule="auto"/>
        <w:rPr>
          <w:sz w:val="20"/>
          <w:szCs w:val="20"/>
          <w:color w:val="auto"/>
        </w:rPr>
      </w:pPr>
      <w:r>
        <w:rPr>
          <w:rFonts w:ascii="Times New Roman" w:cs="Times New Roman" w:eastAsia="Times New Roman" w:hAnsi="Times New Roman"/>
          <w:sz w:val="17"/>
          <w:szCs w:val="17"/>
          <w:color w:val="auto"/>
        </w:rPr>
        <w:t>In the event of acceleration of an NEO’s unvested equity awards, the awards will remain exercisable, to the extent applicable, following the termination for the period prescribed in the respective stock plan and agreement for each award. In the event any payment to an NEO is subject to the excise tax imposed by Section 4999 of the Code (as a result of a payment being classified as a “parachute payment” under Section 280G of the Code), the NEO will be entitled to receive such payment as would entitle the NEO to receive the greatest after-tax benefit of either the full payment or a lesser payment which would result in no portion of such severance benefits being subject to excise tax.</w:t>
      </w:r>
    </w:p>
    <w:p>
      <w:pPr>
        <w:spacing w:after="0" w:line="11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7"/>
          <w:szCs w:val="17"/>
          <w:color w:val="auto"/>
        </w:rPr>
        <w:t>For the purpose of our Change of Control Severance Agreements:</w:t>
      </w:r>
    </w:p>
    <w:p>
      <w:pPr>
        <w:spacing w:after="0" w:line="145" w:lineRule="exact"/>
        <w:rPr>
          <w:sz w:val="20"/>
          <w:szCs w:val="20"/>
          <w:color w:val="auto"/>
        </w:rPr>
      </w:pPr>
    </w:p>
    <w:p>
      <w:pPr>
        <w:ind w:left="1260" w:hanging="336"/>
        <w:spacing w:after="0"/>
        <w:tabs>
          <w:tab w:leader="none" w:pos="1260"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 of Control” generally means:</w:t>
      </w:r>
    </w:p>
    <w:p>
      <w:pPr>
        <w:spacing w:after="0" w:line="158" w:lineRule="exact"/>
        <w:rPr>
          <w:rFonts w:ascii="Times New Roman" w:cs="Times New Roman" w:eastAsia="Times New Roman" w:hAnsi="Times New Roman"/>
          <w:sz w:val="17"/>
          <w:szCs w:val="17"/>
          <w:color w:val="auto"/>
        </w:rPr>
      </w:pPr>
    </w:p>
    <w:p>
      <w:pPr>
        <w:ind w:left="1620" w:right="819" w:hanging="347"/>
        <w:spacing w:after="0" w:line="296" w:lineRule="auto"/>
        <w:tabs>
          <w:tab w:leader="none" w:pos="1595" w:val="left"/>
        </w:tabs>
        <w:numPr>
          <w:ilvl w:val="1"/>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acquisition by one person or group of persons of Fortinet securities representing more than 50% of total voting power at the time of acquisition;</w:t>
      </w:r>
    </w:p>
    <w:p>
      <w:pPr>
        <w:spacing w:after="0" w:line="81" w:lineRule="exact"/>
        <w:rPr>
          <w:rFonts w:ascii="Times New Roman" w:cs="Times New Roman" w:eastAsia="Times New Roman" w:hAnsi="Times New Roman"/>
          <w:sz w:val="17"/>
          <w:szCs w:val="17"/>
          <w:color w:val="auto"/>
        </w:rPr>
      </w:pPr>
    </w:p>
    <w:p>
      <w:pPr>
        <w:ind w:left="1620" w:right="599" w:hanging="347"/>
        <w:spacing w:after="0" w:line="276" w:lineRule="auto"/>
        <w:tabs>
          <w:tab w:leader="none" w:pos="1605" w:val="left"/>
        </w:tabs>
        <w:numPr>
          <w:ilvl w:val="1"/>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change in the composition of the Board of Directors occurring within a 12-month period, which results in fewer than a majority of the directors on the Board of Directors being incumbent directors;</w:t>
      </w:r>
    </w:p>
    <w:p>
      <w:pPr>
        <w:spacing w:after="0" w:line="85" w:lineRule="exact"/>
        <w:rPr>
          <w:rFonts w:ascii="Times New Roman" w:cs="Times New Roman" w:eastAsia="Times New Roman" w:hAnsi="Times New Roman"/>
          <w:sz w:val="17"/>
          <w:szCs w:val="17"/>
          <w:color w:val="auto"/>
        </w:rPr>
      </w:pPr>
    </w:p>
    <w:p>
      <w:pPr>
        <w:ind w:left="1620" w:right="599" w:hanging="347"/>
        <w:spacing w:after="0" w:line="267" w:lineRule="auto"/>
        <w:tabs>
          <w:tab w:leader="none" w:pos="1595" w:val="left"/>
        </w:tabs>
        <w:numPr>
          <w:ilvl w:val="1"/>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date of the consummation of a merger or consolidation between Fortinet and any other corporation that has been approved by our stockholders, other than a merger or consolidation that would result in our voting securities representing 50% or more of the total voting power immediately after such merger or consolidation, or if our stockholders approve a plan of Fortinet’s complete liquidation; or</w:t>
      </w:r>
    </w:p>
    <w:p>
      <w:pPr>
        <w:spacing w:after="0" w:line="104" w:lineRule="exact"/>
        <w:rPr>
          <w:rFonts w:ascii="Times New Roman" w:cs="Times New Roman" w:eastAsia="Times New Roman" w:hAnsi="Times New Roman"/>
          <w:sz w:val="17"/>
          <w:szCs w:val="17"/>
          <w:color w:val="auto"/>
        </w:rPr>
      </w:pPr>
    </w:p>
    <w:p>
      <w:pPr>
        <w:jc w:val="both"/>
        <w:ind w:left="1620" w:right="799" w:hanging="347"/>
        <w:spacing w:after="0" w:line="276" w:lineRule="auto"/>
        <w:tabs>
          <w:tab w:leader="none" w:pos="1605" w:val="left"/>
        </w:tabs>
        <w:numPr>
          <w:ilvl w:val="1"/>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change in the ownership of a substantial portion of Fortinet’s assets, having a total gross fair market value equal to or more than 50% of the total fair market value of all of Fortinet’s assets immediately prior to such acquisition.</w:t>
      </w:r>
    </w:p>
    <w:p>
      <w:pPr>
        <w:spacing w:after="0" w:line="98" w:lineRule="exact"/>
        <w:rPr>
          <w:sz w:val="20"/>
          <w:szCs w:val="20"/>
          <w:color w:val="auto"/>
        </w:rPr>
      </w:pPr>
    </w:p>
    <w:p>
      <w:pPr>
        <w:ind w:left="580" w:right="1079" w:firstLine="349"/>
        <w:spacing w:after="0" w:line="296" w:lineRule="auto"/>
        <w:rPr>
          <w:sz w:val="20"/>
          <w:szCs w:val="20"/>
          <w:color w:val="auto"/>
        </w:rPr>
      </w:pPr>
      <w:r>
        <w:rPr>
          <w:rFonts w:ascii="Times New Roman" w:cs="Times New Roman" w:eastAsia="Times New Roman" w:hAnsi="Times New Roman"/>
          <w:sz w:val="17"/>
          <w:szCs w:val="17"/>
          <w:color w:val="auto"/>
        </w:rPr>
        <w:t>Notwithstanding the foregoing, a transaction that does not constitute a change of control event under Treasury Regulation 1.409A-3(i)(5)(v) or (vii) shall not be considered a Change of Control.</w:t>
      </w:r>
    </w:p>
    <w:p>
      <w:pPr>
        <w:spacing w:after="0" w:line="68" w:lineRule="exact"/>
        <w:rPr>
          <w:sz w:val="20"/>
          <w:szCs w:val="20"/>
          <w:color w:val="auto"/>
        </w:rPr>
      </w:pPr>
    </w:p>
    <w:p>
      <w:pPr>
        <w:ind w:left="1260" w:hanging="336"/>
        <w:spacing w:after="0"/>
        <w:tabs>
          <w:tab w:leader="none" w:pos="1260"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“Cause” generally means:</w:t>
      </w:r>
    </w:p>
    <w:p>
      <w:pPr>
        <w:spacing w:after="0" w:line="158" w:lineRule="exact"/>
        <w:rPr>
          <w:rFonts w:ascii="Times New Roman" w:cs="Times New Roman" w:eastAsia="Times New Roman" w:hAnsi="Times New Roman"/>
          <w:sz w:val="17"/>
          <w:szCs w:val="17"/>
          <w:color w:val="auto"/>
        </w:rPr>
      </w:pPr>
    </w:p>
    <w:p>
      <w:pPr>
        <w:ind w:left="1620" w:right="819" w:hanging="347"/>
        <w:spacing w:after="0" w:line="296" w:lineRule="auto"/>
        <w:tabs>
          <w:tab w:leader="none" w:pos="1595" w:val="left"/>
        </w:tabs>
        <w:numPr>
          <w:ilvl w:val="1"/>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act of dishonesty by the NEO in connection with the NEO’s responsibilities as an employee that materially and adversely affects Fortinet;</w:t>
      </w:r>
    </w:p>
    <w:p>
      <w:pPr>
        <w:spacing w:after="0" w:line="81" w:lineRule="exact"/>
        <w:rPr>
          <w:rFonts w:ascii="Times New Roman" w:cs="Times New Roman" w:eastAsia="Times New Roman" w:hAnsi="Times New Roman"/>
          <w:sz w:val="17"/>
          <w:szCs w:val="17"/>
          <w:color w:val="auto"/>
        </w:rPr>
      </w:pPr>
    </w:p>
    <w:p>
      <w:pPr>
        <w:ind w:left="1620" w:right="859" w:hanging="347"/>
        <w:spacing w:after="0" w:line="296" w:lineRule="auto"/>
        <w:tabs>
          <w:tab w:leader="none" w:pos="1605" w:val="left"/>
        </w:tabs>
        <w:numPr>
          <w:ilvl w:val="1"/>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NEO’s conviction of, or plea of nolo contendere to, a felony or any crime involving fraud, embezzlement or any other act of moral turpitude;</w:t>
      </w:r>
    </w:p>
    <w:p>
      <w:pPr>
        <w:spacing w:after="0" w:line="67" w:lineRule="exact"/>
        <w:rPr>
          <w:rFonts w:ascii="Times New Roman" w:cs="Times New Roman" w:eastAsia="Times New Roman" w:hAnsi="Times New Roman"/>
          <w:sz w:val="17"/>
          <w:szCs w:val="17"/>
          <w:color w:val="auto"/>
        </w:rPr>
      </w:pPr>
    </w:p>
    <w:p>
      <w:pPr>
        <w:ind w:left="1620" w:right="1199" w:hanging="347"/>
        <w:spacing w:after="0" w:line="296" w:lineRule="auto"/>
        <w:tabs>
          <w:tab w:leader="none" w:pos="1595" w:val="left"/>
        </w:tabs>
        <w:numPr>
          <w:ilvl w:val="1"/>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NEO’s gross misconduct that materially and adversely affects Fortinet’s reputation or business;</w:t>
      </w:r>
    </w:p>
    <w:p>
      <w:pPr>
        <w:spacing w:after="0" w:line="81" w:lineRule="exact"/>
        <w:rPr>
          <w:rFonts w:ascii="Times New Roman" w:cs="Times New Roman" w:eastAsia="Times New Roman" w:hAnsi="Times New Roman"/>
          <w:sz w:val="17"/>
          <w:szCs w:val="17"/>
          <w:color w:val="auto"/>
        </w:rPr>
      </w:pPr>
    </w:p>
    <w:p>
      <w:pPr>
        <w:ind w:left="1620" w:right="699" w:hanging="347"/>
        <w:spacing w:after="0" w:line="267" w:lineRule="auto"/>
        <w:tabs>
          <w:tab w:leader="none" w:pos="1605" w:val="left"/>
        </w:tabs>
        <w:numPr>
          <w:ilvl w:val="1"/>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NEO’s continued intentional refusal to perform employment duties in a material fashion that materially and adversely affects Fortinet’s reputation or business, after the NEO has received a written demand of performance from Fortinet that specifically sets forth the factual basis for Fortinet’s belief that the NEO has not substantially performed the NEO’s duties and the NEO continues to refuse to cure such non-performance within thirty days after receiving such notice;</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4" w:name="page55"/>
    <w:bookmarkEnd w:id="54"/>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1620" w:right="899" w:hanging="347"/>
        <w:spacing w:after="0" w:line="276" w:lineRule="auto"/>
        <w:tabs>
          <w:tab w:leader="none" w:pos="1595"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NEO has breached any material term or condition of the NEO’s confidentiality agreement with Fortinet or has otherwise improperly disclosed Fortinet’s confidential or proprietary information that materially adversely affects Fortinet;</w:t>
      </w:r>
    </w:p>
    <w:p>
      <w:pPr>
        <w:spacing w:after="0" w:line="98" w:lineRule="exact"/>
        <w:rPr>
          <w:rFonts w:ascii="Times New Roman" w:cs="Times New Roman" w:eastAsia="Times New Roman" w:hAnsi="Times New Roman"/>
          <w:sz w:val="17"/>
          <w:szCs w:val="17"/>
          <w:color w:val="auto"/>
        </w:rPr>
      </w:pPr>
    </w:p>
    <w:p>
      <w:pPr>
        <w:ind w:left="1620" w:right="659" w:hanging="347"/>
        <w:spacing w:after="0" w:line="276" w:lineRule="auto"/>
        <w:tabs>
          <w:tab w:leader="none" w:pos="1615"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NEO has breached any material term or condition of any written Fortinet policy or Fortinet’s written code of conduct that has been made available to the NEO prior to such breach or any other material agreement with Fortinet; or</w:t>
      </w:r>
    </w:p>
    <w:p>
      <w:pPr>
        <w:spacing w:after="0" w:line="98" w:lineRule="exact"/>
        <w:rPr>
          <w:rFonts w:ascii="Times New Roman" w:cs="Times New Roman" w:eastAsia="Times New Roman" w:hAnsi="Times New Roman"/>
          <w:sz w:val="17"/>
          <w:szCs w:val="17"/>
          <w:color w:val="auto"/>
        </w:rPr>
      </w:pPr>
    </w:p>
    <w:p>
      <w:pPr>
        <w:ind w:left="1620" w:right="879" w:hanging="347"/>
        <w:spacing w:after="0" w:line="270" w:lineRule="auto"/>
        <w:tabs>
          <w:tab w:leader="none" w:pos="1605"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NEO has obstructed or impeded, or failed to materially cooperate with, any investigation authorized by the Board of Directors or any governmental or self-regulatory entity; provided, however that failure to waive attorney-client privilege relating to communications with the NEO’s own attorney in connection with such investigation will not constitute “Cause”;</w:t>
      </w:r>
    </w:p>
    <w:p>
      <w:pPr>
        <w:spacing w:after="0" w:line="90" w:lineRule="exact"/>
        <w:rPr>
          <w:sz w:val="20"/>
          <w:szCs w:val="20"/>
          <w:color w:val="auto"/>
        </w:rPr>
      </w:pPr>
    </w:p>
    <w:p>
      <w:pPr>
        <w:ind w:left="920" w:right="759"/>
        <w:spacing w:after="0" w:line="276" w:lineRule="auto"/>
        <w:rPr>
          <w:sz w:val="20"/>
          <w:szCs w:val="20"/>
          <w:color w:val="auto"/>
        </w:rPr>
      </w:pPr>
      <w:r>
        <w:rPr>
          <w:rFonts w:ascii="Times New Roman" w:cs="Times New Roman" w:eastAsia="Times New Roman" w:hAnsi="Times New Roman"/>
          <w:sz w:val="17"/>
          <w:szCs w:val="17"/>
          <w:color w:val="auto"/>
        </w:rPr>
        <w:t>provided, however, that the action or conduct described in clauses (e), (f) and (g) above will constitute “Cause” only if such action or conduct continues after Fortinet has provided the NEO with written notice thereof and thirty (30) days to cure the same if such action or conduct is curable.</w:t>
      </w:r>
    </w:p>
    <w:p>
      <w:pPr>
        <w:spacing w:after="0" w:line="98" w:lineRule="exact"/>
        <w:rPr>
          <w:sz w:val="20"/>
          <w:szCs w:val="20"/>
          <w:color w:val="auto"/>
        </w:rPr>
      </w:pPr>
    </w:p>
    <w:p>
      <w:pPr>
        <w:ind w:left="1280" w:right="819" w:hanging="356"/>
        <w:spacing w:after="0" w:line="296" w:lineRule="auto"/>
        <w:tabs>
          <w:tab w:leader="none" w:pos="1280"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“Good Reason” generally means the occurrence of one or more of the following events without the NEO’s express written consent:</w:t>
      </w:r>
    </w:p>
    <w:p>
      <w:pPr>
        <w:spacing w:after="0" w:line="81" w:lineRule="exact"/>
        <w:rPr>
          <w:rFonts w:ascii="Times New Roman" w:cs="Times New Roman" w:eastAsia="Times New Roman" w:hAnsi="Times New Roman"/>
          <w:sz w:val="17"/>
          <w:szCs w:val="17"/>
          <w:color w:val="auto"/>
        </w:rPr>
      </w:pPr>
    </w:p>
    <w:p>
      <w:pPr>
        <w:ind w:left="1620" w:right="799" w:hanging="347"/>
        <w:spacing w:after="0" w:line="262" w:lineRule="auto"/>
        <w:tabs>
          <w:tab w:leader="none" w:pos="1595" w:val="left"/>
        </w:tabs>
        <w:numPr>
          <w:ilvl w:val="1"/>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assignment to the NEO of any duties or the reduction of the NEO’s duties, either of which results in a material diminution in the NEO’s position or responsibilities with Fortinet in effect immediately prior to such assignment, or the removal of the NEO from such position and responsibilities, unless the NEO is provided with comparable duties, position and responsibilities; provided, however, it being understood that a new position with a larger combined company does not alone constitute “Good Reason” if it is in the same area of operations and involves substantially the same duties and scope of responsibilities and management responsibility notwithstanding that the NEO may not retain as senior of a title within the larger combined company as the NEO’s prior title;</w:t>
      </w:r>
    </w:p>
    <w:p>
      <w:pPr>
        <w:spacing w:after="0" w:line="96" w:lineRule="exact"/>
        <w:rPr>
          <w:rFonts w:ascii="Times New Roman" w:cs="Times New Roman" w:eastAsia="Times New Roman" w:hAnsi="Times New Roman"/>
          <w:sz w:val="17"/>
          <w:szCs w:val="17"/>
          <w:color w:val="auto"/>
        </w:rPr>
      </w:pPr>
    </w:p>
    <w:p>
      <w:pPr>
        <w:ind w:left="1620" w:right="639" w:hanging="347"/>
        <w:spacing w:after="0" w:line="276" w:lineRule="auto"/>
        <w:tabs>
          <w:tab w:leader="none" w:pos="1605" w:val="left"/>
        </w:tabs>
        <w:numPr>
          <w:ilvl w:val="1"/>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material reduction in the base salary of the NEO; provided that, it being understood that a reduction by Fortinet by five percent (5%) or more in the base salary or bonus opportunity of the NEO as in effect immediately prior to such reduction shall be deemed Good Reason;</w:t>
      </w:r>
    </w:p>
    <w:p>
      <w:pPr>
        <w:spacing w:after="0" w:line="98" w:lineRule="exact"/>
        <w:rPr>
          <w:rFonts w:ascii="Times New Roman" w:cs="Times New Roman" w:eastAsia="Times New Roman" w:hAnsi="Times New Roman"/>
          <w:sz w:val="17"/>
          <w:szCs w:val="17"/>
          <w:color w:val="auto"/>
        </w:rPr>
      </w:pPr>
    </w:p>
    <w:p>
      <w:pPr>
        <w:ind w:left="1620" w:right="679" w:hanging="347"/>
        <w:spacing w:after="0" w:line="276" w:lineRule="auto"/>
        <w:tabs>
          <w:tab w:leader="none" w:pos="1595" w:val="left"/>
        </w:tabs>
        <w:numPr>
          <w:ilvl w:val="1"/>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material change in the geographic location at which the NEO must perform services (the relocation of the NEO to a facility or a location less than twenty-five (25) miles from the NEO’s then-present location shall not be considered a material change in geographic location);</w:t>
      </w:r>
    </w:p>
    <w:p>
      <w:pPr>
        <w:spacing w:after="0" w:line="98" w:lineRule="exact"/>
        <w:rPr>
          <w:rFonts w:ascii="Times New Roman" w:cs="Times New Roman" w:eastAsia="Times New Roman" w:hAnsi="Times New Roman"/>
          <w:sz w:val="17"/>
          <w:szCs w:val="17"/>
          <w:color w:val="auto"/>
        </w:rPr>
      </w:pPr>
    </w:p>
    <w:p>
      <w:pPr>
        <w:ind w:left="1620" w:right="859" w:hanging="347"/>
        <w:spacing w:after="0" w:line="296" w:lineRule="auto"/>
        <w:tabs>
          <w:tab w:leader="none" w:pos="1605" w:val="left"/>
        </w:tabs>
        <w:numPr>
          <w:ilvl w:val="1"/>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material breach by Fortinet of any material provision of the Change of Control Severance Agreement; or</w:t>
      </w:r>
    </w:p>
    <w:p>
      <w:pPr>
        <w:spacing w:after="0" w:line="67" w:lineRule="exact"/>
        <w:rPr>
          <w:rFonts w:ascii="Times New Roman" w:cs="Times New Roman" w:eastAsia="Times New Roman" w:hAnsi="Times New Roman"/>
          <w:sz w:val="17"/>
          <w:szCs w:val="17"/>
          <w:color w:val="auto"/>
        </w:rPr>
      </w:pPr>
    </w:p>
    <w:p>
      <w:pPr>
        <w:ind w:left="1620" w:right="619" w:hanging="347"/>
        <w:spacing w:after="0" w:line="296" w:lineRule="auto"/>
        <w:tabs>
          <w:tab w:leader="none" w:pos="1595" w:val="left"/>
        </w:tabs>
        <w:numPr>
          <w:ilvl w:val="1"/>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Fortinet’s failure to obtain the assumption of the Change of Control Severance Agreement by any successor.</w:t>
      </w:r>
    </w:p>
    <w:p>
      <w:pPr>
        <w:spacing w:after="0" w:line="81" w:lineRule="exact"/>
        <w:rPr>
          <w:sz w:val="20"/>
          <w:szCs w:val="20"/>
          <w:color w:val="auto"/>
        </w:rPr>
      </w:pPr>
    </w:p>
    <w:p>
      <w:pPr>
        <w:ind w:left="580" w:right="659" w:firstLine="349"/>
        <w:spacing w:after="0" w:line="268" w:lineRule="auto"/>
        <w:rPr>
          <w:sz w:val="20"/>
          <w:szCs w:val="20"/>
          <w:color w:val="auto"/>
        </w:rPr>
      </w:pPr>
      <w:r>
        <w:rPr>
          <w:rFonts w:ascii="Times New Roman" w:cs="Times New Roman" w:eastAsia="Times New Roman" w:hAnsi="Times New Roman"/>
          <w:sz w:val="17"/>
          <w:szCs w:val="17"/>
          <w:color w:val="auto"/>
        </w:rPr>
        <w:t>The NEO may not resign for Good Reason without first providing us with written notice of the acts or omissions constituting the grounds for “Good Reason” within 90 days of the initial existence of the grounds for Good Reason and a reasonable cure period of not less than 30 days following the date of such notice, and the NEO’s resignation of employment must occur no later than 30 days following the end of such 30-day cure period.</w:t>
      </w:r>
    </w:p>
    <w:p>
      <w:pPr>
        <w:spacing w:after="0" w:line="38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7"/>
          <w:szCs w:val="17"/>
          <w:b w:val="1"/>
          <w:bCs w:val="1"/>
          <w:i w:val="1"/>
          <w:iCs w:val="1"/>
          <w:color w:val="auto"/>
        </w:rPr>
        <w:t>PSUs</w:t>
      </w:r>
    </w:p>
    <w:p>
      <w:pPr>
        <w:spacing w:after="0" w:line="162" w:lineRule="exact"/>
        <w:rPr>
          <w:sz w:val="20"/>
          <w:szCs w:val="20"/>
          <w:color w:val="auto"/>
        </w:rPr>
      </w:pPr>
    </w:p>
    <w:p>
      <w:pPr>
        <w:ind w:left="580" w:right="599" w:firstLine="349"/>
        <w:spacing w:after="0" w:line="267" w:lineRule="auto"/>
        <w:rPr>
          <w:sz w:val="20"/>
          <w:szCs w:val="20"/>
          <w:color w:val="auto"/>
        </w:rPr>
      </w:pPr>
      <w:r>
        <w:rPr>
          <w:rFonts w:ascii="Times New Roman" w:cs="Times New Roman" w:eastAsia="Times New Roman" w:hAnsi="Times New Roman"/>
          <w:sz w:val="17"/>
          <w:szCs w:val="17"/>
          <w:color w:val="auto"/>
        </w:rPr>
        <w:t>Pursuant to the terms of the PSUs set forth in the award agreements, and notwithstanding anything to the contrary in the Change of Control Severance Agreement, in the event of an NEO’s termination without Cause or resignation for Good Reason (each as defined in Change of Control Severance Agreement) outside of a Change in Control Period, the target number of PSUs subject to the then in-progress Performance Period shall accelerate and vest in full on the NEO’s termination date, and all other then-unachieved PSUs will be forfeited.</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5" w:name="page56"/>
    <w:bookmarkEnd w:id="55"/>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580" w:right="659" w:firstLine="349"/>
        <w:spacing w:after="0" w:line="263" w:lineRule="auto"/>
        <w:rPr>
          <w:sz w:val="20"/>
          <w:szCs w:val="20"/>
          <w:color w:val="auto"/>
        </w:rPr>
      </w:pPr>
      <w:r>
        <w:rPr>
          <w:rFonts w:ascii="Times New Roman" w:cs="Times New Roman" w:eastAsia="Times New Roman" w:hAnsi="Times New Roman"/>
          <w:sz w:val="17"/>
          <w:szCs w:val="17"/>
          <w:color w:val="auto"/>
        </w:rPr>
        <w:t>In addition, pursuant to the terms of the PSUs and notwithstanding anything to the contrary in the Change of Control Severance Agreement, upon a Change in Control, the relative TSR metric of the PSUs will be measured using the deal price per share as of the date of the Change in Control. Any earned PSUs based on the deal price per share will then be subject to time-based vesting through the end of each applicable Performance Period (the “Time-Vesting PSUs”). Time-Vesting PSUs earned based on the deal price per share will be eligible for vesting acceleration upon a termination without Cause or resignation for Good Reason in connection with the Change in Control as provided in the Change of Control Severance Agreement.</w:t>
      </w:r>
    </w:p>
    <w:p>
      <w:pPr>
        <w:spacing w:after="0" w:line="17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7"/>
          <w:szCs w:val="17"/>
          <w:b w:val="1"/>
          <w:bCs w:val="1"/>
          <w:i w:val="1"/>
          <w:iCs w:val="1"/>
          <w:color w:val="auto"/>
        </w:rPr>
        <w:t>Estimated Payments upon Termination or Change in Control</w:t>
      </w:r>
    </w:p>
    <w:p>
      <w:pPr>
        <w:spacing w:after="0" w:line="162" w:lineRule="exact"/>
        <w:rPr>
          <w:sz w:val="20"/>
          <w:szCs w:val="20"/>
          <w:color w:val="auto"/>
        </w:rPr>
      </w:pPr>
    </w:p>
    <w:p>
      <w:pPr>
        <w:ind w:left="580" w:right="639" w:firstLine="349"/>
        <w:spacing w:after="0" w:line="262" w:lineRule="auto"/>
        <w:rPr>
          <w:sz w:val="20"/>
          <w:szCs w:val="20"/>
          <w:color w:val="auto"/>
        </w:rPr>
      </w:pPr>
      <w:r>
        <w:rPr>
          <w:rFonts w:ascii="Times New Roman" w:cs="Times New Roman" w:eastAsia="Times New Roman" w:hAnsi="Times New Roman"/>
          <w:sz w:val="17"/>
          <w:szCs w:val="17"/>
          <w:color w:val="auto"/>
        </w:rPr>
        <w:t>The following table provides information concerning the estimated payments and benefits that would be provided in the circumstances described above for each of the NEOs. Except where otherwise noted, payments and benefits are estimated assuming that the triggering event took place on the last business day of 2025, which was December 31, 2025, and the price per share of Fortinet’s common stock was the closing price on Nasdaq as of that date, which was $79.41 per share. There can be no assurance that a triggering event would produce the same or similar results as those estimated below if such event occurs on any other date or at any other price, of if any other assumption used to estimate potential payments and benefits is not correct. Due to the number of factors that affect the nature and amount of any potential payments or benefits, any actual payments and benefits may be different.</w:t>
      </w:r>
    </w:p>
    <w:p>
      <w:pPr>
        <w:spacing w:after="0" w:line="122"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1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40" w:type="dxa"/>
            <w:vAlign w:val="bottom"/>
            <w:gridSpan w:val="6"/>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8"/>
              </w:rPr>
              <w:t>Qualifying Termination Not Within</w:t>
            </w:r>
          </w:p>
        </w:tc>
        <w:tc>
          <w:tcPr>
            <w:tcW w:w="2960" w:type="dxa"/>
            <w:vAlign w:val="bottom"/>
            <w:gridSpan w:val="5"/>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Qualifying Termination Within</w:t>
            </w:r>
          </w:p>
        </w:tc>
        <w:tc>
          <w:tcPr>
            <w:tcW w:w="0" w:type="dxa"/>
            <w:vAlign w:val="bottom"/>
          </w:tcPr>
          <w:p>
            <w:pPr>
              <w:spacing w:after="0"/>
              <w:rPr>
                <w:sz w:val="1"/>
                <w:szCs w:val="1"/>
                <w:color w:val="auto"/>
              </w:rPr>
            </w:pPr>
          </w:p>
        </w:tc>
      </w:tr>
      <w:tr>
        <w:trPr>
          <w:trHeight w:val="238"/>
        </w:trPr>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2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Change of Control Period</w:t>
            </w:r>
            <w:r>
              <w:rPr>
                <w:rFonts w:ascii="Times New Roman" w:cs="Times New Roman" w:eastAsia="Times New Roman" w:hAnsi="Times New Roman"/>
                <w:sz w:val="20"/>
                <w:szCs w:val="20"/>
                <w:b w:val="1"/>
                <w:bCs w:val="1"/>
                <w:color w:val="auto"/>
                <w:w w:val="97"/>
                <w:vertAlign w:val="superscript"/>
              </w:rPr>
              <w:t>(1)</w:t>
            </w:r>
          </w:p>
        </w:tc>
        <w:tc>
          <w:tcPr>
            <w:tcW w:w="120" w:type="dxa"/>
            <w:vAlign w:val="bottom"/>
          </w:tcPr>
          <w:p>
            <w:pPr>
              <w:spacing w:after="0"/>
              <w:rPr>
                <w:sz w:val="20"/>
                <w:szCs w:val="20"/>
                <w:color w:val="auto"/>
              </w:rPr>
            </w:pPr>
          </w:p>
        </w:tc>
        <w:tc>
          <w:tcPr>
            <w:tcW w:w="2960" w:type="dxa"/>
            <w:vAlign w:val="bottom"/>
            <w:tcBorders>
              <w:bottom w:val="single" w:sz="8" w:color="auto"/>
            </w:tcBorders>
            <w:gridSpan w:val="5"/>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Change of Control Period</w:t>
            </w:r>
            <w:r>
              <w:rPr>
                <w:rFonts w:ascii="Times New Roman" w:cs="Times New Roman" w:eastAsia="Times New Roman" w:hAnsi="Times New Roman"/>
                <w:sz w:val="20"/>
                <w:szCs w:val="20"/>
                <w:b w:val="1"/>
                <w:bCs w:val="1"/>
                <w:color w:val="auto"/>
                <w:vertAlign w:val="superscript"/>
              </w:rPr>
              <w:t>(1)</w:t>
            </w:r>
          </w:p>
        </w:tc>
        <w:tc>
          <w:tcPr>
            <w:tcW w:w="0" w:type="dxa"/>
            <w:vAlign w:val="bottom"/>
          </w:tcPr>
          <w:p>
            <w:pPr>
              <w:spacing w:after="0"/>
              <w:rPr>
                <w:sz w:val="1"/>
                <w:szCs w:val="1"/>
                <w:color w:val="auto"/>
              </w:rPr>
            </w:pPr>
          </w:p>
        </w:tc>
      </w:tr>
      <w:tr>
        <w:trPr>
          <w:trHeight w:val="113"/>
        </w:trPr>
        <w:tc>
          <w:tcPr>
            <w:tcW w:w="1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gridSpan w:val="2"/>
          </w:tcPr>
          <w:p>
            <w:pPr>
              <w:jc w:val="center"/>
              <w:ind w:right="140"/>
              <w:spacing w:after="0" w:line="113" w:lineRule="exact"/>
              <w:rPr>
                <w:sz w:val="20"/>
                <w:szCs w:val="20"/>
                <w:color w:val="auto"/>
              </w:rPr>
            </w:pPr>
            <w:r>
              <w:rPr>
                <w:rFonts w:ascii="Times New Roman" w:cs="Times New Roman" w:eastAsia="Times New Roman" w:hAnsi="Times New Roman"/>
                <w:sz w:val="13"/>
                <w:szCs w:val="13"/>
                <w:b w:val="1"/>
                <w:bCs w:val="1"/>
                <w:color w:val="auto"/>
              </w:rPr>
              <w:t>Acceleration</w:t>
            </w:r>
          </w:p>
        </w:tc>
        <w:tc>
          <w:tcPr>
            <w:tcW w:w="102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COBRA</w:t>
            </w: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gridSpan w:val="2"/>
          </w:tcPr>
          <w:p>
            <w:pPr>
              <w:jc w:val="center"/>
              <w:ind w:right="140"/>
              <w:spacing w:after="0" w:line="113" w:lineRule="exact"/>
              <w:rPr>
                <w:sz w:val="20"/>
                <w:szCs w:val="20"/>
                <w:color w:val="auto"/>
              </w:rPr>
            </w:pPr>
            <w:r>
              <w:rPr>
                <w:rFonts w:ascii="Times New Roman" w:cs="Times New Roman" w:eastAsia="Times New Roman" w:hAnsi="Times New Roman"/>
                <w:sz w:val="13"/>
                <w:szCs w:val="13"/>
                <w:b w:val="1"/>
                <w:bCs w:val="1"/>
                <w:color w:val="auto"/>
              </w:rPr>
              <w:t>Acceleration</w:t>
            </w:r>
          </w:p>
        </w:tc>
        <w:tc>
          <w:tcPr>
            <w:tcW w:w="1000" w:type="dxa"/>
            <w:vAlign w:val="bottom"/>
            <w:vMerge w:val="restart"/>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COBRA</w:t>
            </w:r>
          </w:p>
        </w:tc>
        <w:tc>
          <w:tcPr>
            <w:tcW w:w="0" w:type="dxa"/>
            <w:vAlign w:val="bottom"/>
          </w:tcPr>
          <w:p>
            <w:pPr>
              <w:spacing w:after="0"/>
              <w:rPr>
                <w:sz w:val="1"/>
                <w:szCs w:val="1"/>
                <w:color w:val="auto"/>
              </w:rPr>
            </w:pPr>
          </w:p>
        </w:tc>
      </w:tr>
      <w:tr>
        <w:trPr>
          <w:trHeight w:val="153"/>
        </w:trPr>
        <w:tc>
          <w:tcPr>
            <w:tcW w:w="1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center"/>
              <w:ind w:right="140"/>
              <w:spacing w:after="0" w:line="153" w:lineRule="exact"/>
              <w:rPr>
                <w:sz w:val="20"/>
                <w:szCs w:val="20"/>
                <w:color w:val="auto"/>
              </w:rPr>
            </w:pPr>
            <w:r>
              <w:rPr>
                <w:rFonts w:ascii="Times New Roman" w:cs="Times New Roman" w:eastAsia="Times New Roman" w:hAnsi="Times New Roman"/>
                <w:sz w:val="14"/>
                <w:szCs w:val="14"/>
                <w:b w:val="1"/>
                <w:bCs w:val="1"/>
                <w:color w:val="auto"/>
                <w:w w:val="96"/>
              </w:rPr>
              <w:t>of Equity</w:t>
            </w:r>
          </w:p>
        </w:tc>
        <w:tc>
          <w:tcPr>
            <w:tcW w:w="1020" w:type="dxa"/>
            <w:vAlign w:val="bottom"/>
            <w:gridSpan w:val="2"/>
            <w:vMerge w:val="continue"/>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jc w:val="center"/>
              <w:ind w:right="140"/>
              <w:spacing w:after="0" w:line="153" w:lineRule="exact"/>
              <w:rPr>
                <w:sz w:val="20"/>
                <w:szCs w:val="20"/>
                <w:color w:val="auto"/>
              </w:rPr>
            </w:pPr>
            <w:r>
              <w:rPr>
                <w:rFonts w:ascii="Times New Roman" w:cs="Times New Roman" w:eastAsia="Times New Roman" w:hAnsi="Times New Roman"/>
                <w:sz w:val="14"/>
                <w:szCs w:val="14"/>
                <w:b w:val="1"/>
                <w:bCs w:val="1"/>
                <w:color w:val="auto"/>
              </w:rPr>
              <w:t>of Equity</w:t>
            </w:r>
          </w:p>
        </w:tc>
        <w:tc>
          <w:tcPr>
            <w:tcW w:w="10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8"/>
        </w:trPr>
        <w:tc>
          <w:tcPr>
            <w:tcW w:w="18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Salary ($)</w:t>
            </w:r>
            <w:r>
              <w:rPr>
                <w:rFonts w:ascii="Times New Roman" w:cs="Times New Roman" w:eastAsia="Times New Roman" w:hAnsi="Times New Roman"/>
                <w:sz w:val="20"/>
                <w:szCs w:val="20"/>
                <w:b w:val="1"/>
                <w:bCs w:val="1"/>
                <w:color w:val="auto"/>
                <w:vertAlign w:val="superscript"/>
              </w:rPr>
              <w:t>(2)</w:t>
            </w: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4"/>
              </w:rPr>
              <w:t>Vesting ($)</w:t>
            </w:r>
            <w:r>
              <w:rPr>
                <w:rFonts w:ascii="Times New Roman" w:cs="Times New Roman" w:eastAsia="Times New Roman" w:hAnsi="Times New Roman"/>
                <w:sz w:val="20"/>
                <w:szCs w:val="20"/>
                <w:b w:val="1"/>
                <w:bCs w:val="1"/>
                <w:color w:val="auto"/>
                <w:w w:val="94"/>
                <w:vertAlign w:val="superscript"/>
              </w:rPr>
              <w:t>(3)</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Benefit ($)</w:t>
            </w:r>
            <w:r>
              <w:rPr>
                <w:rFonts w:ascii="Times New Roman" w:cs="Times New Roman" w:eastAsia="Times New Roman" w:hAnsi="Times New Roman"/>
                <w:sz w:val="20"/>
                <w:szCs w:val="20"/>
                <w:b w:val="1"/>
                <w:bCs w:val="1"/>
                <w:color w:val="auto"/>
                <w:vertAlign w:val="superscript"/>
              </w:rPr>
              <w:t>(4)</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Salary ($)</w:t>
            </w:r>
            <w:r>
              <w:rPr>
                <w:rFonts w:ascii="Times New Roman" w:cs="Times New Roman" w:eastAsia="Times New Roman" w:hAnsi="Times New Roman"/>
                <w:sz w:val="20"/>
                <w:szCs w:val="20"/>
                <w:b w:val="1"/>
                <w:bCs w:val="1"/>
                <w:color w:val="auto"/>
                <w:vertAlign w:val="superscript"/>
              </w:rPr>
              <w:t>(2)</w:t>
            </w: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4"/>
              </w:rPr>
              <w:t>Vesting ($)</w:t>
            </w:r>
            <w:r>
              <w:rPr>
                <w:rFonts w:ascii="Times New Roman" w:cs="Times New Roman" w:eastAsia="Times New Roman" w:hAnsi="Times New Roman"/>
                <w:sz w:val="20"/>
                <w:szCs w:val="20"/>
                <w:b w:val="1"/>
                <w:bCs w:val="1"/>
                <w:color w:val="auto"/>
                <w:w w:val="94"/>
                <w:vertAlign w:val="superscript"/>
              </w:rPr>
              <w:t>(5)</w:t>
            </w:r>
          </w:p>
        </w:tc>
        <w:tc>
          <w:tcPr>
            <w:tcW w:w="1000" w:type="dxa"/>
            <w:vAlign w:val="bottom"/>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Benefit ($)</w:t>
            </w:r>
            <w:r>
              <w:rPr>
                <w:rFonts w:ascii="Times New Roman" w:cs="Times New Roman" w:eastAsia="Times New Roman" w:hAnsi="Times New Roman"/>
                <w:sz w:val="20"/>
                <w:szCs w:val="20"/>
                <w:b w:val="1"/>
                <w:bCs w:val="1"/>
                <w:color w:val="auto"/>
                <w:vertAlign w:val="superscript"/>
              </w:rPr>
              <w:t>(4)</w:t>
            </w:r>
          </w:p>
        </w:tc>
        <w:tc>
          <w:tcPr>
            <w:tcW w:w="0" w:type="dxa"/>
            <w:vAlign w:val="bottom"/>
          </w:tcPr>
          <w:p>
            <w:pPr>
              <w:spacing w:after="0"/>
              <w:rPr>
                <w:sz w:val="1"/>
                <w:szCs w:val="1"/>
                <w:color w:val="auto"/>
              </w:rPr>
            </w:pPr>
          </w:p>
        </w:tc>
      </w:tr>
      <w:tr>
        <w:trPr>
          <w:trHeight w:val="235"/>
        </w:trPr>
        <w:tc>
          <w:tcPr>
            <w:tcW w:w="1760" w:type="dxa"/>
            <w:vAlign w:val="bottom"/>
            <w:tcBorders>
              <w:top w:val="single" w:sz="8" w:color="auto"/>
              <w:bottom w:val="single" w:sz="8" w:color="CDE9F6"/>
            </w:tcBorders>
            <w:shd w:val="clear" w:color="auto" w:fill="CDE9F6"/>
          </w:tcPr>
          <w:p>
            <w:pPr>
              <w:spacing w:after="0"/>
              <w:rPr>
                <w:sz w:val="20"/>
                <w:szCs w:val="20"/>
                <w:color w:val="auto"/>
              </w:rPr>
            </w:pPr>
            <w:r>
              <w:rPr>
                <w:rFonts w:ascii="Times New Roman" w:cs="Times New Roman" w:eastAsia="Times New Roman" w:hAnsi="Times New Roman"/>
                <w:sz w:val="17"/>
                <w:szCs w:val="17"/>
                <w:color w:val="auto"/>
              </w:rPr>
              <w:t>Ken Xie</w:t>
            </w:r>
          </w:p>
        </w:tc>
        <w:tc>
          <w:tcPr>
            <w:tcW w:w="100" w:type="dxa"/>
            <w:vAlign w:val="bottom"/>
            <w:tcBorders>
              <w:top w:val="single" w:sz="8" w:color="CDE9F6"/>
              <w:bottom w:val="single" w:sz="8" w:color="CDE9F6"/>
            </w:tcBorders>
            <w:shd w:val="clear" w:color="auto" w:fill="CDE9F6"/>
          </w:tcPr>
          <w:p>
            <w:pPr>
              <w:spacing w:after="0"/>
              <w:rPr>
                <w:sz w:val="20"/>
                <w:szCs w:val="20"/>
                <w:color w:val="auto"/>
              </w:rPr>
            </w:pPr>
          </w:p>
        </w:tc>
        <w:tc>
          <w:tcPr>
            <w:tcW w:w="920" w:type="dxa"/>
            <w:vAlign w:val="bottom"/>
            <w:tcBorders>
              <w:top w:val="single" w:sz="8" w:color="auto"/>
              <w:bottom w:val="single" w:sz="8" w:color="CDE9F6"/>
            </w:tcBorders>
            <w:shd w:val="clear" w:color="auto" w:fill="CDE9F6"/>
          </w:tcPr>
          <w:p>
            <w:pPr>
              <w:jc w:val="right"/>
              <w:spacing w:after="0"/>
              <w:rPr>
                <w:sz w:val="20"/>
                <w:szCs w:val="20"/>
                <w:color w:val="auto"/>
              </w:rPr>
            </w:pPr>
            <w:r>
              <w:rPr>
                <w:rFonts w:ascii="Times New Roman" w:cs="Times New Roman" w:eastAsia="Times New Roman" w:hAnsi="Times New Roman"/>
                <w:sz w:val="17"/>
                <w:szCs w:val="17"/>
                <w:color w:val="auto"/>
              </w:rPr>
              <w:t>597,000</w:t>
            </w:r>
          </w:p>
        </w:tc>
        <w:tc>
          <w:tcPr>
            <w:tcW w:w="100" w:type="dxa"/>
            <w:vAlign w:val="bottom"/>
            <w:tcBorders>
              <w:top w:val="single" w:sz="8" w:color="CDE9F6"/>
              <w:bottom w:val="single" w:sz="8" w:color="CDE9F6"/>
            </w:tcBorders>
            <w:shd w:val="clear" w:color="auto" w:fill="CDE9F6"/>
          </w:tcPr>
          <w:p>
            <w:pPr>
              <w:spacing w:after="0"/>
              <w:rPr>
                <w:sz w:val="20"/>
                <w:szCs w:val="20"/>
                <w:color w:val="auto"/>
              </w:rPr>
            </w:pPr>
          </w:p>
        </w:tc>
        <w:tc>
          <w:tcPr>
            <w:tcW w:w="900" w:type="dxa"/>
            <w:vAlign w:val="bottom"/>
            <w:tcBorders>
              <w:top w:val="single" w:sz="8" w:color="auto"/>
              <w:bottom w:val="single" w:sz="8" w:color="CDE9F6"/>
            </w:tcBorders>
            <w:shd w:val="clear" w:color="auto" w:fill="CDE9F6"/>
          </w:tcPr>
          <w:p>
            <w:pPr>
              <w:jc w:val="right"/>
              <w:spacing w:after="0"/>
              <w:rPr>
                <w:sz w:val="20"/>
                <w:szCs w:val="20"/>
                <w:color w:val="auto"/>
              </w:rPr>
            </w:pPr>
            <w:r>
              <w:rPr>
                <w:rFonts w:ascii="Times New Roman" w:cs="Times New Roman" w:eastAsia="Times New Roman" w:hAnsi="Times New Roman"/>
                <w:sz w:val="17"/>
                <w:szCs w:val="17"/>
                <w:color w:val="auto"/>
              </w:rPr>
              <w:t>3,327,358</w:t>
            </w:r>
          </w:p>
        </w:tc>
        <w:tc>
          <w:tcPr>
            <w:tcW w:w="100" w:type="dxa"/>
            <w:vAlign w:val="bottom"/>
            <w:tcBorders>
              <w:top w:val="single" w:sz="8" w:color="CDE9F6"/>
              <w:bottom w:val="single" w:sz="8" w:color="CDE9F6"/>
            </w:tcBorders>
            <w:shd w:val="clear" w:color="auto" w:fill="CDE9F6"/>
          </w:tcPr>
          <w:p>
            <w:pPr>
              <w:spacing w:after="0"/>
              <w:rPr>
                <w:sz w:val="20"/>
                <w:szCs w:val="20"/>
                <w:color w:val="auto"/>
              </w:rPr>
            </w:pPr>
          </w:p>
        </w:tc>
        <w:tc>
          <w:tcPr>
            <w:tcW w:w="900" w:type="dxa"/>
            <w:vAlign w:val="bottom"/>
            <w:tcBorders>
              <w:top w:val="single" w:sz="8" w:color="auto"/>
              <w:bottom w:val="single" w:sz="8" w:color="CDE9F6"/>
            </w:tcBorders>
            <w:shd w:val="clear" w:color="auto" w:fill="CDE9F6"/>
          </w:tcPr>
          <w:p>
            <w:pPr>
              <w:jc w:val="right"/>
              <w:spacing w:after="0"/>
              <w:rPr>
                <w:sz w:val="20"/>
                <w:szCs w:val="20"/>
                <w:color w:val="auto"/>
              </w:rPr>
            </w:pPr>
            <w:r>
              <w:rPr>
                <w:rFonts w:ascii="Times New Roman" w:cs="Times New Roman" w:eastAsia="Times New Roman" w:hAnsi="Times New Roman"/>
                <w:sz w:val="17"/>
                <w:szCs w:val="17"/>
                <w:color w:val="auto"/>
              </w:rPr>
              <w:t>38,571</w:t>
            </w:r>
          </w:p>
        </w:tc>
        <w:tc>
          <w:tcPr>
            <w:tcW w:w="120" w:type="dxa"/>
            <w:vAlign w:val="bottom"/>
            <w:tcBorders>
              <w:top w:val="single" w:sz="8" w:color="CDE9F6"/>
              <w:bottom w:val="single" w:sz="8" w:color="CDE9F6"/>
            </w:tcBorders>
            <w:shd w:val="clear" w:color="auto" w:fill="CDE9F6"/>
          </w:tcPr>
          <w:p>
            <w:pPr>
              <w:spacing w:after="0"/>
              <w:rPr>
                <w:sz w:val="20"/>
                <w:szCs w:val="20"/>
                <w:color w:val="auto"/>
              </w:rPr>
            </w:pPr>
          </w:p>
        </w:tc>
        <w:tc>
          <w:tcPr>
            <w:tcW w:w="880" w:type="dxa"/>
            <w:vAlign w:val="bottom"/>
            <w:tcBorders>
              <w:top w:val="single" w:sz="8" w:color="auto"/>
              <w:bottom w:val="single" w:sz="8" w:color="CDE9F6"/>
            </w:tcBorders>
            <w:shd w:val="clear" w:color="auto" w:fill="CDE9F6"/>
          </w:tcPr>
          <w:p>
            <w:pPr>
              <w:jc w:val="right"/>
              <w:spacing w:after="0"/>
              <w:rPr>
                <w:sz w:val="20"/>
                <w:szCs w:val="20"/>
                <w:color w:val="auto"/>
              </w:rPr>
            </w:pPr>
            <w:r>
              <w:rPr>
                <w:rFonts w:ascii="Times New Roman" w:cs="Times New Roman" w:eastAsia="Times New Roman" w:hAnsi="Times New Roman"/>
                <w:sz w:val="17"/>
                <w:szCs w:val="17"/>
                <w:color w:val="auto"/>
              </w:rPr>
              <w:t>597,000</w:t>
            </w:r>
          </w:p>
        </w:tc>
        <w:tc>
          <w:tcPr>
            <w:tcW w:w="100" w:type="dxa"/>
            <w:vAlign w:val="bottom"/>
            <w:tcBorders>
              <w:top w:val="single" w:sz="8" w:color="CDE9F6"/>
              <w:bottom w:val="single" w:sz="8" w:color="CDE9F6"/>
            </w:tcBorders>
            <w:shd w:val="clear" w:color="auto" w:fill="CDE9F6"/>
          </w:tcPr>
          <w:p>
            <w:pPr>
              <w:spacing w:after="0"/>
              <w:rPr>
                <w:sz w:val="20"/>
                <w:szCs w:val="20"/>
                <w:color w:val="auto"/>
              </w:rPr>
            </w:pPr>
          </w:p>
        </w:tc>
        <w:tc>
          <w:tcPr>
            <w:tcW w:w="880" w:type="dxa"/>
            <w:vAlign w:val="bottom"/>
            <w:tcBorders>
              <w:top w:val="single" w:sz="8" w:color="auto"/>
              <w:bottom w:val="single" w:sz="8" w:color="CDE9F6"/>
            </w:tcBorders>
            <w:shd w:val="clear" w:color="auto" w:fill="CDE9F6"/>
          </w:tcPr>
          <w:p>
            <w:pPr>
              <w:jc w:val="right"/>
              <w:spacing w:after="0"/>
              <w:rPr>
                <w:sz w:val="20"/>
                <w:szCs w:val="20"/>
                <w:color w:val="auto"/>
              </w:rPr>
            </w:pPr>
            <w:r>
              <w:rPr>
                <w:rFonts w:ascii="Times New Roman" w:cs="Times New Roman" w:eastAsia="Times New Roman" w:hAnsi="Times New Roman"/>
                <w:sz w:val="17"/>
                <w:szCs w:val="17"/>
                <w:color w:val="auto"/>
              </w:rPr>
              <w:t>21,615,719</w:t>
            </w:r>
          </w:p>
        </w:tc>
        <w:tc>
          <w:tcPr>
            <w:tcW w:w="100" w:type="dxa"/>
            <w:vAlign w:val="bottom"/>
            <w:tcBorders>
              <w:top w:val="single" w:sz="8" w:color="CDE9F6"/>
              <w:bottom w:val="single" w:sz="8" w:color="CDE9F6"/>
            </w:tcBorders>
            <w:shd w:val="clear" w:color="auto" w:fill="CDE9F6"/>
          </w:tcPr>
          <w:p>
            <w:pPr>
              <w:spacing w:after="0"/>
              <w:rPr>
                <w:sz w:val="20"/>
                <w:szCs w:val="20"/>
                <w:color w:val="auto"/>
              </w:rPr>
            </w:pPr>
          </w:p>
        </w:tc>
        <w:tc>
          <w:tcPr>
            <w:tcW w:w="1000" w:type="dxa"/>
            <w:vAlign w:val="bottom"/>
            <w:tcBorders>
              <w:top w:val="single" w:sz="8" w:color="auto"/>
              <w:bottom w:val="single" w:sz="8" w:color="CDE9F6"/>
            </w:tcBorders>
            <w:shd w:val="clear" w:color="auto" w:fill="CDE9F6"/>
          </w:tcPr>
          <w:p>
            <w:pPr>
              <w:jc w:val="right"/>
              <w:spacing w:after="0"/>
              <w:rPr>
                <w:sz w:val="20"/>
                <w:szCs w:val="20"/>
                <w:color w:val="auto"/>
              </w:rPr>
            </w:pPr>
            <w:r>
              <w:rPr>
                <w:rFonts w:ascii="Times New Roman" w:cs="Times New Roman" w:eastAsia="Times New Roman" w:hAnsi="Times New Roman"/>
                <w:sz w:val="17"/>
                <w:szCs w:val="17"/>
                <w:color w:val="auto"/>
              </w:rPr>
              <w:t>38,571</w:t>
            </w:r>
          </w:p>
        </w:tc>
        <w:tc>
          <w:tcPr>
            <w:tcW w:w="0" w:type="dxa"/>
            <w:vAlign w:val="bottom"/>
          </w:tcPr>
          <w:p>
            <w:pPr>
              <w:spacing w:after="0"/>
              <w:rPr>
                <w:sz w:val="1"/>
                <w:szCs w:val="1"/>
                <w:color w:val="auto"/>
              </w:rPr>
            </w:pPr>
          </w:p>
        </w:tc>
      </w:tr>
      <w:tr>
        <w:trPr>
          <w:trHeight w:val="235"/>
        </w:trPr>
        <w:tc>
          <w:tcPr>
            <w:tcW w:w="18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Michael Xie</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445,000</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1,572,366</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38,571</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445,000</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10,620,976</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38,571</w:t>
            </w:r>
          </w:p>
        </w:tc>
        <w:tc>
          <w:tcPr>
            <w:tcW w:w="0" w:type="dxa"/>
            <w:vAlign w:val="bottom"/>
          </w:tcPr>
          <w:p>
            <w:pPr>
              <w:spacing w:after="0"/>
              <w:rPr>
                <w:sz w:val="1"/>
                <w:szCs w:val="1"/>
                <w:color w:val="auto"/>
              </w:rPr>
            </w:pPr>
          </w:p>
        </w:tc>
      </w:tr>
      <w:tr>
        <w:trPr>
          <w:trHeight w:val="40"/>
        </w:trPr>
        <w:tc>
          <w:tcPr>
            <w:tcW w:w="1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5"/>
        </w:trPr>
        <w:tc>
          <w:tcPr>
            <w:tcW w:w="1860" w:type="dxa"/>
            <w:vAlign w:val="bottom"/>
            <w:tcBorders>
              <w:bottom w:val="single" w:sz="8" w:color="CDE9F6"/>
            </w:tcBorders>
            <w:gridSpan w:val="2"/>
            <w:shd w:val="clear" w:color="auto" w:fill="CDE9F6"/>
          </w:tcPr>
          <w:p>
            <w:pPr>
              <w:spacing w:after="0"/>
              <w:rPr>
                <w:sz w:val="20"/>
                <w:szCs w:val="20"/>
                <w:color w:val="auto"/>
              </w:rPr>
            </w:pPr>
            <w:r>
              <w:rPr>
                <w:rFonts w:ascii="Times New Roman" w:cs="Times New Roman" w:eastAsia="Times New Roman" w:hAnsi="Times New Roman"/>
                <w:sz w:val="17"/>
                <w:szCs w:val="17"/>
                <w:color w:val="auto"/>
              </w:rPr>
              <w:t>Christiane Ohlgart</w:t>
            </w:r>
          </w:p>
        </w:tc>
        <w:tc>
          <w:tcPr>
            <w:tcW w:w="1020" w:type="dxa"/>
            <w:vAlign w:val="bottom"/>
            <w:tcBorders>
              <w:bottom w:val="single" w:sz="8" w:color="CDE9F6"/>
            </w:tcBorders>
            <w:gridSpan w:val="2"/>
            <w:shd w:val="clear" w:color="auto" w:fill="CDE9F6"/>
          </w:tcPr>
          <w:p>
            <w:pPr>
              <w:jc w:val="right"/>
              <w:ind w:right="100"/>
              <w:spacing w:after="0"/>
              <w:rPr>
                <w:sz w:val="20"/>
                <w:szCs w:val="20"/>
                <w:color w:val="auto"/>
              </w:rPr>
            </w:pPr>
            <w:r>
              <w:rPr>
                <w:rFonts w:ascii="Times New Roman" w:cs="Times New Roman" w:eastAsia="Times New Roman" w:hAnsi="Times New Roman"/>
                <w:sz w:val="17"/>
                <w:szCs w:val="17"/>
                <w:color w:val="auto"/>
              </w:rPr>
              <w:t>480,000</w:t>
            </w:r>
          </w:p>
        </w:tc>
        <w:tc>
          <w:tcPr>
            <w:tcW w:w="1000" w:type="dxa"/>
            <w:vAlign w:val="bottom"/>
            <w:tcBorders>
              <w:bottom w:val="single" w:sz="8" w:color="CDE9F6"/>
            </w:tcBorders>
            <w:gridSpan w:val="2"/>
            <w:shd w:val="clear" w:color="auto" w:fill="CDE9F6"/>
          </w:tcPr>
          <w:p>
            <w:pPr>
              <w:jc w:val="right"/>
              <w:ind w:right="100"/>
              <w:spacing w:after="0"/>
              <w:rPr>
                <w:sz w:val="20"/>
                <w:szCs w:val="20"/>
                <w:color w:val="auto"/>
              </w:rPr>
            </w:pPr>
            <w:r>
              <w:rPr>
                <w:rFonts w:ascii="Times New Roman" w:cs="Times New Roman" w:eastAsia="Times New Roman" w:hAnsi="Times New Roman"/>
                <w:sz w:val="17"/>
                <w:szCs w:val="17"/>
                <w:color w:val="auto"/>
              </w:rPr>
              <w:t>711,514</w:t>
            </w:r>
          </w:p>
        </w:tc>
        <w:tc>
          <w:tcPr>
            <w:tcW w:w="1020" w:type="dxa"/>
            <w:vAlign w:val="bottom"/>
            <w:tcBorders>
              <w:bottom w:val="single" w:sz="8" w:color="CDE9F6"/>
            </w:tcBorders>
            <w:gridSpan w:val="2"/>
            <w:shd w:val="clear" w:color="auto" w:fill="CDE9F6"/>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bottom w:val="single" w:sz="8" w:color="CDE9F6"/>
            </w:tcBorders>
            <w:gridSpan w:val="2"/>
            <w:shd w:val="clear" w:color="auto" w:fill="CDE9F6"/>
          </w:tcPr>
          <w:p>
            <w:pPr>
              <w:jc w:val="right"/>
              <w:ind w:right="100"/>
              <w:spacing w:after="0"/>
              <w:rPr>
                <w:sz w:val="20"/>
                <w:szCs w:val="20"/>
                <w:color w:val="auto"/>
              </w:rPr>
            </w:pPr>
            <w:r>
              <w:rPr>
                <w:rFonts w:ascii="Times New Roman" w:cs="Times New Roman" w:eastAsia="Times New Roman" w:hAnsi="Times New Roman"/>
                <w:sz w:val="17"/>
                <w:szCs w:val="17"/>
                <w:color w:val="auto"/>
              </w:rPr>
              <w:t>480,000</w:t>
            </w:r>
          </w:p>
        </w:tc>
        <w:tc>
          <w:tcPr>
            <w:tcW w:w="980" w:type="dxa"/>
            <w:vAlign w:val="bottom"/>
            <w:tcBorders>
              <w:bottom w:val="single" w:sz="8" w:color="CDE9F6"/>
            </w:tcBorders>
            <w:gridSpan w:val="2"/>
            <w:shd w:val="clear" w:color="auto" w:fill="CDE9F6"/>
          </w:tcPr>
          <w:p>
            <w:pPr>
              <w:jc w:val="right"/>
              <w:ind w:right="100"/>
              <w:spacing w:after="0"/>
              <w:rPr>
                <w:sz w:val="20"/>
                <w:szCs w:val="20"/>
                <w:color w:val="auto"/>
              </w:rPr>
            </w:pPr>
            <w:r>
              <w:rPr>
                <w:rFonts w:ascii="Times New Roman" w:cs="Times New Roman" w:eastAsia="Times New Roman" w:hAnsi="Times New Roman"/>
                <w:sz w:val="17"/>
                <w:szCs w:val="17"/>
                <w:color w:val="auto"/>
              </w:rPr>
              <w:t>3,655,560</w:t>
            </w:r>
          </w:p>
        </w:tc>
        <w:tc>
          <w:tcPr>
            <w:tcW w:w="1000" w:type="dxa"/>
            <w:vAlign w:val="bottom"/>
            <w:tcBorders>
              <w:bottom w:val="single" w:sz="8" w:color="CDE9F6"/>
            </w:tcBorders>
            <w:shd w:val="clear" w:color="auto" w:fill="CDE9F6"/>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5"/>
        </w:trPr>
        <w:tc>
          <w:tcPr>
            <w:tcW w:w="18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John Whittle</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506,000</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1,130,152</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38,571</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506,000</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8,052,877</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38,571</w:t>
            </w:r>
          </w:p>
        </w:tc>
        <w:tc>
          <w:tcPr>
            <w:tcW w:w="0" w:type="dxa"/>
            <w:vAlign w:val="bottom"/>
          </w:tcPr>
          <w:p>
            <w:pPr>
              <w:spacing w:after="0"/>
              <w:rPr>
                <w:sz w:val="1"/>
                <w:szCs w:val="1"/>
                <w:color w:val="auto"/>
              </w:rPr>
            </w:pPr>
          </w:p>
        </w:tc>
      </w:tr>
    </w:tbl>
    <w:p>
      <w:pPr>
        <w:spacing w:after="0" w:line="7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________________________</w:t>
      </w:r>
    </w:p>
    <w:p>
      <w:pPr>
        <w:spacing w:after="0" w:line="100" w:lineRule="exact"/>
        <w:rPr>
          <w:sz w:val="20"/>
          <w:szCs w:val="20"/>
          <w:color w:val="auto"/>
        </w:rPr>
      </w:pPr>
    </w:p>
    <w:p>
      <w:pPr>
        <w:ind w:left="920" w:right="639" w:hanging="346"/>
        <w:spacing w:after="0" w:line="276" w:lineRule="auto"/>
        <w:tabs>
          <w:tab w:leader="none" w:pos="905"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“Qualifying Termination” under the Change of Control Severance Agreement is an involuntary termination of employment without “Cause” or a voluntary resignation for “Good Reason,” in each case as defined above.</w:t>
      </w:r>
    </w:p>
    <w:p>
      <w:pPr>
        <w:spacing w:after="0" w:line="19" w:lineRule="exact"/>
        <w:rPr>
          <w:rFonts w:ascii="Times New Roman" w:cs="Times New Roman" w:eastAsia="Times New Roman" w:hAnsi="Times New Roman"/>
          <w:sz w:val="17"/>
          <w:szCs w:val="17"/>
          <w:color w:val="auto"/>
        </w:rPr>
      </w:pPr>
    </w:p>
    <w:p>
      <w:pPr>
        <w:ind w:left="920" w:right="1459" w:hanging="346"/>
        <w:spacing w:after="0" w:line="289" w:lineRule="auto"/>
        <w:tabs>
          <w:tab w:leader="none" w:pos="905"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severance amount related to base salary was determined based on base salaries in effect on December 31, 2025, the last business day of 2025.</w:t>
      </w:r>
    </w:p>
    <w:p>
      <w:pPr>
        <w:ind w:left="920" w:right="639" w:hanging="346"/>
        <w:spacing w:after="0" w:line="265" w:lineRule="auto"/>
        <w:tabs>
          <w:tab w:leader="none" w:pos="905"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value is calculated by multiplying (i) the number of the NEO’s unvested shares that would have vested over the 12 months after December 31, 2025 by (ii) (a) the difference between $79.41 (the per share closing stock price on December 31, 2025) and the exercise price for stock options or (b) $79.41 for RSUs and PSUs. Stock options outstanding as of December 31, 2025 for which the exercise price was greater than $79.41 are not included in the acceleration of equity vesting calculations. PSUs in the Tranche 1 Performance Period will vest at target.</w:t>
      </w:r>
    </w:p>
    <w:p>
      <w:pPr>
        <w:spacing w:after="0" w:line="27" w:lineRule="exact"/>
        <w:rPr>
          <w:rFonts w:ascii="Times New Roman" w:cs="Times New Roman" w:eastAsia="Times New Roman" w:hAnsi="Times New Roman"/>
          <w:sz w:val="17"/>
          <w:szCs w:val="17"/>
          <w:color w:val="auto"/>
        </w:rPr>
      </w:pPr>
    </w:p>
    <w:p>
      <w:pPr>
        <w:jc w:val="both"/>
        <w:ind w:left="920" w:right="659" w:hanging="346"/>
        <w:spacing w:after="0" w:line="276" w:lineRule="auto"/>
        <w:tabs>
          <w:tab w:leader="none" w:pos="905"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value represents the total value for reimbursement for insurance premium expenses incurred for group health insurance continuation coverage under Title X of the Consolidated Omnibus Budget Reconciliation Act of 1985, as amended, for a period of up to 12 months.</w:t>
      </w:r>
    </w:p>
    <w:p>
      <w:pPr>
        <w:spacing w:after="0" w:line="19" w:lineRule="exact"/>
        <w:rPr>
          <w:rFonts w:ascii="Times New Roman" w:cs="Times New Roman" w:eastAsia="Times New Roman" w:hAnsi="Times New Roman"/>
          <w:sz w:val="17"/>
          <w:szCs w:val="17"/>
          <w:color w:val="auto"/>
        </w:rPr>
      </w:pPr>
    </w:p>
    <w:p>
      <w:pPr>
        <w:ind w:left="920" w:right="599" w:hanging="346"/>
        <w:spacing w:after="0" w:line="262" w:lineRule="auto"/>
        <w:tabs>
          <w:tab w:leader="none" w:pos="905"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value is calculated by multiplying (i) the number of the NEO’s total unvested shares by (ii) (a) the difference between $79.41 (the per share closing stock price on December 31, 2025) and the exercise price for stock options or (b) $79.41 for RSUs and PSUs. Stock options outstanding as of December 31, 2025 for which the exercise price was greater than $79.41 are not included in the acceleration of equity vesting calculations. Upon a Change in Control, the relative TSR metric of the PSUs will be measured using the deal price per share as of the date of the Change in Control. Any earned PSUs based on the deal price per share will then be subject to time-based vesting through the end of each applicable Performance Period, and those shares would be eligible for acceleration upon a termination without Cause or resignation for Good Reason in connection with the Change in Control.</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6" w:name="page57"/>
    <w:bookmarkEnd w:id="56"/>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3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Pay Versus Performance</w:t>
      </w:r>
    </w:p>
    <w:p>
      <w:pPr>
        <w:spacing w:after="0" w:line="147" w:lineRule="exact"/>
        <w:rPr>
          <w:sz w:val="20"/>
          <w:szCs w:val="20"/>
          <w:color w:val="auto"/>
        </w:rPr>
      </w:pPr>
    </w:p>
    <w:p>
      <w:pPr>
        <w:ind w:left="580" w:right="859" w:firstLine="349"/>
        <w:spacing w:after="0" w:line="264" w:lineRule="auto"/>
        <w:rPr>
          <w:sz w:val="20"/>
          <w:szCs w:val="20"/>
          <w:color w:val="auto"/>
        </w:rPr>
      </w:pPr>
      <w:r>
        <w:rPr>
          <w:rFonts w:ascii="Times New Roman" w:cs="Times New Roman" w:eastAsia="Times New Roman" w:hAnsi="Times New Roman"/>
          <w:sz w:val="17"/>
          <w:szCs w:val="17"/>
          <w:color w:val="auto"/>
        </w:rPr>
        <w:t>The following table provides information required under Item 402(v) of Regulation S-K disclosing (i) a measure of total compensation and a measure reflecting “compensation actually paid” for our principal executive officer (our “PEO”) and, as an average, for our other named executive officers (“NEOs”), and</w:t>
      </w:r>
    </w:p>
    <w:p>
      <w:pPr>
        <w:spacing w:after="0" w:line="2" w:lineRule="exact"/>
        <w:rPr>
          <w:sz w:val="20"/>
          <w:szCs w:val="20"/>
          <w:color w:val="auto"/>
        </w:rPr>
      </w:pPr>
    </w:p>
    <w:p>
      <w:pPr>
        <w:ind w:left="580" w:right="599" w:hanging="6"/>
        <w:spacing w:after="0" w:line="260" w:lineRule="auto"/>
        <w:tabs>
          <w:tab w:leader="none" w:pos="837"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select financial performance measures, in each case, for our five most recently completed fiscal years. The Human Resources Committee did not consider the pay versus performance disclosure below in making its pay decisions for any of the years shown. The amounts shown for Compensation Actually Paid have been calculated in accordance with Item 402(v) of Regulation S-K and do not reflect compensation actually earned, realized or received by our NEOs; these amounts reflect the Summary Compensation Table totals with certain adjustments as described in the following table and footnotes.</w:t>
      </w:r>
    </w:p>
    <w:p>
      <w:pPr>
        <w:spacing w:after="0" w:line="129"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6"/>
              </w:rPr>
              <w:t>Average</w:t>
            </w: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00" w:type="dxa"/>
            <w:vAlign w:val="bottom"/>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Value of Initial Fixed $100</w:t>
            </w: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480" w:type="dxa"/>
            <w:vAlign w:val="bottom"/>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860" w:type="dxa"/>
            <w:vAlign w:val="bottom"/>
          </w:tcPr>
          <w:p>
            <w:pPr>
              <w:spacing w:after="0"/>
              <w:rPr>
                <w:sz w:val="4"/>
                <w:szCs w:val="4"/>
                <w:color w:val="auto"/>
              </w:rPr>
            </w:pPr>
          </w:p>
        </w:tc>
        <w:tc>
          <w:tcPr>
            <w:tcW w:w="80" w:type="dxa"/>
            <w:vAlign w:val="bottom"/>
          </w:tcPr>
          <w:p>
            <w:pPr>
              <w:spacing w:after="0"/>
              <w:rPr>
                <w:sz w:val="4"/>
                <w:szCs w:val="4"/>
                <w:color w:val="auto"/>
              </w:rPr>
            </w:pPr>
          </w:p>
        </w:tc>
        <w:tc>
          <w:tcPr>
            <w:tcW w:w="960" w:type="dxa"/>
            <w:vAlign w:val="bottom"/>
            <w:gridSpan w:val="2"/>
            <w:vMerge w:val="continue"/>
          </w:tcPr>
          <w:p>
            <w:pPr>
              <w:spacing w:after="0"/>
              <w:rPr>
                <w:sz w:val="4"/>
                <w:szCs w:val="4"/>
                <w:color w:val="auto"/>
              </w:rPr>
            </w:pPr>
          </w:p>
        </w:tc>
        <w:tc>
          <w:tcPr>
            <w:tcW w:w="9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6"/>
              </w:rPr>
              <w:t>Average</w:t>
            </w:r>
          </w:p>
        </w:tc>
        <w:tc>
          <w:tcPr>
            <w:tcW w:w="1700" w:type="dxa"/>
            <w:vAlign w:val="bottom"/>
            <w:gridSpan w:val="4"/>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Investment Based On:</w:t>
            </w: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tcPr>
          <w:p>
            <w:pPr>
              <w:jc w:val="center"/>
              <w:ind w:right="80"/>
              <w:spacing w:after="0" w:line="155" w:lineRule="exact"/>
              <w:rPr>
                <w:sz w:val="20"/>
                <w:szCs w:val="20"/>
                <w:color w:val="auto"/>
              </w:rPr>
            </w:pPr>
            <w:r>
              <w:rPr>
                <w:rFonts w:ascii="Times New Roman" w:cs="Times New Roman" w:eastAsia="Times New Roman" w:hAnsi="Times New Roman"/>
                <w:sz w:val="14"/>
                <w:szCs w:val="14"/>
                <w:b w:val="1"/>
                <w:bCs w:val="1"/>
                <w:color w:val="auto"/>
              </w:rPr>
              <w:t>Summary</w:t>
            </w:r>
          </w:p>
        </w:tc>
        <w:tc>
          <w:tcPr>
            <w:tcW w:w="940" w:type="dxa"/>
            <w:vAlign w:val="bottom"/>
            <w:gridSpan w:val="2"/>
            <w:vMerge w:val="continue"/>
          </w:tcPr>
          <w:p>
            <w:pPr>
              <w:spacing w:after="0"/>
              <w:rPr>
                <w:sz w:val="13"/>
                <w:szCs w:val="13"/>
                <w:color w:val="auto"/>
              </w:rPr>
            </w:pPr>
          </w:p>
        </w:tc>
        <w:tc>
          <w:tcPr>
            <w:tcW w:w="1700" w:type="dxa"/>
            <w:vAlign w:val="bottom"/>
            <w:gridSpan w:val="4"/>
            <w:vMerge w:val="continue"/>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3"/>
        </w:trPr>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gridSpan w:val="2"/>
          </w:tcPr>
          <w:p>
            <w:pPr>
              <w:jc w:val="center"/>
              <w:ind w:right="60"/>
              <w:spacing w:after="0" w:line="113" w:lineRule="exact"/>
              <w:rPr>
                <w:sz w:val="20"/>
                <w:szCs w:val="20"/>
                <w:color w:val="auto"/>
              </w:rPr>
            </w:pPr>
            <w:r>
              <w:rPr>
                <w:rFonts w:ascii="Times New Roman" w:cs="Times New Roman" w:eastAsia="Times New Roman" w:hAnsi="Times New Roman"/>
                <w:sz w:val="13"/>
                <w:szCs w:val="13"/>
                <w:b w:val="1"/>
                <w:bCs w:val="1"/>
                <w:color w:val="auto"/>
              </w:rPr>
              <w:t>Summary</w:t>
            </w:r>
          </w:p>
        </w:tc>
        <w:tc>
          <w:tcPr>
            <w:tcW w:w="980" w:type="dxa"/>
            <w:vAlign w:val="bottom"/>
            <w:gridSpan w:val="3"/>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9"/>
              </w:rPr>
              <w:t>Compensation</w:t>
            </w:r>
          </w:p>
        </w:tc>
        <w:tc>
          <w:tcPr>
            <w:tcW w:w="960" w:type="dxa"/>
            <w:vAlign w:val="bottom"/>
            <w:gridSpan w:val="2"/>
          </w:tcPr>
          <w:p>
            <w:pPr>
              <w:jc w:val="center"/>
              <w:ind w:right="100"/>
              <w:spacing w:after="0" w:line="113" w:lineRule="exact"/>
              <w:rPr>
                <w:sz w:val="20"/>
                <w:szCs w:val="20"/>
                <w:color w:val="auto"/>
              </w:rPr>
            </w:pPr>
            <w:r>
              <w:rPr>
                <w:rFonts w:ascii="Times New Roman" w:cs="Times New Roman" w:eastAsia="Times New Roman" w:hAnsi="Times New Roman"/>
                <w:sz w:val="13"/>
                <w:szCs w:val="13"/>
                <w:b w:val="1"/>
                <w:bCs w:val="1"/>
                <w:color w:val="auto"/>
              </w:rPr>
              <w:t>Compensation</w:t>
            </w:r>
          </w:p>
        </w:tc>
        <w:tc>
          <w:tcPr>
            <w:tcW w:w="940" w:type="dxa"/>
            <w:vAlign w:val="bottom"/>
            <w:gridSpan w:val="2"/>
          </w:tcPr>
          <w:p>
            <w:pPr>
              <w:jc w:val="center"/>
              <w:ind w:right="80"/>
              <w:spacing w:after="0" w:line="113" w:lineRule="exact"/>
              <w:rPr>
                <w:sz w:val="20"/>
                <w:szCs w:val="20"/>
                <w:color w:val="auto"/>
              </w:rPr>
            </w:pPr>
            <w:r>
              <w:rPr>
                <w:rFonts w:ascii="Times New Roman" w:cs="Times New Roman" w:eastAsia="Times New Roman" w:hAnsi="Times New Roman"/>
                <w:sz w:val="13"/>
                <w:szCs w:val="13"/>
                <w:b w:val="1"/>
                <w:bCs w:val="1"/>
                <w:color w:val="auto"/>
              </w:rPr>
              <w:t>Compensation</w:t>
            </w:r>
          </w:p>
        </w:tc>
        <w:tc>
          <w:tcPr>
            <w:tcW w:w="820" w:type="dxa"/>
            <w:vAlign w:val="bottom"/>
            <w:tcBorders>
              <w:top w:val="single" w:sz="8" w:color="auto"/>
            </w:tcBorders>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800" w:type="dxa"/>
            <w:vAlign w:val="bottom"/>
            <w:tcBorders>
              <w:top w:val="single" w:sz="8" w:color="auto"/>
            </w:tcBorders>
          </w:tcPr>
          <w:p>
            <w:pPr>
              <w:jc w:val="center"/>
              <w:spacing w:after="0" w:line="113" w:lineRule="exact"/>
              <w:rPr>
                <w:sz w:val="20"/>
                <w:szCs w:val="20"/>
                <w:color w:val="auto"/>
              </w:rPr>
            </w:pPr>
            <w:r>
              <w:rPr>
                <w:rFonts w:ascii="Times New Roman" w:cs="Times New Roman" w:eastAsia="Times New Roman" w:hAnsi="Times New Roman"/>
                <w:sz w:val="13"/>
                <w:szCs w:val="13"/>
                <w:b w:val="1"/>
                <w:bCs w:val="1"/>
                <w:color w:val="auto"/>
              </w:rPr>
              <w:t>Peer Group</w:t>
            </w: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jc w:val="center"/>
              <w:spacing w:after="0" w:line="113" w:lineRule="exact"/>
              <w:rPr>
                <w:sz w:val="20"/>
                <w:szCs w:val="20"/>
                <w:color w:val="auto"/>
              </w:rPr>
            </w:pPr>
            <w:r>
              <w:rPr>
                <w:rFonts w:ascii="Times New Roman" w:cs="Times New Roman" w:eastAsia="Times New Roman" w:hAnsi="Times New Roman"/>
                <w:sz w:val="13"/>
                <w:szCs w:val="13"/>
                <w:b w:val="1"/>
                <w:bCs w:val="1"/>
                <w:color w:val="auto"/>
              </w:rPr>
              <w:t>Company</w:t>
            </w:r>
          </w:p>
        </w:tc>
        <w:tc>
          <w:tcPr>
            <w:tcW w:w="0" w:type="dxa"/>
            <w:vAlign w:val="bottom"/>
          </w:tcPr>
          <w:p>
            <w:pPr>
              <w:spacing w:after="0"/>
              <w:rPr>
                <w:sz w:val="1"/>
                <w:szCs w:val="1"/>
                <w:color w:val="auto"/>
              </w:rPr>
            </w:pPr>
          </w:p>
        </w:tc>
      </w:tr>
      <w:tr>
        <w:trPr>
          <w:trHeight w:val="144"/>
        </w:trPr>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center"/>
              <w:ind w:right="40"/>
              <w:spacing w:after="0" w:line="144" w:lineRule="exact"/>
              <w:rPr>
                <w:sz w:val="20"/>
                <w:szCs w:val="20"/>
                <w:color w:val="auto"/>
              </w:rPr>
            </w:pPr>
            <w:r>
              <w:rPr>
                <w:rFonts w:ascii="Times New Roman" w:cs="Times New Roman" w:eastAsia="Times New Roman" w:hAnsi="Times New Roman"/>
                <w:sz w:val="14"/>
                <w:szCs w:val="14"/>
                <w:b w:val="1"/>
                <w:bCs w:val="1"/>
                <w:color w:val="auto"/>
                <w:w w:val="99"/>
              </w:rPr>
              <w:t>Compensation</w:t>
            </w:r>
          </w:p>
        </w:tc>
        <w:tc>
          <w:tcPr>
            <w:tcW w:w="980" w:type="dxa"/>
            <w:vAlign w:val="bottom"/>
            <w:gridSpan w:val="3"/>
            <w:vMerge w:val="continue"/>
          </w:tcPr>
          <w:p>
            <w:pPr>
              <w:spacing w:after="0"/>
              <w:rPr>
                <w:sz w:val="12"/>
                <w:szCs w:val="12"/>
                <w:color w:val="auto"/>
              </w:rPr>
            </w:pPr>
          </w:p>
        </w:tc>
        <w:tc>
          <w:tcPr>
            <w:tcW w:w="960" w:type="dxa"/>
            <w:vAlign w:val="bottom"/>
            <w:gridSpan w:val="2"/>
          </w:tcPr>
          <w:p>
            <w:pPr>
              <w:jc w:val="center"/>
              <w:ind w:right="100"/>
              <w:spacing w:after="0" w:line="144" w:lineRule="exact"/>
              <w:rPr>
                <w:sz w:val="20"/>
                <w:szCs w:val="20"/>
                <w:color w:val="auto"/>
              </w:rPr>
            </w:pPr>
            <w:r>
              <w:rPr>
                <w:rFonts w:ascii="Times New Roman" w:cs="Times New Roman" w:eastAsia="Times New Roman" w:hAnsi="Times New Roman"/>
                <w:sz w:val="14"/>
                <w:szCs w:val="14"/>
                <w:b w:val="1"/>
                <w:bCs w:val="1"/>
                <w:color w:val="auto"/>
                <w:w w:val="94"/>
              </w:rPr>
              <w:t>Table Total</w:t>
            </w:r>
          </w:p>
        </w:tc>
        <w:tc>
          <w:tcPr>
            <w:tcW w:w="940" w:type="dxa"/>
            <w:vAlign w:val="bottom"/>
            <w:gridSpan w:val="2"/>
          </w:tcPr>
          <w:p>
            <w:pPr>
              <w:jc w:val="center"/>
              <w:ind w:right="80"/>
              <w:spacing w:after="0" w:line="144" w:lineRule="exact"/>
              <w:rPr>
                <w:sz w:val="20"/>
                <w:szCs w:val="20"/>
                <w:color w:val="auto"/>
              </w:rPr>
            </w:pPr>
            <w:r>
              <w:rPr>
                <w:rFonts w:ascii="Times New Roman" w:cs="Times New Roman" w:eastAsia="Times New Roman" w:hAnsi="Times New Roman"/>
                <w:sz w:val="14"/>
                <w:szCs w:val="14"/>
                <w:b w:val="1"/>
                <w:bCs w:val="1"/>
                <w:color w:val="auto"/>
              </w:rPr>
              <w:t>Actually Paid</w:t>
            </w:r>
          </w:p>
        </w:tc>
        <w:tc>
          <w:tcPr>
            <w:tcW w:w="820" w:type="dxa"/>
            <w:vAlign w:val="bottom"/>
            <w:gridSpan w:val="2"/>
            <w:vMerge w:val="continue"/>
          </w:tcPr>
          <w:p>
            <w:pPr>
              <w:spacing w:after="0"/>
              <w:rPr>
                <w:sz w:val="12"/>
                <w:szCs w:val="12"/>
                <w:color w:val="auto"/>
              </w:rPr>
            </w:pPr>
          </w:p>
        </w:tc>
        <w:tc>
          <w:tcPr>
            <w:tcW w:w="880" w:type="dxa"/>
            <w:vAlign w:val="bottom"/>
            <w:gridSpan w:val="2"/>
          </w:tcPr>
          <w:p>
            <w:pPr>
              <w:jc w:val="center"/>
              <w:ind w:right="100"/>
              <w:spacing w:after="0" w:line="144" w:lineRule="exact"/>
              <w:rPr>
                <w:sz w:val="20"/>
                <w:szCs w:val="20"/>
                <w:color w:val="auto"/>
              </w:rPr>
            </w:pPr>
            <w:r>
              <w:rPr>
                <w:rFonts w:ascii="Times New Roman" w:cs="Times New Roman" w:eastAsia="Times New Roman" w:hAnsi="Times New Roman"/>
                <w:sz w:val="14"/>
                <w:szCs w:val="14"/>
                <w:b w:val="1"/>
                <w:bCs w:val="1"/>
                <w:color w:val="auto"/>
                <w:w w:val="93"/>
              </w:rPr>
              <w:t>Total</w:t>
            </w:r>
          </w:p>
        </w:tc>
        <w:tc>
          <w:tcPr>
            <w:tcW w:w="9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Net Income</w:t>
            </w:r>
          </w:p>
        </w:tc>
        <w:tc>
          <w:tcPr>
            <w:tcW w:w="88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w w:val="97"/>
              </w:rPr>
              <w:t>Selected</w:t>
            </w:r>
          </w:p>
        </w:tc>
        <w:tc>
          <w:tcPr>
            <w:tcW w:w="0" w:type="dxa"/>
            <w:vAlign w:val="bottom"/>
          </w:tcPr>
          <w:p>
            <w:pPr>
              <w:spacing w:after="0"/>
              <w:rPr>
                <w:sz w:val="1"/>
                <w:szCs w:val="1"/>
                <w:color w:val="auto"/>
              </w:rPr>
            </w:pPr>
          </w:p>
        </w:tc>
      </w:tr>
      <w:tr>
        <w:trPr>
          <w:trHeight w:val="144"/>
        </w:trPr>
        <w:tc>
          <w:tcPr>
            <w:tcW w:w="5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Year</w:t>
            </w:r>
          </w:p>
        </w:tc>
        <w:tc>
          <w:tcPr>
            <w:tcW w:w="940" w:type="dxa"/>
            <w:vAlign w:val="bottom"/>
            <w:gridSpan w:val="2"/>
          </w:tcPr>
          <w:p>
            <w:pPr>
              <w:jc w:val="center"/>
              <w:ind w:right="60"/>
              <w:spacing w:after="0" w:line="144" w:lineRule="exact"/>
              <w:rPr>
                <w:sz w:val="20"/>
                <w:szCs w:val="20"/>
                <w:color w:val="auto"/>
              </w:rPr>
            </w:pPr>
            <w:r>
              <w:rPr>
                <w:rFonts w:ascii="Times New Roman" w:cs="Times New Roman" w:eastAsia="Times New Roman" w:hAnsi="Times New Roman"/>
                <w:sz w:val="14"/>
                <w:szCs w:val="14"/>
                <w:b w:val="1"/>
                <w:bCs w:val="1"/>
                <w:color w:val="auto"/>
                <w:w w:val="96"/>
              </w:rPr>
              <w:t>Table Total for</w:t>
            </w:r>
          </w:p>
        </w:tc>
        <w:tc>
          <w:tcPr>
            <w:tcW w:w="40" w:type="dxa"/>
            <w:vAlign w:val="bottom"/>
          </w:tcPr>
          <w:p>
            <w:pPr>
              <w:spacing w:after="0"/>
              <w:rPr>
                <w:sz w:val="12"/>
                <w:szCs w:val="12"/>
                <w:color w:val="auto"/>
              </w:rPr>
            </w:pPr>
          </w:p>
        </w:tc>
        <w:tc>
          <w:tcPr>
            <w:tcW w:w="940" w:type="dxa"/>
            <w:vAlign w:val="bottom"/>
            <w:gridSpan w:val="2"/>
          </w:tcPr>
          <w:p>
            <w:pPr>
              <w:jc w:val="center"/>
              <w:ind w:right="80"/>
              <w:spacing w:after="0" w:line="144" w:lineRule="exact"/>
              <w:rPr>
                <w:sz w:val="20"/>
                <w:szCs w:val="20"/>
                <w:color w:val="auto"/>
              </w:rPr>
            </w:pPr>
            <w:r>
              <w:rPr>
                <w:rFonts w:ascii="Times New Roman" w:cs="Times New Roman" w:eastAsia="Times New Roman" w:hAnsi="Times New Roman"/>
                <w:sz w:val="14"/>
                <w:szCs w:val="14"/>
                <w:b w:val="1"/>
                <w:bCs w:val="1"/>
                <w:color w:val="auto"/>
              </w:rPr>
              <w:t>Actually Paid</w:t>
            </w:r>
          </w:p>
        </w:tc>
        <w:tc>
          <w:tcPr>
            <w:tcW w:w="960" w:type="dxa"/>
            <w:vAlign w:val="bottom"/>
            <w:gridSpan w:val="2"/>
          </w:tcPr>
          <w:p>
            <w:pPr>
              <w:jc w:val="center"/>
              <w:ind w:right="80"/>
              <w:spacing w:after="0" w:line="144" w:lineRule="exact"/>
              <w:rPr>
                <w:sz w:val="20"/>
                <w:szCs w:val="20"/>
                <w:color w:val="auto"/>
              </w:rPr>
            </w:pPr>
            <w:r>
              <w:rPr>
                <w:rFonts w:ascii="Times New Roman" w:cs="Times New Roman" w:eastAsia="Times New Roman" w:hAnsi="Times New Roman"/>
                <w:sz w:val="14"/>
                <w:szCs w:val="14"/>
                <w:b w:val="1"/>
                <w:bCs w:val="1"/>
                <w:color w:val="auto"/>
              </w:rPr>
              <w:t>for Non-PEO</w:t>
            </w:r>
          </w:p>
        </w:tc>
        <w:tc>
          <w:tcPr>
            <w:tcW w:w="940" w:type="dxa"/>
            <w:vAlign w:val="bottom"/>
            <w:gridSpan w:val="2"/>
          </w:tcPr>
          <w:p>
            <w:pPr>
              <w:jc w:val="center"/>
              <w:ind w:right="80"/>
              <w:spacing w:after="0" w:line="144" w:lineRule="exact"/>
              <w:rPr>
                <w:sz w:val="20"/>
                <w:szCs w:val="20"/>
                <w:color w:val="auto"/>
              </w:rPr>
            </w:pPr>
            <w:r>
              <w:rPr>
                <w:rFonts w:ascii="Times New Roman" w:cs="Times New Roman" w:eastAsia="Times New Roman" w:hAnsi="Times New Roman"/>
                <w:sz w:val="14"/>
                <w:szCs w:val="14"/>
                <w:b w:val="1"/>
                <w:bCs w:val="1"/>
                <w:color w:val="auto"/>
              </w:rPr>
              <w:t>to Non-PEO</w:t>
            </w:r>
          </w:p>
        </w:tc>
        <w:tc>
          <w:tcPr>
            <w:tcW w:w="820" w:type="dxa"/>
            <w:vAlign w:val="bottom"/>
            <w:gridSpan w:val="2"/>
          </w:tcPr>
          <w:p>
            <w:pPr>
              <w:jc w:val="right"/>
              <w:ind w:right="100"/>
              <w:spacing w:after="0" w:line="144" w:lineRule="exact"/>
              <w:rPr>
                <w:sz w:val="20"/>
                <w:szCs w:val="20"/>
                <w:color w:val="auto"/>
              </w:rPr>
            </w:pPr>
            <w:r>
              <w:rPr>
                <w:rFonts w:ascii="Times New Roman" w:cs="Times New Roman" w:eastAsia="Times New Roman" w:hAnsi="Times New Roman"/>
                <w:sz w:val="14"/>
                <w:szCs w:val="14"/>
                <w:b w:val="1"/>
                <w:bCs w:val="1"/>
                <w:color w:val="auto"/>
                <w:w w:val="96"/>
              </w:rPr>
              <w:t>Stockholder</w:t>
            </w:r>
          </w:p>
        </w:tc>
        <w:tc>
          <w:tcPr>
            <w:tcW w:w="880" w:type="dxa"/>
            <w:vAlign w:val="bottom"/>
            <w:gridSpan w:val="2"/>
          </w:tcPr>
          <w:p>
            <w:pPr>
              <w:jc w:val="center"/>
              <w:ind w:right="120"/>
              <w:spacing w:after="0" w:line="144" w:lineRule="exact"/>
              <w:rPr>
                <w:sz w:val="20"/>
                <w:szCs w:val="20"/>
                <w:color w:val="auto"/>
              </w:rPr>
            </w:pPr>
            <w:r>
              <w:rPr>
                <w:rFonts w:ascii="Times New Roman" w:cs="Times New Roman" w:eastAsia="Times New Roman" w:hAnsi="Times New Roman"/>
                <w:sz w:val="14"/>
                <w:szCs w:val="14"/>
                <w:b w:val="1"/>
                <w:bCs w:val="1"/>
                <w:color w:val="auto"/>
                <w:w w:val="99"/>
              </w:rPr>
              <w:t>Stockholder</w:t>
            </w:r>
          </w:p>
        </w:tc>
        <w:tc>
          <w:tcPr>
            <w:tcW w:w="900" w:type="dxa"/>
            <w:vAlign w:val="bottom"/>
            <w:gridSpan w:val="2"/>
            <w:vMerge w:val="continue"/>
          </w:tcPr>
          <w:p>
            <w:pPr>
              <w:spacing w:after="0"/>
              <w:rPr>
                <w:sz w:val="12"/>
                <w:szCs w:val="12"/>
                <w:color w:val="auto"/>
              </w:rPr>
            </w:pPr>
          </w:p>
        </w:tc>
        <w:tc>
          <w:tcPr>
            <w:tcW w:w="88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w w:val="98"/>
              </w:rPr>
              <w:t>Measure:</w:t>
            </w:r>
          </w:p>
        </w:tc>
        <w:tc>
          <w:tcPr>
            <w:tcW w:w="0" w:type="dxa"/>
            <w:vAlign w:val="bottom"/>
          </w:tcPr>
          <w:p>
            <w:pPr>
              <w:spacing w:after="0"/>
              <w:rPr>
                <w:sz w:val="1"/>
                <w:szCs w:val="1"/>
                <w:color w:val="auto"/>
              </w:rPr>
            </w:pPr>
          </w:p>
        </w:tc>
      </w:tr>
      <w:tr>
        <w:trPr>
          <w:trHeight w:val="184"/>
        </w:trPr>
        <w:tc>
          <w:tcPr>
            <w:tcW w:w="560" w:type="dxa"/>
            <w:vAlign w:val="bottom"/>
            <w:gridSpan w:val="2"/>
            <w:vMerge w:val="continue"/>
          </w:tcPr>
          <w:p>
            <w:pPr>
              <w:spacing w:after="0"/>
              <w:rPr>
                <w:sz w:val="16"/>
                <w:szCs w:val="16"/>
                <w:color w:val="auto"/>
              </w:rPr>
            </w:pPr>
          </w:p>
        </w:tc>
        <w:tc>
          <w:tcPr>
            <w:tcW w:w="9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8"/>
              </w:rPr>
              <w:t>PEO ($)</w:t>
            </w:r>
          </w:p>
        </w:tc>
        <w:tc>
          <w:tcPr>
            <w:tcW w:w="40" w:type="dxa"/>
            <w:vAlign w:val="bottom"/>
          </w:tcPr>
          <w:p>
            <w:pPr>
              <w:spacing w:after="0"/>
              <w:rPr>
                <w:sz w:val="16"/>
                <w:szCs w:val="16"/>
                <w:color w:val="auto"/>
              </w:rPr>
            </w:pP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to PEO ($)</w:t>
            </w:r>
          </w:p>
        </w:tc>
        <w:tc>
          <w:tcPr>
            <w:tcW w:w="9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NEOs ($)</w:t>
            </w: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NEOs ($)</w:t>
            </w:r>
          </w:p>
        </w:tc>
        <w:tc>
          <w:tcPr>
            <w:tcW w:w="8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Return ($)</w:t>
            </w:r>
          </w:p>
        </w:tc>
        <w:tc>
          <w:tcPr>
            <w:tcW w:w="8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Return ($)</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6"/>
                <w:szCs w:val="16"/>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Revenue ($)</w:t>
            </w:r>
          </w:p>
        </w:tc>
        <w:tc>
          <w:tcPr>
            <w:tcW w:w="0" w:type="dxa"/>
            <w:vAlign w:val="bottom"/>
          </w:tcPr>
          <w:p>
            <w:pPr>
              <w:spacing w:after="0"/>
              <w:rPr>
                <w:sz w:val="1"/>
                <w:szCs w:val="1"/>
                <w:color w:val="auto"/>
              </w:rPr>
            </w:pPr>
          </w:p>
        </w:tc>
      </w:tr>
      <w:tr>
        <w:trPr>
          <w:trHeight w:val="23"/>
        </w:trPr>
        <w:tc>
          <w:tcPr>
            <w:tcW w:w="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5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(a)</w:t>
            </w:r>
          </w:p>
        </w:tc>
        <w:tc>
          <w:tcPr>
            <w:tcW w:w="940" w:type="dxa"/>
            <w:vAlign w:val="bottom"/>
            <w:gridSpan w:val="2"/>
          </w:tcPr>
          <w:p>
            <w:pPr>
              <w:jc w:val="center"/>
              <w:ind w:right="60"/>
              <w:spacing w:after="0" w:line="255" w:lineRule="exact"/>
              <w:rPr>
                <w:sz w:val="20"/>
                <w:szCs w:val="20"/>
                <w:color w:val="auto"/>
              </w:rPr>
            </w:pPr>
            <w:r>
              <w:rPr>
                <w:rFonts w:ascii="Times New Roman" w:cs="Times New Roman" w:eastAsia="Times New Roman" w:hAnsi="Times New Roman"/>
                <w:sz w:val="27"/>
                <w:szCs w:val="27"/>
                <w:color w:val="auto"/>
                <w:w w:val="82"/>
                <w:vertAlign w:val="subscript"/>
              </w:rPr>
              <w:t>(b)</w:t>
            </w:r>
            <w:r>
              <w:rPr>
                <w:rFonts w:ascii="Times New Roman" w:cs="Times New Roman" w:eastAsia="Times New Roman" w:hAnsi="Times New Roman"/>
                <w:sz w:val="7"/>
                <w:szCs w:val="7"/>
                <w:color w:val="auto"/>
                <w:w w:val="82"/>
              </w:rPr>
              <w:t>(1)</w:t>
            </w:r>
          </w:p>
        </w:tc>
        <w:tc>
          <w:tcPr>
            <w:tcW w:w="40" w:type="dxa"/>
            <w:vAlign w:val="bottom"/>
          </w:tcPr>
          <w:p>
            <w:pPr>
              <w:spacing w:after="0"/>
              <w:rPr>
                <w:sz w:val="22"/>
                <w:szCs w:val="22"/>
                <w:color w:val="auto"/>
              </w:rPr>
            </w:pPr>
          </w:p>
        </w:tc>
        <w:tc>
          <w:tcPr>
            <w:tcW w:w="940" w:type="dxa"/>
            <w:vAlign w:val="bottom"/>
            <w:gridSpan w:val="2"/>
          </w:tcPr>
          <w:p>
            <w:pPr>
              <w:jc w:val="center"/>
              <w:ind w:right="100"/>
              <w:spacing w:after="0" w:line="255" w:lineRule="exact"/>
              <w:rPr>
                <w:sz w:val="20"/>
                <w:szCs w:val="20"/>
                <w:color w:val="auto"/>
              </w:rPr>
            </w:pPr>
            <w:r>
              <w:rPr>
                <w:rFonts w:ascii="Times New Roman" w:cs="Times New Roman" w:eastAsia="Times New Roman" w:hAnsi="Times New Roman"/>
                <w:sz w:val="27"/>
                <w:szCs w:val="27"/>
                <w:color w:val="auto"/>
                <w:w w:val="88"/>
                <w:vertAlign w:val="subscript"/>
              </w:rPr>
              <w:t>(c)</w:t>
            </w:r>
            <w:r>
              <w:rPr>
                <w:rFonts w:ascii="Times New Roman" w:cs="Times New Roman" w:eastAsia="Times New Roman" w:hAnsi="Times New Roman"/>
                <w:sz w:val="7"/>
                <w:szCs w:val="7"/>
                <w:color w:val="auto"/>
                <w:w w:val="88"/>
              </w:rPr>
              <w:t>(2)(5)</w:t>
            </w:r>
          </w:p>
        </w:tc>
        <w:tc>
          <w:tcPr>
            <w:tcW w:w="960" w:type="dxa"/>
            <w:vAlign w:val="bottom"/>
            <w:gridSpan w:val="2"/>
          </w:tcPr>
          <w:p>
            <w:pPr>
              <w:jc w:val="center"/>
              <w:ind w:right="80"/>
              <w:spacing w:after="0" w:line="255" w:lineRule="exact"/>
              <w:rPr>
                <w:sz w:val="20"/>
                <w:szCs w:val="20"/>
                <w:color w:val="auto"/>
              </w:rPr>
            </w:pPr>
            <w:r>
              <w:rPr>
                <w:rFonts w:ascii="Times New Roman" w:cs="Times New Roman" w:eastAsia="Times New Roman" w:hAnsi="Times New Roman"/>
                <w:sz w:val="27"/>
                <w:szCs w:val="27"/>
                <w:color w:val="auto"/>
                <w:w w:val="82"/>
                <w:vertAlign w:val="subscript"/>
              </w:rPr>
              <w:t>(d)</w:t>
            </w:r>
            <w:r>
              <w:rPr>
                <w:rFonts w:ascii="Times New Roman" w:cs="Times New Roman" w:eastAsia="Times New Roman" w:hAnsi="Times New Roman"/>
                <w:sz w:val="7"/>
                <w:szCs w:val="7"/>
                <w:color w:val="auto"/>
                <w:w w:val="82"/>
              </w:rPr>
              <w:t>(3)</w:t>
            </w:r>
          </w:p>
        </w:tc>
        <w:tc>
          <w:tcPr>
            <w:tcW w:w="940" w:type="dxa"/>
            <w:vAlign w:val="bottom"/>
            <w:gridSpan w:val="2"/>
          </w:tcPr>
          <w:p>
            <w:pPr>
              <w:jc w:val="center"/>
              <w:ind w:right="100"/>
              <w:spacing w:after="0" w:line="255" w:lineRule="exact"/>
              <w:rPr>
                <w:sz w:val="20"/>
                <w:szCs w:val="20"/>
                <w:color w:val="auto"/>
              </w:rPr>
            </w:pPr>
            <w:r>
              <w:rPr>
                <w:rFonts w:ascii="Times New Roman" w:cs="Times New Roman" w:eastAsia="Times New Roman" w:hAnsi="Times New Roman"/>
                <w:sz w:val="27"/>
                <w:szCs w:val="27"/>
                <w:color w:val="auto"/>
                <w:w w:val="88"/>
                <w:vertAlign w:val="subscript"/>
              </w:rPr>
              <w:t>(e)</w:t>
            </w:r>
            <w:r>
              <w:rPr>
                <w:rFonts w:ascii="Times New Roman" w:cs="Times New Roman" w:eastAsia="Times New Roman" w:hAnsi="Times New Roman"/>
                <w:sz w:val="7"/>
                <w:szCs w:val="7"/>
                <w:color w:val="auto"/>
                <w:w w:val="88"/>
              </w:rPr>
              <w:t>(4)(5)</w:t>
            </w:r>
          </w:p>
        </w:tc>
        <w:tc>
          <w:tcPr>
            <w:tcW w:w="820" w:type="dxa"/>
            <w:vAlign w:val="bottom"/>
            <w:gridSpan w:val="2"/>
          </w:tcPr>
          <w:p>
            <w:pPr>
              <w:jc w:val="center"/>
              <w:ind w:right="80"/>
              <w:spacing w:after="0" w:line="255" w:lineRule="exact"/>
              <w:rPr>
                <w:sz w:val="20"/>
                <w:szCs w:val="20"/>
                <w:color w:val="auto"/>
              </w:rPr>
            </w:pPr>
            <w:r>
              <w:rPr>
                <w:rFonts w:ascii="Times New Roman" w:cs="Times New Roman" w:eastAsia="Times New Roman" w:hAnsi="Times New Roman"/>
                <w:sz w:val="27"/>
                <w:szCs w:val="27"/>
                <w:color w:val="auto"/>
                <w:w w:val="83"/>
                <w:vertAlign w:val="subscript"/>
              </w:rPr>
              <w:t>(f)</w:t>
            </w:r>
            <w:r>
              <w:rPr>
                <w:rFonts w:ascii="Times New Roman" w:cs="Times New Roman" w:eastAsia="Times New Roman" w:hAnsi="Times New Roman"/>
                <w:sz w:val="7"/>
                <w:szCs w:val="7"/>
                <w:color w:val="auto"/>
                <w:w w:val="83"/>
              </w:rPr>
              <w:t>(6)</w:t>
            </w:r>
          </w:p>
        </w:tc>
        <w:tc>
          <w:tcPr>
            <w:tcW w:w="880" w:type="dxa"/>
            <w:vAlign w:val="bottom"/>
            <w:gridSpan w:val="2"/>
          </w:tcPr>
          <w:p>
            <w:pPr>
              <w:jc w:val="center"/>
              <w:ind w:right="80"/>
              <w:spacing w:after="0" w:line="255" w:lineRule="exact"/>
              <w:rPr>
                <w:sz w:val="20"/>
                <w:szCs w:val="20"/>
                <w:color w:val="auto"/>
              </w:rPr>
            </w:pPr>
            <w:r>
              <w:rPr>
                <w:rFonts w:ascii="Times New Roman" w:cs="Times New Roman" w:eastAsia="Times New Roman" w:hAnsi="Times New Roman"/>
                <w:sz w:val="27"/>
                <w:szCs w:val="27"/>
                <w:color w:val="auto"/>
                <w:w w:val="82"/>
                <w:vertAlign w:val="subscript"/>
              </w:rPr>
              <w:t>(g)</w:t>
            </w:r>
            <w:r>
              <w:rPr>
                <w:rFonts w:ascii="Times New Roman" w:cs="Times New Roman" w:eastAsia="Times New Roman" w:hAnsi="Times New Roman"/>
                <w:sz w:val="7"/>
                <w:szCs w:val="7"/>
                <w:color w:val="auto"/>
                <w:w w:val="82"/>
              </w:rPr>
              <w:t>(7)</w:t>
            </w:r>
          </w:p>
        </w:tc>
        <w:tc>
          <w:tcPr>
            <w:tcW w:w="900" w:type="dxa"/>
            <w:vAlign w:val="bottom"/>
            <w:gridSpan w:val="2"/>
          </w:tcPr>
          <w:p>
            <w:pPr>
              <w:jc w:val="center"/>
              <w:ind w:right="80"/>
              <w:spacing w:after="0" w:line="255" w:lineRule="exact"/>
              <w:rPr>
                <w:sz w:val="20"/>
                <w:szCs w:val="20"/>
                <w:color w:val="auto"/>
              </w:rPr>
            </w:pPr>
            <w:r>
              <w:rPr>
                <w:rFonts w:ascii="Times New Roman" w:cs="Times New Roman" w:eastAsia="Times New Roman" w:hAnsi="Times New Roman"/>
                <w:sz w:val="27"/>
                <w:szCs w:val="27"/>
                <w:color w:val="auto"/>
                <w:w w:val="89"/>
                <w:vertAlign w:val="subscript"/>
              </w:rPr>
              <w:t>(h)</w:t>
            </w:r>
            <w:r>
              <w:rPr>
                <w:rFonts w:ascii="Times New Roman" w:cs="Times New Roman" w:eastAsia="Times New Roman" w:hAnsi="Times New Roman"/>
                <w:sz w:val="7"/>
                <w:szCs w:val="7"/>
                <w:color w:val="auto"/>
                <w:w w:val="89"/>
              </w:rPr>
              <w:t>(8)</w:t>
            </w:r>
          </w:p>
        </w:tc>
        <w:tc>
          <w:tcPr>
            <w:tcW w:w="880" w:type="dxa"/>
            <w:vAlign w:val="bottom"/>
          </w:tcPr>
          <w:p>
            <w:pPr>
              <w:jc w:val="center"/>
              <w:spacing w:after="0" w:line="255" w:lineRule="exact"/>
              <w:rPr>
                <w:sz w:val="20"/>
                <w:szCs w:val="20"/>
                <w:color w:val="auto"/>
              </w:rPr>
            </w:pPr>
            <w:r>
              <w:rPr>
                <w:rFonts w:ascii="Times New Roman" w:cs="Times New Roman" w:eastAsia="Times New Roman" w:hAnsi="Times New Roman"/>
                <w:sz w:val="27"/>
                <w:szCs w:val="27"/>
                <w:color w:val="auto"/>
                <w:w w:val="79"/>
                <w:vertAlign w:val="subscript"/>
              </w:rPr>
              <w:t>(i)</w:t>
            </w:r>
            <w:r>
              <w:rPr>
                <w:rFonts w:ascii="Times New Roman" w:cs="Times New Roman" w:eastAsia="Times New Roman" w:hAnsi="Times New Roman"/>
                <w:sz w:val="7"/>
                <w:szCs w:val="7"/>
                <w:color w:val="auto"/>
                <w:w w:val="79"/>
              </w:rPr>
              <w:t>(9)</w:t>
            </w:r>
          </w:p>
        </w:tc>
        <w:tc>
          <w:tcPr>
            <w:tcW w:w="0" w:type="dxa"/>
            <w:vAlign w:val="bottom"/>
          </w:tcPr>
          <w:p>
            <w:pPr>
              <w:spacing w:after="0"/>
              <w:rPr>
                <w:sz w:val="1"/>
                <w:szCs w:val="1"/>
                <w:color w:val="auto"/>
              </w:rPr>
            </w:pPr>
          </w:p>
        </w:tc>
      </w:tr>
      <w:tr>
        <w:trPr>
          <w:trHeight w:val="255"/>
        </w:trPr>
        <w:tc>
          <w:tcPr>
            <w:tcW w:w="480" w:type="dxa"/>
            <w:vAlign w:val="bottom"/>
            <w:tcBorders>
              <w:bottom w:val="single" w:sz="8" w:color="CDE9F6"/>
            </w:tcBorders>
            <w:shd w:val="clear" w:color="auto" w:fill="CDE9F6"/>
          </w:tcPr>
          <w:p>
            <w:pPr>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DE9F6"/>
            </w:tcBorders>
            <w:shd w:val="clear" w:color="auto" w:fill="CDE9F6"/>
          </w:tcPr>
          <w:p>
            <w:pPr>
              <w:spacing w:after="0"/>
              <w:rPr>
                <w:sz w:val="22"/>
                <w:szCs w:val="22"/>
                <w:color w:val="auto"/>
              </w:rPr>
            </w:pPr>
          </w:p>
        </w:tc>
        <w:tc>
          <w:tcPr>
            <w:tcW w:w="940" w:type="dxa"/>
            <w:vAlign w:val="bottom"/>
            <w:tcBorders>
              <w:bottom w:val="single" w:sz="8" w:color="CDE9F6"/>
            </w:tcBorders>
            <w:gridSpan w:val="2"/>
            <w:shd w:val="clear" w:color="auto" w:fill="CDE9F6"/>
          </w:tcPr>
          <w:p>
            <w:pPr>
              <w:ind w:left="260"/>
              <w:spacing w:after="0"/>
              <w:rPr>
                <w:sz w:val="20"/>
                <w:szCs w:val="20"/>
                <w:color w:val="auto"/>
              </w:rPr>
            </w:pPr>
            <w:r>
              <w:rPr>
                <w:rFonts w:ascii="Times New Roman" w:cs="Times New Roman" w:eastAsia="Times New Roman" w:hAnsi="Times New Roman"/>
                <w:sz w:val="14"/>
                <w:szCs w:val="14"/>
                <w:color w:val="auto"/>
              </w:rPr>
              <w:t>11,458,039</w:t>
            </w:r>
          </w:p>
        </w:tc>
        <w:tc>
          <w:tcPr>
            <w:tcW w:w="900" w:type="dxa"/>
            <w:vAlign w:val="bottom"/>
            <w:tcBorders>
              <w:bottom w:val="single" w:sz="8" w:color="CDE9F6"/>
            </w:tcBorders>
            <w:gridSpan w:val="2"/>
            <w:shd w:val="clear" w:color="auto" w:fill="CDE9F6"/>
          </w:tcPr>
          <w:p>
            <w:pPr>
              <w:jc w:val="right"/>
              <w:ind w:right="62"/>
              <w:spacing w:after="0"/>
              <w:rPr>
                <w:sz w:val="20"/>
                <w:szCs w:val="20"/>
                <w:color w:val="auto"/>
              </w:rPr>
            </w:pPr>
            <w:r>
              <w:rPr>
                <w:rFonts w:ascii="Times New Roman" w:cs="Times New Roman" w:eastAsia="Times New Roman" w:hAnsi="Times New Roman"/>
                <w:sz w:val="14"/>
                <w:szCs w:val="14"/>
                <w:color w:val="auto"/>
              </w:rPr>
              <w:t>1,145,113</w:t>
            </w:r>
          </w:p>
        </w:tc>
        <w:tc>
          <w:tcPr>
            <w:tcW w:w="80" w:type="dxa"/>
            <w:vAlign w:val="bottom"/>
            <w:tcBorders>
              <w:bottom w:val="single" w:sz="8" w:color="CDE9F6"/>
            </w:tcBorders>
            <w:shd w:val="clear" w:color="auto" w:fill="CDE9F6"/>
          </w:tcPr>
          <w:p>
            <w:pPr>
              <w:spacing w:after="0"/>
              <w:rPr>
                <w:sz w:val="22"/>
                <w:szCs w:val="22"/>
                <w:color w:val="auto"/>
              </w:rPr>
            </w:pPr>
          </w:p>
        </w:tc>
        <w:tc>
          <w:tcPr>
            <w:tcW w:w="860" w:type="dxa"/>
            <w:vAlign w:val="bottom"/>
            <w:tcBorders>
              <w:bottom w:val="single" w:sz="8" w:color="CDE9F6"/>
            </w:tcBorders>
            <w:shd w:val="clear" w:color="auto" w:fill="CDE9F6"/>
          </w:tcPr>
          <w:p>
            <w:pPr>
              <w:jc w:val="right"/>
              <w:spacing w:after="0"/>
              <w:rPr>
                <w:sz w:val="20"/>
                <w:szCs w:val="20"/>
                <w:color w:val="auto"/>
              </w:rPr>
            </w:pPr>
            <w:r>
              <w:rPr>
                <w:rFonts w:ascii="Times New Roman" w:cs="Times New Roman" w:eastAsia="Times New Roman" w:hAnsi="Times New Roman"/>
                <w:sz w:val="14"/>
                <w:szCs w:val="14"/>
                <w:color w:val="auto"/>
              </w:rPr>
              <w:t>5,674,275</w:t>
            </w:r>
          </w:p>
        </w:tc>
        <w:tc>
          <w:tcPr>
            <w:tcW w:w="100" w:type="dxa"/>
            <w:vAlign w:val="bottom"/>
            <w:tcBorders>
              <w:bottom w:val="single" w:sz="8" w:color="CDE9F6"/>
            </w:tcBorders>
            <w:shd w:val="clear" w:color="auto" w:fill="CDE9F6"/>
          </w:tcPr>
          <w:p>
            <w:pPr>
              <w:spacing w:after="0"/>
              <w:rPr>
                <w:sz w:val="22"/>
                <w:szCs w:val="22"/>
                <w:color w:val="auto"/>
              </w:rPr>
            </w:pPr>
          </w:p>
        </w:tc>
        <w:tc>
          <w:tcPr>
            <w:tcW w:w="860" w:type="dxa"/>
            <w:vAlign w:val="bottom"/>
            <w:tcBorders>
              <w:bottom w:val="single" w:sz="8" w:color="CDE9F6"/>
            </w:tcBorders>
            <w:shd w:val="clear" w:color="auto" w:fill="CDE9F6"/>
          </w:tcPr>
          <w:p>
            <w:pPr>
              <w:jc w:val="right"/>
              <w:ind w:right="14"/>
              <w:spacing w:after="0"/>
              <w:rPr>
                <w:sz w:val="20"/>
                <w:szCs w:val="20"/>
                <w:color w:val="auto"/>
              </w:rPr>
            </w:pPr>
            <w:r>
              <w:rPr>
                <w:rFonts w:ascii="Times New Roman" w:cs="Times New Roman" w:eastAsia="Times New Roman" w:hAnsi="Times New Roman"/>
                <w:sz w:val="14"/>
                <w:szCs w:val="14"/>
                <w:color w:val="auto"/>
              </w:rPr>
              <w:t>(1,396,923)</w:t>
            </w:r>
          </w:p>
        </w:tc>
        <w:tc>
          <w:tcPr>
            <w:tcW w:w="80" w:type="dxa"/>
            <w:vAlign w:val="bottom"/>
            <w:tcBorders>
              <w:bottom w:val="single" w:sz="8" w:color="CDE9F6"/>
            </w:tcBorders>
            <w:shd w:val="clear" w:color="auto" w:fill="CDE9F6"/>
          </w:tcPr>
          <w:p>
            <w:pPr>
              <w:spacing w:after="0"/>
              <w:rPr>
                <w:sz w:val="22"/>
                <w:szCs w:val="22"/>
                <w:color w:val="auto"/>
              </w:rPr>
            </w:pPr>
          </w:p>
        </w:tc>
        <w:tc>
          <w:tcPr>
            <w:tcW w:w="820" w:type="dxa"/>
            <w:vAlign w:val="bottom"/>
            <w:tcBorders>
              <w:bottom w:val="single" w:sz="8" w:color="CDE9F6"/>
            </w:tcBorders>
            <w:gridSpan w:val="2"/>
            <w:shd w:val="clear" w:color="auto" w:fill="CDE9F6"/>
          </w:tcPr>
          <w:p>
            <w:pPr>
              <w:jc w:val="right"/>
              <w:ind w:right="80"/>
              <w:spacing w:after="0"/>
              <w:rPr>
                <w:sz w:val="20"/>
                <w:szCs w:val="20"/>
                <w:color w:val="auto"/>
              </w:rPr>
            </w:pPr>
            <w:r>
              <w:rPr>
                <w:rFonts w:ascii="Times New Roman" w:cs="Times New Roman" w:eastAsia="Times New Roman" w:hAnsi="Times New Roman"/>
                <w:sz w:val="14"/>
                <w:szCs w:val="14"/>
                <w:color w:val="auto"/>
              </w:rPr>
              <w:t>267.28</w:t>
            </w:r>
          </w:p>
        </w:tc>
        <w:tc>
          <w:tcPr>
            <w:tcW w:w="880" w:type="dxa"/>
            <w:vAlign w:val="bottom"/>
            <w:tcBorders>
              <w:bottom w:val="single" w:sz="8" w:color="CDE9F6"/>
            </w:tcBorders>
            <w:gridSpan w:val="2"/>
            <w:shd w:val="clear" w:color="auto" w:fill="CDE9F6"/>
          </w:tcPr>
          <w:p>
            <w:pPr>
              <w:jc w:val="right"/>
              <w:ind w:right="80"/>
              <w:spacing w:after="0"/>
              <w:rPr>
                <w:sz w:val="20"/>
                <w:szCs w:val="20"/>
                <w:color w:val="auto"/>
              </w:rPr>
            </w:pPr>
            <w:r>
              <w:rPr>
                <w:rFonts w:ascii="Times New Roman" w:cs="Times New Roman" w:eastAsia="Times New Roman" w:hAnsi="Times New Roman"/>
                <w:sz w:val="14"/>
                <w:szCs w:val="14"/>
                <w:color w:val="auto"/>
              </w:rPr>
              <w:t>258.44</w:t>
            </w:r>
          </w:p>
        </w:tc>
        <w:tc>
          <w:tcPr>
            <w:tcW w:w="900" w:type="dxa"/>
            <w:vAlign w:val="bottom"/>
            <w:tcBorders>
              <w:bottom w:val="single" w:sz="8" w:color="CDE9F6"/>
            </w:tcBorders>
            <w:gridSpan w:val="2"/>
            <w:shd w:val="clear" w:color="auto" w:fill="CDE9F6"/>
          </w:tcPr>
          <w:p>
            <w:pPr>
              <w:jc w:val="right"/>
              <w:ind w:right="80"/>
              <w:spacing w:after="0"/>
              <w:rPr>
                <w:sz w:val="20"/>
                <w:szCs w:val="20"/>
                <w:color w:val="auto"/>
              </w:rPr>
            </w:pPr>
            <w:r>
              <w:rPr>
                <w:rFonts w:ascii="Times New Roman" w:cs="Times New Roman" w:eastAsia="Times New Roman" w:hAnsi="Times New Roman"/>
                <w:sz w:val="14"/>
                <w:szCs w:val="14"/>
                <w:color w:val="auto"/>
                <w:w w:val="99"/>
              </w:rPr>
              <w:t>1,853,442,685</w:t>
            </w:r>
          </w:p>
        </w:tc>
        <w:tc>
          <w:tcPr>
            <w:tcW w:w="880" w:type="dxa"/>
            <w:vAlign w:val="bottom"/>
            <w:tcBorders>
              <w:bottom w:val="single" w:sz="8" w:color="CDE9F6"/>
            </w:tcBorders>
            <w:shd w:val="clear" w:color="auto" w:fill="CDE9F6"/>
          </w:tcPr>
          <w:p>
            <w:pPr>
              <w:ind w:left="80"/>
              <w:spacing w:after="0"/>
              <w:rPr>
                <w:sz w:val="20"/>
                <w:szCs w:val="20"/>
                <w:color w:val="auto"/>
              </w:rPr>
            </w:pPr>
            <w:r>
              <w:rPr>
                <w:rFonts w:ascii="Times New Roman" w:cs="Times New Roman" w:eastAsia="Times New Roman" w:hAnsi="Times New Roman"/>
                <w:sz w:val="14"/>
                <w:szCs w:val="14"/>
                <w:color w:val="auto"/>
                <w:w w:val="96"/>
              </w:rPr>
              <w:t>6,799,612,384</w:t>
            </w:r>
          </w:p>
        </w:tc>
        <w:tc>
          <w:tcPr>
            <w:tcW w:w="0" w:type="dxa"/>
            <w:vAlign w:val="bottom"/>
          </w:tcPr>
          <w:p>
            <w:pPr>
              <w:spacing w:after="0"/>
              <w:rPr>
                <w:sz w:val="1"/>
                <w:szCs w:val="1"/>
                <w:color w:val="auto"/>
              </w:rPr>
            </w:pPr>
          </w:p>
        </w:tc>
      </w:tr>
      <w:tr>
        <w:trPr>
          <w:trHeight w:val="252"/>
        </w:trPr>
        <w:tc>
          <w:tcPr>
            <w:tcW w:w="4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21"/>
                <w:szCs w:val="21"/>
                <w:color w:val="auto"/>
              </w:rPr>
            </w:pPr>
          </w:p>
        </w:tc>
        <w:tc>
          <w:tcPr>
            <w:tcW w:w="880" w:type="dxa"/>
            <w:vAlign w:val="bottom"/>
          </w:tcPr>
          <w:p>
            <w:pPr>
              <w:ind w:left="260"/>
              <w:spacing w:after="0"/>
              <w:rPr>
                <w:sz w:val="20"/>
                <w:szCs w:val="20"/>
                <w:color w:val="auto"/>
              </w:rPr>
            </w:pPr>
            <w:r>
              <w:rPr>
                <w:rFonts w:ascii="Times New Roman" w:cs="Times New Roman" w:eastAsia="Times New Roman" w:hAnsi="Times New Roman"/>
                <w:sz w:val="14"/>
                <w:szCs w:val="14"/>
                <w:color w:val="auto"/>
                <w:w w:val="95"/>
              </w:rPr>
              <w:t>13,143,289</w:t>
            </w:r>
          </w:p>
        </w:tc>
        <w:tc>
          <w:tcPr>
            <w:tcW w:w="60" w:type="dxa"/>
            <w:vAlign w:val="bottom"/>
          </w:tcPr>
          <w:p>
            <w:pPr>
              <w:spacing w:after="0"/>
              <w:rPr>
                <w:sz w:val="21"/>
                <w:szCs w:val="21"/>
                <w:color w:val="auto"/>
              </w:rPr>
            </w:pPr>
          </w:p>
        </w:tc>
        <w:tc>
          <w:tcPr>
            <w:tcW w:w="900" w:type="dxa"/>
            <w:vAlign w:val="bottom"/>
            <w:gridSpan w:val="2"/>
          </w:tcPr>
          <w:p>
            <w:pPr>
              <w:jc w:val="right"/>
              <w:ind w:right="62"/>
              <w:spacing w:after="0"/>
              <w:rPr>
                <w:sz w:val="20"/>
                <w:szCs w:val="20"/>
                <w:color w:val="auto"/>
              </w:rPr>
            </w:pPr>
            <w:r>
              <w:rPr>
                <w:rFonts w:ascii="Times New Roman" w:cs="Times New Roman" w:eastAsia="Times New Roman" w:hAnsi="Times New Roman"/>
                <w:sz w:val="14"/>
                <w:szCs w:val="14"/>
                <w:color w:val="auto"/>
              </w:rPr>
              <w:t>37,716,937</w:t>
            </w:r>
          </w:p>
        </w:tc>
        <w:tc>
          <w:tcPr>
            <w:tcW w:w="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5,967,146</w:t>
            </w:r>
          </w:p>
        </w:tc>
        <w:tc>
          <w:tcPr>
            <w:tcW w:w="100" w:type="dxa"/>
            <w:vAlign w:val="bottom"/>
          </w:tcPr>
          <w:p>
            <w:pPr>
              <w:spacing w:after="0"/>
              <w:rPr>
                <w:sz w:val="21"/>
                <w:szCs w:val="21"/>
                <w:color w:val="auto"/>
              </w:rPr>
            </w:pPr>
          </w:p>
        </w:tc>
        <w:tc>
          <w:tcPr>
            <w:tcW w:w="860" w:type="dxa"/>
            <w:vAlign w:val="bottom"/>
          </w:tcPr>
          <w:p>
            <w:pPr>
              <w:jc w:val="right"/>
              <w:ind w:right="54"/>
              <w:spacing w:after="0"/>
              <w:rPr>
                <w:sz w:val="20"/>
                <w:szCs w:val="20"/>
                <w:color w:val="auto"/>
              </w:rPr>
            </w:pPr>
            <w:r>
              <w:rPr>
                <w:rFonts w:ascii="Times New Roman" w:cs="Times New Roman" w:eastAsia="Times New Roman" w:hAnsi="Times New Roman"/>
                <w:sz w:val="14"/>
                <w:szCs w:val="14"/>
                <w:color w:val="auto"/>
              </w:rPr>
              <w:t>15,033,124</w:t>
            </w:r>
          </w:p>
        </w:tc>
        <w:tc>
          <w:tcPr>
            <w:tcW w:w="80" w:type="dxa"/>
            <w:vAlign w:val="bottom"/>
          </w:tcPr>
          <w:p>
            <w:pPr>
              <w:spacing w:after="0"/>
              <w:rPr>
                <w:sz w:val="21"/>
                <w:szCs w:val="21"/>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442.49</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301.44</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w w:val="99"/>
              </w:rPr>
              <w:t>1,745,218,820</w:t>
            </w:r>
          </w:p>
        </w:tc>
        <w:tc>
          <w:tcPr>
            <w:tcW w:w="880" w:type="dxa"/>
            <w:vAlign w:val="bottom"/>
          </w:tcPr>
          <w:p>
            <w:pPr>
              <w:ind w:left="80"/>
              <w:spacing w:after="0"/>
              <w:rPr>
                <w:sz w:val="20"/>
                <w:szCs w:val="20"/>
                <w:color w:val="auto"/>
              </w:rPr>
            </w:pPr>
            <w:r>
              <w:rPr>
                <w:rFonts w:ascii="Times New Roman" w:cs="Times New Roman" w:eastAsia="Times New Roman" w:hAnsi="Times New Roman"/>
                <w:sz w:val="14"/>
                <w:szCs w:val="14"/>
                <w:color w:val="auto"/>
                <w:w w:val="96"/>
              </w:rPr>
              <w:t>5,955,845,824</w:t>
            </w:r>
          </w:p>
        </w:tc>
        <w:tc>
          <w:tcPr>
            <w:tcW w:w="0" w:type="dxa"/>
            <w:vAlign w:val="bottom"/>
          </w:tcPr>
          <w:p>
            <w:pPr>
              <w:spacing w:after="0"/>
              <w:rPr>
                <w:sz w:val="1"/>
                <w:szCs w:val="1"/>
                <w:color w:val="auto"/>
              </w:rPr>
            </w:pPr>
          </w:p>
        </w:tc>
      </w:tr>
      <w:tr>
        <w:trPr>
          <w:trHeight w:val="23"/>
        </w:trPr>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5"/>
        </w:trPr>
        <w:tc>
          <w:tcPr>
            <w:tcW w:w="480" w:type="dxa"/>
            <w:vAlign w:val="bottom"/>
            <w:tcBorders>
              <w:bottom w:val="single" w:sz="8" w:color="CDE9F6"/>
            </w:tcBorders>
            <w:shd w:val="clear" w:color="auto" w:fill="CDE9F6"/>
          </w:tcPr>
          <w:p>
            <w:pPr>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DE9F6"/>
            </w:tcBorders>
            <w:shd w:val="clear" w:color="auto" w:fill="CDE9F6"/>
          </w:tcPr>
          <w:p>
            <w:pPr>
              <w:spacing w:after="0"/>
              <w:rPr>
                <w:sz w:val="22"/>
                <w:szCs w:val="22"/>
                <w:color w:val="auto"/>
              </w:rPr>
            </w:pPr>
          </w:p>
        </w:tc>
        <w:tc>
          <w:tcPr>
            <w:tcW w:w="880" w:type="dxa"/>
            <w:vAlign w:val="bottom"/>
            <w:tcBorders>
              <w:bottom w:val="single" w:sz="8" w:color="CDE9F6"/>
            </w:tcBorders>
            <w:shd w:val="clear" w:color="auto" w:fill="CDE9F6"/>
          </w:tcPr>
          <w:p>
            <w:pPr>
              <w:ind w:left="260"/>
              <w:spacing w:after="0"/>
              <w:rPr>
                <w:sz w:val="20"/>
                <w:szCs w:val="20"/>
                <w:color w:val="auto"/>
              </w:rPr>
            </w:pPr>
            <w:r>
              <w:rPr>
                <w:rFonts w:ascii="Times New Roman" w:cs="Times New Roman" w:eastAsia="Times New Roman" w:hAnsi="Times New Roman"/>
                <w:sz w:val="14"/>
                <w:szCs w:val="14"/>
                <w:color w:val="auto"/>
                <w:w w:val="95"/>
              </w:rPr>
              <w:t>16,301,613</w:t>
            </w:r>
          </w:p>
        </w:tc>
        <w:tc>
          <w:tcPr>
            <w:tcW w:w="60" w:type="dxa"/>
            <w:vAlign w:val="bottom"/>
            <w:tcBorders>
              <w:bottom w:val="single" w:sz="8" w:color="CDE9F6"/>
            </w:tcBorders>
            <w:shd w:val="clear" w:color="auto" w:fill="CDE9F6"/>
          </w:tcPr>
          <w:p>
            <w:pPr>
              <w:spacing w:after="0"/>
              <w:rPr>
                <w:sz w:val="22"/>
                <w:szCs w:val="22"/>
                <w:color w:val="auto"/>
              </w:rPr>
            </w:pPr>
          </w:p>
        </w:tc>
        <w:tc>
          <w:tcPr>
            <w:tcW w:w="900" w:type="dxa"/>
            <w:vAlign w:val="bottom"/>
            <w:tcBorders>
              <w:bottom w:val="single" w:sz="8" w:color="CDE9F6"/>
            </w:tcBorders>
            <w:gridSpan w:val="2"/>
            <w:shd w:val="clear" w:color="auto" w:fill="CDE9F6"/>
          </w:tcPr>
          <w:p>
            <w:pPr>
              <w:jc w:val="right"/>
              <w:ind w:right="62"/>
              <w:spacing w:after="0"/>
              <w:rPr>
                <w:sz w:val="20"/>
                <w:szCs w:val="20"/>
                <w:color w:val="auto"/>
              </w:rPr>
            </w:pPr>
            <w:r>
              <w:rPr>
                <w:rFonts w:ascii="Times New Roman" w:cs="Times New Roman" w:eastAsia="Times New Roman" w:hAnsi="Times New Roman"/>
                <w:sz w:val="14"/>
                <w:szCs w:val="14"/>
                <w:color w:val="auto"/>
              </w:rPr>
              <w:t>21,526,918</w:t>
            </w:r>
          </w:p>
        </w:tc>
        <w:tc>
          <w:tcPr>
            <w:tcW w:w="80" w:type="dxa"/>
            <w:vAlign w:val="bottom"/>
            <w:tcBorders>
              <w:bottom w:val="single" w:sz="8" w:color="CDE9F6"/>
            </w:tcBorders>
            <w:shd w:val="clear" w:color="auto" w:fill="CDE9F6"/>
          </w:tcPr>
          <w:p>
            <w:pPr>
              <w:spacing w:after="0"/>
              <w:rPr>
                <w:sz w:val="22"/>
                <w:szCs w:val="22"/>
                <w:color w:val="auto"/>
              </w:rPr>
            </w:pPr>
          </w:p>
        </w:tc>
        <w:tc>
          <w:tcPr>
            <w:tcW w:w="860" w:type="dxa"/>
            <w:vAlign w:val="bottom"/>
            <w:tcBorders>
              <w:bottom w:val="single" w:sz="8" w:color="CDE9F6"/>
            </w:tcBorders>
            <w:shd w:val="clear" w:color="auto" w:fill="CDE9F6"/>
          </w:tcPr>
          <w:p>
            <w:pPr>
              <w:jc w:val="right"/>
              <w:spacing w:after="0"/>
              <w:rPr>
                <w:sz w:val="20"/>
                <w:szCs w:val="20"/>
                <w:color w:val="auto"/>
              </w:rPr>
            </w:pPr>
            <w:r>
              <w:rPr>
                <w:rFonts w:ascii="Times New Roman" w:cs="Times New Roman" w:eastAsia="Times New Roman" w:hAnsi="Times New Roman"/>
                <w:sz w:val="14"/>
                <w:szCs w:val="14"/>
                <w:color w:val="auto"/>
              </w:rPr>
              <w:t>6,586,873</w:t>
            </w:r>
          </w:p>
        </w:tc>
        <w:tc>
          <w:tcPr>
            <w:tcW w:w="100" w:type="dxa"/>
            <w:vAlign w:val="bottom"/>
            <w:tcBorders>
              <w:bottom w:val="single" w:sz="8" w:color="CDE9F6"/>
            </w:tcBorders>
            <w:shd w:val="clear" w:color="auto" w:fill="CDE9F6"/>
          </w:tcPr>
          <w:p>
            <w:pPr>
              <w:spacing w:after="0"/>
              <w:rPr>
                <w:sz w:val="22"/>
                <w:szCs w:val="22"/>
                <w:color w:val="auto"/>
              </w:rPr>
            </w:pPr>
          </w:p>
        </w:tc>
        <w:tc>
          <w:tcPr>
            <w:tcW w:w="860" w:type="dxa"/>
            <w:vAlign w:val="bottom"/>
            <w:tcBorders>
              <w:bottom w:val="single" w:sz="8" w:color="CDE9F6"/>
            </w:tcBorders>
            <w:shd w:val="clear" w:color="auto" w:fill="CDE9F6"/>
          </w:tcPr>
          <w:p>
            <w:pPr>
              <w:jc w:val="right"/>
              <w:ind w:right="54"/>
              <w:spacing w:after="0"/>
              <w:rPr>
                <w:sz w:val="20"/>
                <w:szCs w:val="20"/>
                <w:color w:val="auto"/>
              </w:rPr>
            </w:pPr>
            <w:r>
              <w:rPr>
                <w:rFonts w:ascii="Times New Roman" w:cs="Times New Roman" w:eastAsia="Times New Roman" w:hAnsi="Times New Roman"/>
                <w:sz w:val="14"/>
                <w:szCs w:val="14"/>
                <w:color w:val="auto"/>
              </w:rPr>
              <w:t>8,065,655</w:t>
            </w:r>
          </w:p>
        </w:tc>
        <w:tc>
          <w:tcPr>
            <w:tcW w:w="80" w:type="dxa"/>
            <w:vAlign w:val="bottom"/>
            <w:tcBorders>
              <w:bottom w:val="single" w:sz="8" w:color="CDE9F6"/>
            </w:tcBorders>
            <w:shd w:val="clear" w:color="auto" w:fill="CDE9F6"/>
          </w:tcPr>
          <w:p>
            <w:pPr>
              <w:spacing w:after="0"/>
              <w:rPr>
                <w:sz w:val="22"/>
                <w:szCs w:val="22"/>
                <w:color w:val="auto"/>
              </w:rPr>
            </w:pPr>
          </w:p>
        </w:tc>
        <w:tc>
          <w:tcPr>
            <w:tcW w:w="820" w:type="dxa"/>
            <w:vAlign w:val="bottom"/>
            <w:tcBorders>
              <w:bottom w:val="single" w:sz="8" w:color="CDE9F6"/>
            </w:tcBorders>
            <w:gridSpan w:val="2"/>
            <w:shd w:val="clear" w:color="auto" w:fill="CDE9F6"/>
          </w:tcPr>
          <w:p>
            <w:pPr>
              <w:jc w:val="right"/>
              <w:ind w:right="80"/>
              <w:spacing w:after="0"/>
              <w:rPr>
                <w:sz w:val="20"/>
                <w:szCs w:val="20"/>
                <w:color w:val="auto"/>
              </w:rPr>
            </w:pPr>
            <w:r>
              <w:rPr>
                <w:rFonts w:ascii="Times New Roman" w:cs="Times New Roman" w:eastAsia="Times New Roman" w:hAnsi="Times New Roman"/>
                <w:sz w:val="14"/>
                <w:szCs w:val="14"/>
                <w:color w:val="auto"/>
              </w:rPr>
              <w:t>274.12</w:t>
            </w:r>
          </w:p>
        </w:tc>
        <w:tc>
          <w:tcPr>
            <w:tcW w:w="880" w:type="dxa"/>
            <w:vAlign w:val="bottom"/>
            <w:tcBorders>
              <w:bottom w:val="single" w:sz="8" w:color="CDE9F6"/>
            </w:tcBorders>
            <w:gridSpan w:val="2"/>
            <w:shd w:val="clear" w:color="auto" w:fill="CDE9F6"/>
          </w:tcPr>
          <w:p>
            <w:pPr>
              <w:jc w:val="right"/>
              <w:ind w:right="80"/>
              <w:spacing w:after="0"/>
              <w:rPr>
                <w:sz w:val="20"/>
                <w:szCs w:val="20"/>
                <w:color w:val="auto"/>
              </w:rPr>
            </w:pPr>
            <w:r>
              <w:rPr>
                <w:rFonts w:ascii="Times New Roman" w:cs="Times New Roman" w:eastAsia="Times New Roman" w:hAnsi="Times New Roman"/>
                <w:sz w:val="14"/>
                <w:szCs w:val="14"/>
                <w:color w:val="auto"/>
              </w:rPr>
              <w:t>221.06</w:t>
            </w:r>
          </w:p>
        </w:tc>
        <w:tc>
          <w:tcPr>
            <w:tcW w:w="900" w:type="dxa"/>
            <w:vAlign w:val="bottom"/>
            <w:tcBorders>
              <w:bottom w:val="single" w:sz="8" w:color="CDE9F6"/>
            </w:tcBorders>
            <w:gridSpan w:val="2"/>
            <w:shd w:val="clear" w:color="auto" w:fill="CDE9F6"/>
          </w:tcPr>
          <w:p>
            <w:pPr>
              <w:jc w:val="right"/>
              <w:ind w:right="80"/>
              <w:spacing w:after="0"/>
              <w:rPr>
                <w:sz w:val="20"/>
                <w:szCs w:val="20"/>
                <w:color w:val="auto"/>
              </w:rPr>
            </w:pPr>
            <w:r>
              <w:rPr>
                <w:rFonts w:ascii="Times New Roman" w:cs="Times New Roman" w:eastAsia="Times New Roman" w:hAnsi="Times New Roman"/>
                <w:sz w:val="14"/>
                <w:szCs w:val="14"/>
                <w:color w:val="auto"/>
                <w:w w:val="99"/>
              </w:rPr>
              <w:t>1,147,780,499</w:t>
            </w:r>
          </w:p>
        </w:tc>
        <w:tc>
          <w:tcPr>
            <w:tcW w:w="880" w:type="dxa"/>
            <w:vAlign w:val="bottom"/>
            <w:tcBorders>
              <w:bottom w:val="single" w:sz="8" w:color="CDE9F6"/>
            </w:tcBorders>
            <w:shd w:val="clear" w:color="auto" w:fill="CDE9F6"/>
          </w:tcPr>
          <w:p>
            <w:pPr>
              <w:ind w:left="80"/>
              <w:spacing w:after="0"/>
              <w:rPr>
                <w:sz w:val="20"/>
                <w:szCs w:val="20"/>
                <w:color w:val="auto"/>
              </w:rPr>
            </w:pPr>
            <w:r>
              <w:rPr>
                <w:rFonts w:ascii="Times New Roman" w:cs="Times New Roman" w:eastAsia="Times New Roman" w:hAnsi="Times New Roman"/>
                <w:sz w:val="14"/>
                <w:szCs w:val="14"/>
                <w:color w:val="auto"/>
                <w:w w:val="96"/>
              </w:rPr>
              <w:t>5,304,835,490</w:t>
            </w:r>
          </w:p>
        </w:tc>
        <w:tc>
          <w:tcPr>
            <w:tcW w:w="0" w:type="dxa"/>
            <w:vAlign w:val="bottom"/>
          </w:tcPr>
          <w:p>
            <w:pPr>
              <w:spacing w:after="0"/>
              <w:rPr>
                <w:sz w:val="1"/>
                <w:szCs w:val="1"/>
                <w:color w:val="auto"/>
              </w:rPr>
            </w:pPr>
          </w:p>
        </w:tc>
      </w:tr>
      <w:tr>
        <w:trPr>
          <w:trHeight w:val="252"/>
        </w:trPr>
        <w:tc>
          <w:tcPr>
            <w:tcW w:w="4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21"/>
                <w:szCs w:val="21"/>
                <w:color w:val="auto"/>
              </w:rPr>
            </w:pPr>
          </w:p>
        </w:tc>
        <w:tc>
          <w:tcPr>
            <w:tcW w:w="880" w:type="dxa"/>
            <w:vAlign w:val="bottom"/>
          </w:tcPr>
          <w:p>
            <w:pPr>
              <w:ind w:left="260"/>
              <w:spacing w:after="0"/>
              <w:rPr>
                <w:sz w:val="20"/>
                <w:szCs w:val="20"/>
                <w:color w:val="auto"/>
              </w:rPr>
            </w:pPr>
            <w:r>
              <w:rPr>
                <w:rFonts w:ascii="Times New Roman" w:cs="Times New Roman" w:eastAsia="Times New Roman" w:hAnsi="Times New Roman"/>
                <w:sz w:val="14"/>
                <w:szCs w:val="14"/>
                <w:color w:val="auto"/>
                <w:w w:val="95"/>
              </w:rPr>
              <w:t>14,200,453</w:t>
            </w:r>
          </w:p>
        </w:tc>
        <w:tc>
          <w:tcPr>
            <w:tcW w:w="60" w:type="dxa"/>
            <w:vAlign w:val="bottom"/>
          </w:tcPr>
          <w:p>
            <w:pPr>
              <w:spacing w:after="0"/>
              <w:rPr>
                <w:sz w:val="21"/>
                <w:szCs w:val="21"/>
                <w:color w:val="auto"/>
              </w:rPr>
            </w:pPr>
          </w:p>
        </w:tc>
        <w:tc>
          <w:tcPr>
            <w:tcW w:w="900" w:type="dxa"/>
            <w:vAlign w:val="bottom"/>
            <w:gridSpan w:val="2"/>
          </w:tcPr>
          <w:p>
            <w:pPr>
              <w:jc w:val="right"/>
              <w:ind w:right="22"/>
              <w:spacing w:after="0"/>
              <w:rPr>
                <w:sz w:val="20"/>
                <w:szCs w:val="20"/>
                <w:color w:val="auto"/>
              </w:rPr>
            </w:pPr>
            <w:r>
              <w:rPr>
                <w:rFonts w:ascii="Times New Roman" w:cs="Times New Roman" w:eastAsia="Times New Roman" w:hAnsi="Times New Roman"/>
                <w:sz w:val="14"/>
                <w:szCs w:val="14"/>
                <w:color w:val="auto"/>
              </w:rPr>
              <w:t>(15,190,085)</w:t>
            </w:r>
          </w:p>
        </w:tc>
        <w:tc>
          <w:tcPr>
            <w:tcW w:w="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4,532,172</w:t>
            </w:r>
          </w:p>
        </w:tc>
        <w:tc>
          <w:tcPr>
            <w:tcW w:w="10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Times New Roman" w:cs="Times New Roman" w:eastAsia="Times New Roman" w:hAnsi="Times New Roman"/>
                <w:sz w:val="14"/>
                <w:szCs w:val="14"/>
                <w:color w:val="auto"/>
              </w:rPr>
              <w:t>(4,867,322)</w:t>
            </w:r>
          </w:p>
        </w:tc>
        <w:tc>
          <w:tcPr>
            <w:tcW w:w="80" w:type="dxa"/>
            <w:vAlign w:val="bottom"/>
          </w:tcPr>
          <w:p>
            <w:pPr>
              <w:spacing w:after="0"/>
              <w:rPr>
                <w:sz w:val="21"/>
                <w:szCs w:val="21"/>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228.97</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132.79</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857,302,079</w:t>
            </w:r>
          </w:p>
        </w:tc>
        <w:tc>
          <w:tcPr>
            <w:tcW w:w="880" w:type="dxa"/>
            <w:vAlign w:val="bottom"/>
          </w:tcPr>
          <w:p>
            <w:pPr>
              <w:ind w:left="80"/>
              <w:spacing w:after="0"/>
              <w:rPr>
                <w:sz w:val="20"/>
                <w:szCs w:val="20"/>
                <w:color w:val="auto"/>
              </w:rPr>
            </w:pPr>
            <w:r>
              <w:rPr>
                <w:rFonts w:ascii="Times New Roman" w:cs="Times New Roman" w:eastAsia="Times New Roman" w:hAnsi="Times New Roman"/>
                <w:sz w:val="14"/>
                <w:szCs w:val="14"/>
                <w:color w:val="auto"/>
                <w:w w:val="96"/>
              </w:rPr>
              <w:t>4,417,356,061</w:t>
            </w:r>
          </w:p>
        </w:tc>
        <w:tc>
          <w:tcPr>
            <w:tcW w:w="0" w:type="dxa"/>
            <w:vAlign w:val="bottom"/>
          </w:tcPr>
          <w:p>
            <w:pPr>
              <w:spacing w:after="0"/>
              <w:rPr>
                <w:sz w:val="1"/>
                <w:szCs w:val="1"/>
                <w:color w:val="auto"/>
              </w:rPr>
            </w:pPr>
          </w:p>
        </w:tc>
      </w:tr>
      <w:tr>
        <w:trPr>
          <w:trHeight w:val="23"/>
        </w:trPr>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2"/>
        </w:trPr>
        <w:tc>
          <w:tcPr>
            <w:tcW w:w="480" w:type="dxa"/>
            <w:vAlign w:val="bottom"/>
            <w:shd w:val="clear" w:color="auto" w:fill="CDE9F6"/>
          </w:tcPr>
          <w:p>
            <w:pPr>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shd w:val="clear" w:color="auto" w:fill="CDE9F6"/>
          </w:tcPr>
          <w:p>
            <w:pPr>
              <w:spacing w:after="0"/>
              <w:rPr>
                <w:sz w:val="21"/>
                <w:szCs w:val="21"/>
                <w:color w:val="auto"/>
              </w:rPr>
            </w:pPr>
          </w:p>
        </w:tc>
        <w:tc>
          <w:tcPr>
            <w:tcW w:w="940" w:type="dxa"/>
            <w:vAlign w:val="bottom"/>
            <w:gridSpan w:val="2"/>
            <w:shd w:val="clear" w:color="auto" w:fill="CDE9F6"/>
          </w:tcPr>
          <w:p>
            <w:pPr>
              <w:ind w:left="260"/>
              <w:spacing w:after="0"/>
              <w:rPr>
                <w:sz w:val="20"/>
                <w:szCs w:val="20"/>
                <w:color w:val="auto"/>
              </w:rPr>
            </w:pPr>
            <w:r>
              <w:rPr>
                <w:rFonts w:ascii="Times New Roman" w:cs="Times New Roman" w:eastAsia="Times New Roman" w:hAnsi="Times New Roman"/>
                <w:sz w:val="14"/>
                <w:szCs w:val="14"/>
                <w:color w:val="auto"/>
              </w:rPr>
              <w:t>14,203,211</w:t>
            </w:r>
          </w:p>
        </w:tc>
        <w:tc>
          <w:tcPr>
            <w:tcW w:w="900" w:type="dxa"/>
            <w:vAlign w:val="bottom"/>
            <w:gridSpan w:val="2"/>
            <w:shd w:val="clear" w:color="auto" w:fill="CDE9F6"/>
          </w:tcPr>
          <w:p>
            <w:pPr>
              <w:jc w:val="right"/>
              <w:ind w:right="62"/>
              <w:spacing w:after="0"/>
              <w:rPr>
                <w:sz w:val="20"/>
                <w:szCs w:val="20"/>
                <w:color w:val="auto"/>
              </w:rPr>
            </w:pPr>
            <w:r>
              <w:rPr>
                <w:rFonts w:ascii="Times New Roman" w:cs="Times New Roman" w:eastAsia="Times New Roman" w:hAnsi="Times New Roman"/>
                <w:sz w:val="14"/>
                <w:szCs w:val="14"/>
                <w:color w:val="auto"/>
              </w:rPr>
              <w:t>84,745,190</w:t>
            </w:r>
          </w:p>
        </w:tc>
        <w:tc>
          <w:tcPr>
            <w:tcW w:w="80" w:type="dxa"/>
            <w:vAlign w:val="bottom"/>
            <w:shd w:val="clear" w:color="auto" w:fill="CDE9F6"/>
          </w:tcPr>
          <w:p>
            <w:pPr>
              <w:spacing w:after="0"/>
              <w:rPr>
                <w:sz w:val="21"/>
                <w:szCs w:val="21"/>
                <w:color w:val="auto"/>
              </w:rPr>
            </w:pPr>
          </w:p>
        </w:tc>
        <w:tc>
          <w:tcPr>
            <w:tcW w:w="860" w:type="dxa"/>
            <w:vAlign w:val="bottom"/>
            <w:shd w:val="clear" w:color="auto" w:fill="CDE9F6"/>
          </w:tcPr>
          <w:p>
            <w:pPr>
              <w:jc w:val="right"/>
              <w:spacing w:after="0"/>
              <w:rPr>
                <w:sz w:val="20"/>
                <w:szCs w:val="20"/>
                <w:color w:val="auto"/>
              </w:rPr>
            </w:pPr>
            <w:r>
              <w:rPr>
                <w:rFonts w:ascii="Times New Roman" w:cs="Times New Roman" w:eastAsia="Times New Roman" w:hAnsi="Times New Roman"/>
                <w:sz w:val="14"/>
                <w:szCs w:val="14"/>
                <w:color w:val="auto"/>
              </w:rPr>
              <w:t>4,867,616</w:t>
            </w:r>
          </w:p>
        </w:tc>
        <w:tc>
          <w:tcPr>
            <w:tcW w:w="100" w:type="dxa"/>
            <w:vAlign w:val="bottom"/>
            <w:shd w:val="clear" w:color="auto" w:fill="CDE9F6"/>
          </w:tcPr>
          <w:p>
            <w:pPr>
              <w:spacing w:after="0"/>
              <w:rPr>
                <w:sz w:val="21"/>
                <w:szCs w:val="21"/>
                <w:color w:val="auto"/>
              </w:rPr>
            </w:pPr>
          </w:p>
        </w:tc>
        <w:tc>
          <w:tcPr>
            <w:tcW w:w="860" w:type="dxa"/>
            <w:vAlign w:val="bottom"/>
            <w:shd w:val="clear" w:color="auto" w:fill="CDE9F6"/>
          </w:tcPr>
          <w:p>
            <w:pPr>
              <w:jc w:val="right"/>
              <w:ind w:right="54"/>
              <w:spacing w:after="0"/>
              <w:rPr>
                <w:sz w:val="20"/>
                <w:szCs w:val="20"/>
                <w:color w:val="auto"/>
              </w:rPr>
            </w:pPr>
            <w:r>
              <w:rPr>
                <w:rFonts w:ascii="Times New Roman" w:cs="Times New Roman" w:eastAsia="Times New Roman" w:hAnsi="Times New Roman"/>
                <w:sz w:val="14"/>
                <w:szCs w:val="14"/>
                <w:color w:val="auto"/>
              </w:rPr>
              <w:t>27,685,473</w:t>
            </w:r>
          </w:p>
        </w:tc>
        <w:tc>
          <w:tcPr>
            <w:tcW w:w="80" w:type="dxa"/>
            <w:vAlign w:val="bottom"/>
            <w:shd w:val="clear" w:color="auto" w:fill="CDE9F6"/>
          </w:tcPr>
          <w:p>
            <w:pPr>
              <w:spacing w:after="0"/>
              <w:rPr>
                <w:sz w:val="21"/>
                <w:szCs w:val="21"/>
                <w:color w:val="auto"/>
              </w:rPr>
            </w:pPr>
          </w:p>
        </w:tc>
        <w:tc>
          <w:tcPr>
            <w:tcW w:w="820" w:type="dxa"/>
            <w:vAlign w:val="bottom"/>
            <w:gridSpan w:val="2"/>
            <w:shd w:val="clear" w:color="auto" w:fill="CDE9F6"/>
          </w:tcPr>
          <w:p>
            <w:pPr>
              <w:jc w:val="right"/>
              <w:ind w:right="80"/>
              <w:spacing w:after="0"/>
              <w:rPr>
                <w:sz w:val="20"/>
                <w:szCs w:val="20"/>
                <w:color w:val="auto"/>
              </w:rPr>
            </w:pPr>
            <w:r>
              <w:rPr>
                <w:rFonts w:ascii="Times New Roman" w:cs="Times New Roman" w:eastAsia="Times New Roman" w:hAnsi="Times New Roman"/>
                <w:sz w:val="14"/>
                <w:szCs w:val="14"/>
                <w:color w:val="auto"/>
              </w:rPr>
              <w:t>336.64</w:t>
            </w:r>
          </w:p>
        </w:tc>
        <w:tc>
          <w:tcPr>
            <w:tcW w:w="880" w:type="dxa"/>
            <w:vAlign w:val="bottom"/>
            <w:gridSpan w:val="2"/>
            <w:shd w:val="clear" w:color="auto" w:fill="CDE9F6"/>
          </w:tcPr>
          <w:p>
            <w:pPr>
              <w:jc w:val="right"/>
              <w:ind w:right="80"/>
              <w:spacing w:after="0"/>
              <w:rPr>
                <w:sz w:val="20"/>
                <w:szCs w:val="20"/>
                <w:color w:val="auto"/>
              </w:rPr>
            </w:pPr>
            <w:r>
              <w:rPr>
                <w:rFonts w:ascii="Times New Roman" w:cs="Times New Roman" w:eastAsia="Times New Roman" w:hAnsi="Times New Roman"/>
                <w:sz w:val="14"/>
                <w:szCs w:val="14"/>
                <w:color w:val="auto"/>
              </w:rPr>
              <w:t>206.76</w:t>
            </w:r>
          </w:p>
        </w:tc>
        <w:tc>
          <w:tcPr>
            <w:tcW w:w="900" w:type="dxa"/>
            <w:vAlign w:val="bottom"/>
            <w:gridSpan w:val="2"/>
            <w:shd w:val="clear" w:color="auto" w:fill="CDE9F6"/>
          </w:tcPr>
          <w:p>
            <w:pPr>
              <w:jc w:val="right"/>
              <w:ind w:right="80"/>
              <w:spacing w:after="0"/>
              <w:rPr>
                <w:sz w:val="20"/>
                <w:szCs w:val="20"/>
                <w:color w:val="auto"/>
              </w:rPr>
            </w:pPr>
            <w:r>
              <w:rPr>
                <w:rFonts w:ascii="Times New Roman" w:cs="Times New Roman" w:eastAsia="Times New Roman" w:hAnsi="Times New Roman"/>
                <w:sz w:val="14"/>
                <w:szCs w:val="14"/>
                <w:color w:val="auto"/>
              </w:rPr>
              <w:t>606,792,011</w:t>
            </w:r>
          </w:p>
        </w:tc>
        <w:tc>
          <w:tcPr>
            <w:tcW w:w="880" w:type="dxa"/>
            <w:vAlign w:val="bottom"/>
            <w:shd w:val="clear" w:color="auto" w:fill="CDE9F6"/>
          </w:tcPr>
          <w:p>
            <w:pPr>
              <w:ind w:left="80"/>
              <w:spacing w:after="0"/>
              <w:rPr>
                <w:sz w:val="20"/>
                <w:szCs w:val="20"/>
                <w:color w:val="auto"/>
              </w:rPr>
            </w:pPr>
            <w:r>
              <w:rPr>
                <w:rFonts w:ascii="Times New Roman" w:cs="Times New Roman" w:eastAsia="Times New Roman" w:hAnsi="Times New Roman"/>
                <w:sz w:val="14"/>
                <w:szCs w:val="14"/>
                <w:color w:val="auto"/>
                <w:w w:val="96"/>
              </w:rPr>
              <w:t>3,342,217,533</w:t>
            </w:r>
          </w:p>
        </w:tc>
        <w:tc>
          <w:tcPr>
            <w:tcW w:w="0" w:type="dxa"/>
            <w:vAlign w:val="bottom"/>
          </w:tcPr>
          <w:p>
            <w:pPr>
              <w:spacing w:after="0"/>
              <w:rPr>
                <w:sz w:val="1"/>
                <w:szCs w:val="1"/>
                <w:color w:val="auto"/>
              </w:rPr>
            </w:pPr>
          </w:p>
        </w:tc>
      </w:tr>
      <w:tr>
        <w:trPr>
          <w:trHeight w:val="23"/>
        </w:trPr>
        <w:tc>
          <w:tcPr>
            <w:tcW w:w="480" w:type="dxa"/>
            <w:vAlign w:val="bottom"/>
            <w:shd w:val="clear" w:color="auto" w:fill="CDE9F6"/>
          </w:tcPr>
          <w:p>
            <w:pPr>
              <w:spacing w:after="0"/>
              <w:rPr>
                <w:sz w:val="2"/>
                <w:szCs w:val="2"/>
                <w:color w:val="auto"/>
              </w:rPr>
            </w:pPr>
          </w:p>
        </w:tc>
        <w:tc>
          <w:tcPr>
            <w:tcW w:w="80" w:type="dxa"/>
            <w:vAlign w:val="bottom"/>
            <w:shd w:val="clear" w:color="auto" w:fill="CDE9F6"/>
          </w:tcPr>
          <w:p>
            <w:pPr>
              <w:spacing w:after="0"/>
              <w:rPr>
                <w:sz w:val="2"/>
                <w:szCs w:val="2"/>
                <w:color w:val="auto"/>
              </w:rPr>
            </w:pPr>
          </w:p>
        </w:tc>
        <w:tc>
          <w:tcPr>
            <w:tcW w:w="880" w:type="dxa"/>
            <w:vAlign w:val="bottom"/>
            <w:shd w:val="clear" w:color="auto" w:fill="CDE9F6"/>
          </w:tcPr>
          <w:p>
            <w:pPr>
              <w:spacing w:after="0"/>
              <w:rPr>
                <w:sz w:val="2"/>
                <w:szCs w:val="2"/>
                <w:color w:val="auto"/>
              </w:rPr>
            </w:pPr>
          </w:p>
        </w:tc>
        <w:tc>
          <w:tcPr>
            <w:tcW w:w="60" w:type="dxa"/>
            <w:vAlign w:val="bottom"/>
            <w:shd w:val="clear" w:color="auto" w:fill="CDE9F6"/>
          </w:tcPr>
          <w:p>
            <w:pPr>
              <w:spacing w:after="0"/>
              <w:rPr>
                <w:sz w:val="2"/>
                <w:szCs w:val="2"/>
                <w:color w:val="auto"/>
              </w:rPr>
            </w:pPr>
          </w:p>
        </w:tc>
        <w:tc>
          <w:tcPr>
            <w:tcW w:w="40" w:type="dxa"/>
            <w:vAlign w:val="bottom"/>
            <w:shd w:val="clear" w:color="auto" w:fill="CDE9F6"/>
          </w:tcPr>
          <w:p>
            <w:pPr>
              <w:spacing w:after="0"/>
              <w:rPr>
                <w:sz w:val="2"/>
                <w:szCs w:val="2"/>
                <w:color w:val="auto"/>
              </w:rPr>
            </w:pPr>
          </w:p>
        </w:tc>
        <w:tc>
          <w:tcPr>
            <w:tcW w:w="860" w:type="dxa"/>
            <w:vAlign w:val="bottom"/>
            <w:shd w:val="clear" w:color="auto" w:fill="CDE9F6"/>
          </w:tcPr>
          <w:p>
            <w:pPr>
              <w:spacing w:after="0"/>
              <w:rPr>
                <w:sz w:val="2"/>
                <w:szCs w:val="2"/>
                <w:color w:val="auto"/>
              </w:rPr>
            </w:pPr>
          </w:p>
        </w:tc>
        <w:tc>
          <w:tcPr>
            <w:tcW w:w="80" w:type="dxa"/>
            <w:vAlign w:val="bottom"/>
            <w:shd w:val="clear" w:color="auto" w:fill="CDE9F6"/>
          </w:tcPr>
          <w:p>
            <w:pPr>
              <w:spacing w:after="0"/>
              <w:rPr>
                <w:sz w:val="2"/>
                <w:szCs w:val="2"/>
                <w:color w:val="auto"/>
              </w:rPr>
            </w:pPr>
          </w:p>
        </w:tc>
        <w:tc>
          <w:tcPr>
            <w:tcW w:w="860" w:type="dxa"/>
            <w:vAlign w:val="bottom"/>
            <w:shd w:val="clear" w:color="auto" w:fill="CDE9F6"/>
          </w:tcPr>
          <w:p>
            <w:pPr>
              <w:spacing w:after="0"/>
              <w:rPr>
                <w:sz w:val="2"/>
                <w:szCs w:val="2"/>
                <w:color w:val="auto"/>
              </w:rPr>
            </w:pPr>
          </w:p>
        </w:tc>
        <w:tc>
          <w:tcPr>
            <w:tcW w:w="100" w:type="dxa"/>
            <w:vAlign w:val="bottom"/>
            <w:shd w:val="clear" w:color="auto" w:fill="CDE9F6"/>
          </w:tcPr>
          <w:p>
            <w:pPr>
              <w:spacing w:after="0"/>
              <w:rPr>
                <w:sz w:val="2"/>
                <w:szCs w:val="2"/>
                <w:color w:val="auto"/>
              </w:rPr>
            </w:pPr>
          </w:p>
        </w:tc>
        <w:tc>
          <w:tcPr>
            <w:tcW w:w="860" w:type="dxa"/>
            <w:vAlign w:val="bottom"/>
            <w:shd w:val="clear" w:color="auto" w:fill="CDE9F6"/>
          </w:tcPr>
          <w:p>
            <w:pPr>
              <w:spacing w:after="0"/>
              <w:rPr>
                <w:sz w:val="2"/>
                <w:szCs w:val="2"/>
                <w:color w:val="auto"/>
              </w:rPr>
            </w:pPr>
          </w:p>
        </w:tc>
        <w:tc>
          <w:tcPr>
            <w:tcW w:w="80" w:type="dxa"/>
            <w:vAlign w:val="bottom"/>
            <w:shd w:val="clear" w:color="auto" w:fill="CDE9F6"/>
          </w:tcPr>
          <w:p>
            <w:pPr>
              <w:spacing w:after="0"/>
              <w:rPr>
                <w:sz w:val="2"/>
                <w:szCs w:val="2"/>
                <w:color w:val="auto"/>
              </w:rPr>
            </w:pPr>
          </w:p>
        </w:tc>
        <w:tc>
          <w:tcPr>
            <w:tcW w:w="740" w:type="dxa"/>
            <w:vAlign w:val="bottom"/>
            <w:shd w:val="clear" w:color="auto" w:fill="CDE9F6"/>
          </w:tcPr>
          <w:p>
            <w:pPr>
              <w:spacing w:after="0"/>
              <w:rPr>
                <w:sz w:val="2"/>
                <w:szCs w:val="2"/>
                <w:color w:val="auto"/>
              </w:rPr>
            </w:pPr>
          </w:p>
        </w:tc>
        <w:tc>
          <w:tcPr>
            <w:tcW w:w="80" w:type="dxa"/>
            <w:vAlign w:val="bottom"/>
            <w:shd w:val="clear" w:color="auto" w:fill="CDE9F6"/>
          </w:tcPr>
          <w:p>
            <w:pPr>
              <w:spacing w:after="0"/>
              <w:rPr>
                <w:sz w:val="2"/>
                <w:szCs w:val="2"/>
                <w:color w:val="auto"/>
              </w:rPr>
            </w:pPr>
          </w:p>
        </w:tc>
        <w:tc>
          <w:tcPr>
            <w:tcW w:w="800" w:type="dxa"/>
            <w:vAlign w:val="bottom"/>
            <w:shd w:val="clear" w:color="auto" w:fill="CDE9F6"/>
          </w:tcPr>
          <w:p>
            <w:pPr>
              <w:spacing w:after="0"/>
              <w:rPr>
                <w:sz w:val="2"/>
                <w:szCs w:val="2"/>
                <w:color w:val="auto"/>
              </w:rPr>
            </w:pPr>
          </w:p>
        </w:tc>
        <w:tc>
          <w:tcPr>
            <w:tcW w:w="80" w:type="dxa"/>
            <w:vAlign w:val="bottom"/>
            <w:shd w:val="clear" w:color="auto" w:fill="CDE9F6"/>
          </w:tcPr>
          <w:p>
            <w:pPr>
              <w:spacing w:after="0"/>
              <w:rPr>
                <w:sz w:val="2"/>
                <w:szCs w:val="2"/>
                <w:color w:val="auto"/>
              </w:rPr>
            </w:pPr>
          </w:p>
        </w:tc>
        <w:tc>
          <w:tcPr>
            <w:tcW w:w="820" w:type="dxa"/>
            <w:vAlign w:val="bottom"/>
            <w:shd w:val="clear" w:color="auto" w:fill="CDE9F6"/>
          </w:tcPr>
          <w:p>
            <w:pPr>
              <w:spacing w:after="0"/>
              <w:rPr>
                <w:sz w:val="2"/>
                <w:szCs w:val="2"/>
                <w:color w:val="auto"/>
              </w:rPr>
            </w:pPr>
          </w:p>
        </w:tc>
        <w:tc>
          <w:tcPr>
            <w:tcW w:w="80" w:type="dxa"/>
            <w:vAlign w:val="bottom"/>
            <w:shd w:val="clear" w:color="auto" w:fill="CDE9F6"/>
          </w:tcPr>
          <w:p>
            <w:pPr>
              <w:spacing w:after="0"/>
              <w:rPr>
                <w:sz w:val="2"/>
                <w:szCs w:val="2"/>
                <w:color w:val="auto"/>
              </w:rPr>
            </w:pPr>
          </w:p>
        </w:tc>
        <w:tc>
          <w:tcPr>
            <w:tcW w:w="880" w:type="dxa"/>
            <w:vAlign w:val="bottom"/>
            <w:shd w:val="clear" w:color="auto" w:fill="CDE9F6"/>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________________________</w:t>
      </w:r>
    </w:p>
    <w:p>
      <w:pPr>
        <w:spacing w:after="0" w:line="87" w:lineRule="exact"/>
        <w:rPr>
          <w:sz w:val="20"/>
          <w:szCs w:val="20"/>
          <w:color w:val="auto"/>
        </w:rPr>
      </w:pPr>
    </w:p>
    <w:p>
      <w:pPr>
        <w:ind w:left="920" w:right="659" w:hanging="346"/>
        <w:spacing w:after="0" w:line="276" w:lineRule="auto"/>
        <w:tabs>
          <w:tab w:leader="none" w:pos="905"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dollar amounts reported in column (b) are the amounts of total compensation reported for our PEO for each corresponding year in the “Total” column of the Summary Compensation Table. Our PEO for fiscal years 2025, 2024, 2023, 2022 and 2021 was Ken Xie.</w:t>
      </w:r>
    </w:p>
    <w:p>
      <w:pPr>
        <w:spacing w:after="0" w:line="19" w:lineRule="exact"/>
        <w:rPr>
          <w:rFonts w:ascii="Times New Roman" w:cs="Times New Roman" w:eastAsia="Times New Roman" w:hAnsi="Times New Roman"/>
          <w:sz w:val="17"/>
          <w:szCs w:val="17"/>
          <w:color w:val="auto"/>
        </w:rPr>
      </w:pPr>
    </w:p>
    <w:p>
      <w:pPr>
        <w:ind w:left="920" w:right="659" w:hanging="346"/>
        <w:spacing w:after="0" w:line="276" w:lineRule="auto"/>
        <w:tabs>
          <w:tab w:leader="none" w:pos="905"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dollar amounts reported in column (c) represent the amount of “compensation actually paid” (which is sometimes referred to as the “CAP”) for our PEO for the corresponding fiscal year, as calculated in accordance with Item 402(v) of Regulation S-K and as further described below.</w:t>
      </w:r>
    </w:p>
    <w:p>
      <w:pPr>
        <w:spacing w:after="0" w:line="19" w:lineRule="exact"/>
        <w:rPr>
          <w:rFonts w:ascii="Times New Roman" w:cs="Times New Roman" w:eastAsia="Times New Roman" w:hAnsi="Times New Roman"/>
          <w:sz w:val="17"/>
          <w:szCs w:val="17"/>
          <w:color w:val="auto"/>
        </w:rPr>
      </w:pPr>
    </w:p>
    <w:p>
      <w:pPr>
        <w:ind w:left="920" w:right="619" w:hanging="346"/>
        <w:spacing w:after="0" w:line="265" w:lineRule="auto"/>
        <w:tabs>
          <w:tab w:leader="none" w:pos="905"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dollar amounts reported in column (d) represent the average of the amounts reported for our non-PEO NEOs as a group in the “Total” column of the Summary Compensation Table for the corresponding year. Our non-PEO NEOs included for purposes of such calculations are as follows: (i) for fiscal year 2025, Michael Xie, Christiane Ohlgart, Keith Jensen and John Whittle, (ii) 2024 and 2021, Michael Xie, Keith Jensen, and John Whittle; and (ii) for fiscal year 2023 and 2022, Michael Xie, Keith Jensen, Patrice Perche and John Whittle.</w:t>
      </w:r>
    </w:p>
    <w:p>
      <w:pPr>
        <w:spacing w:after="0" w:line="14" w:lineRule="exact"/>
        <w:rPr>
          <w:rFonts w:ascii="Times New Roman" w:cs="Times New Roman" w:eastAsia="Times New Roman" w:hAnsi="Times New Roman"/>
          <w:sz w:val="17"/>
          <w:szCs w:val="17"/>
          <w:color w:val="auto"/>
        </w:rPr>
      </w:pPr>
    </w:p>
    <w:p>
      <w:pPr>
        <w:ind w:left="920" w:right="759" w:hanging="346"/>
        <w:spacing w:after="0" w:line="296" w:lineRule="auto"/>
        <w:tabs>
          <w:tab w:leader="none" w:pos="905"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dollar amounts reported in column (e) represent the average amount of “compensation actually paid” to our non-PEO NEOs specified in footnote (3) as a group, as further described below.</w:t>
      </w:r>
    </w:p>
    <w:p>
      <w:pPr>
        <w:spacing w:after="0" w:line="2" w:lineRule="exact"/>
        <w:rPr>
          <w:rFonts w:ascii="Times New Roman" w:cs="Times New Roman" w:eastAsia="Times New Roman" w:hAnsi="Times New Roman"/>
          <w:sz w:val="17"/>
          <w:szCs w:val="17"/>
          <w:color w:val="auto"/>
        </w:rPr>
      </w:pPr>
    </w:p>
    <w:p>
      <w:pPr>
        <w:ind w:left="920" w:right="639" w:hanging="346"/>
        <w:spacing w:after="0" w:line="259" w:lineRule="auto"/>
        <w:tabs>
          <w:tab w:leader="none" w:pos="905"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calculation of “compensation actually paid” uses the “Total” compensation reported in the Summary Compensation Table for the applicable fiscal year, with certain adjustments (i.e., additions or subtractions) with respect to the fair value of equity awards. The equity award adjustments for each applicable year include the addition (or subtraction, as applicable) of the following: (i) the year-end fair value of any equity awards granted in the applicable year that are outstanding and unvested as of the end of the year; (ii) the amount of change as of the end of the applicable year (from the end of the prior fiscal year) in fair value of any awards granted in prior years that are outstanding and unvested as of the end of the applicable year; (iii) for awards that are granted and vest in the same applicable year, the fair value as of the vesting date; (iv) for awards granted in prior years that vest in the applicable year, the amount equal to the change as of the vesting date (from the end of the prior fiscal year) in fair value; (v) for awards granted in</w:t>
      </w:r>
    </w:p>
    <w:p>
      <w:pPr>
        <w:spacing w:after="0" w:line="4" w:lineRule="exact"/>
        <w:rPr>
          <w:rFonts w:ascii="Times New Roman" w:cs="Times New Roman" w:eastAsia="Times New Roman" w:hAnsi="Times New Roman"/>
          <w:sz w:val="17"/>
          <w:szCs w:val="17"/>
          <w:color w:val="auto"/>
        </w:rPr>
      </w:pPr>
    </w:p>
    <w:p>
      <w:pPr>
        <w:ind w:left="920" w:right="639"/>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prior years that are determined to fail to meet the applicable vesting conditions during the applicable year, a deduction for the amount equal to the fair value at the end of the prior fiscal year; and (vi) the dollar value of any dividends or other earnings paid on stock or option awards in the applicable year prior to the vesting date that are not otherwise reflected in the fair value of such award or included in any other component of total compensation for the applicable year. The methodology used to develop the valuation assumptions as of each applicable measurement date is consistent with those disclosed at the time of grant.</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7" w:name="page58"/>
    <w:bookmarkEnd w:id="57"/>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580" w:right="679" w:firstLine="349"/>
        <w:spacing w:after="0" w:line="276" w:lineRule="auto"/>
        <w:rPr>
          <w:sz w:val="20"/>
          <w:szCs w:val="20"/>
          <w:color w:val="auto"/>
        </w:rPr>
      </w:pPr>
      <w:r>
        <w:rPr>
          <w:rFonts w:ascii="Times New Roman" w:cs="Times New Roman" w:eastAsia="Times New Roman" w:hAnsi="Times New Roman"/>
          <w:sz w:val="17"/>
          <w:szCs w:val="17"/>
          <w:color w:val="auto"/>
        </w:rPr>
        <w:t>The following table provides reconciling information for the amounts reported in the Summary Compensation Table for our PEO for each of the years set forth below to the amount of “compensation actually paid.”</w:t>
      </w:r>
    </w:p>
    <w:p>
      <w:pPr>
        <w:spacing w:after="0" w:line="115"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Deductions of</w:t>
            </w:r>
          </w:p>
        </w:tc>
        <w:tc>
          <w:tcPr>
            <w:tcW w:w="12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Additions of</w:t>
            </w: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9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Year</w:t>
            </w:r>
          </w:p>
        </w:tc>
        <w:tc>
          <w:tcPr>
            <w:tcW w:w="124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SCT Total ($)</w:t>
            </w:r>
          </w:p>
        </w:tc>
        <w:tc>
          <w:tcPr>
            <w:tcW w:w="1260" w:type="dxa"/>
            <w:vAlign w:val="bottom"/>
            <w:gridSpan w:val="2"/>
          </w:tcPr>
          <w:p>
            <w:pPr>
              <w:ind w:left="40"/>
              <w:spacing w:after="0" w:line="144" w:lineRule="exact"/>
              <w:rPr>
                <w:sz w:val="20"/>
                <w:szCs w:val="20"/>
                <w:color w:val="auto"/>
              </w:rPr>
            </w:pPr>
            <w:r>
              <w:rPr>
                <w:rFonts w:ascii="Times New Roman" w:cs="Times New Roman" w:eastAsia="Times New Roman" w:hAnsi="Times New Roman"/>
                <w:sz w:val="14"/>
                <w:szCs w:val="14"/>
                <w:b w:val="1"/>
                <w:bCs w:val="1"/>
                <w:color w:val="auto"/>
              </w:rPr>
              <w:t>Equity Value from</w:t>
            </w:r>
          </w:p>
        </w:tc>
        <w:tc>
          <w:tcPr>
            <w:tcW w:w="1220" w:type="dxa"/>
            <w:vAlign w:val="bottom"/>
            <w:gridSpan w:val="2"/>
          </w:tcPr>
          <w:p>
            <w:pPr>
              <w:jc w:val="center"/>
              <w:ind w:right="80"/>
              <w:spacing w:after="0" w:line="144" w:lineRule="exact"/>
              <w:rPr>
                <w:sz w:val="20"/>
                <w:szCs w:val="20"/>
                <w:color w:val="auto"/>
              </w:rPr>
            </w:pPr>
            <w:r>
              <w:rPr>
                <w:rFonts w:ascii="Times New Roman" w:cs="Times New Roman" w:eastAsia="Times New Roman" w:hAnsi="Times New Roman"/>
                <w:sz w:val="14"/>
                <w:szCs w:val="14"/>
                <w:b w:val="1"/>
                <w:bCs w:val="1"/>
                <w:color w:val="auto"/>
                <w:w w:val="99"/>
              </w:rPr>
              <w:t>Equity Value to</w:t>
            </w:r>
          </w:p>
        </w:tc>
        <w:tc>
          <w:tcPr>
            <w:tcW w:w="1240" w:type="dxa"/>
            <w:vAlign w:val="bottom"/>
            <w:vMerge w:val="restart"/>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CAP ($)</w:t>
            </w:r>
          </w:p>
        </w:tc>
        <w:tc>
          <w:tcPr>
            <w:tcW w:w="0" w:type="dxa"/>
            <w:vAlign w:val="bottom"/>
          </w:tcPr>
          <w:p>
            <w:pPr>
              <w:spacing w:after="0"/>
              <w:rPr>
                <w:sz w:val="1"/>
                <w:szCs w:val="1"/>
                <w:color w:val="auto"/>
              </w:rPr>
            </w:pPr>
          </w:p>
        </w:tc>
      </w:tr>
      <w:tr>
        <w:trPr>
          <w:trHeight w:val="184"/>
        </w:trPr>
        <w:tc>
          <w:tcPr>
            <w:tcW w:w="2900" w:type="dxa"/>
            <w:vAlign w:val="bottom"/>
            <w:gridSpan w:val="2"/>
            <w:vMerge w:val="continue"/>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2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SCT Total ($)</w:t>
            </w:r>
          </w:p>
        </w:tc>
        <w:tc>
          <w:tcPr>
            <w:tcW w:w="12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SCT Total ($)</w:t>
            </w:r>
          </w:p>
        </w:tc>
        <w:tc>
          <w:tcPr>
            <w:tcW w:w="1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2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ind w:left="500"/>
              <w:spacing w:after="0"/>
              <w:rPr>
                <w:sz w:val="20"/>
                <w:szCs w:val="20"/>
                <w:color w:val="auto"/>
              </w:rPr>
            </w:pPr>
            <w:r>
              <w:rPr>
                <w:rFonts w:ascii="Times New Roman" w:cs="Times New Roman" w:eastAsia="Times New Roman" w:hAnsi="Times New Roman"/>
                <w:sz w:val="16"/>
                <w:szCs w:val="16"/>
                <w:b w:val="1"/>
                <w:bCs w:val="1"/>
                <w:color w:val="auto"/>
              </w:rPr>
              <w:t>(i)</w:t>
            </w:r>
          </w:p>
        </w:tc>
        <w:tc>
          <w:tcPr>
            <w:tcW w:w="12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1"/>
              </w:rPr>
              <w:t>(ii)</w:t>
            </w: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
        </w:trPr>
        <w:tc>
          <w:tcPr>
            <w:tcW w:w="2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5"/>
        </w:trPr>
        <w:tc>
          <w:tcPr>
            <w:tcW w:w="2800" w:type="dxa"/>
            <w:vAlign w:val="bottom"/>
            <w:tcBorders>
              <w:bottom w:val="single" w:sz="8" w:color="CDE9F6"/>
            </w:tcBorders>
            <w:shd w:val="clear" w:color="auto" w:fill="CDE9F6"/>
          </w:tcPr>
          <w:p>
            <w:pPr>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Borders>
              <w:bottom w:val="single" w:sz="8" w:color="CDE9F6"/>
            </w:tcBorders>
            <w:shd w:val="clear" w:color="auto" w:fill="CDE9F6"/>
          </w:tcPr>
          <w:p>
            <w:pPr>
              <w:spacing w:after="0"/>
              <w:rPr>
                <w:sz w:val="22"/>
                <w:szCs w:val="22"/>
                <w:color w:val="auto"/>
              </w:rPr>
            </w:pPr>
          </w:p>
        </w:tc>
        <w:tc>
          <w:tcPr>
            <w:tcW w:w="1240" w:type="dxa"/>
            <w:vAlign w:val="bottom"/>
            <w:tcBorders>
              <w:bottom w:val="single" w:sz="8" w:color="CDE9F6"/>
            </w:tcBorders>
            <w:gridSpan w:val="2"/>
            <w:shd w:val="clear" w:color="auto" w:fill="CDE9F6"/>
          </w:tcPr>
          <w:p>
            <w:pPr>
              <w:jc w:val="right"/>
              <w:ind w:right="100"/>
              <w:spacing w:after="0"/>
              <w:rPr>
                <w:sz w:val="20"/>
                <w:szCs w:val="20"/>
                <w:color w:val="auto"/>
              </w:rPr>
            </w:pPr>
            <w:r>
              <w:rPr>
                <w:rFonts w:ascii="Times New Roman" w:cs="Times New Roman" w:eastAsia="Times New Roman" w:hAnsi="Times New Roman"/>
                <w:sz w:val="17"/>
                <w:szCs w:val="17"/>
                <w:color w:val="auto"/>
              </w:rPr>
              <w:t>11,458,039</w:t>
            </w:r>
          </w:p>
        </w:tc>
        <w:tc>
          <w:tcPr>
            <w:tcW w:w="1160" w:type="dxa"/>
            <w:vAlign w:val="bottom"/>
            <w:tcBorders>
              <w:bottom w:val="single" w:sz="8" w:color="CDE9F6"/>
            </w:tcBorders>
            <w:shd w:val="clear" w:color="auto" w:fill="CDE9F6"/>
          </w:tcPr>
          <w:p>
            <w:pPr>
              <w:ind w:left="180"/>
              <w:spacing w:after="0"/>
              <w:rPr>
                <w:sz w:val="20"/>
                <w:szCs w:val="20"/>
                <w:color w:val="auto"/>
              </w:rPr>
            </w:pPr>
            <w:r>
              <w:rPr>
                <w:rFonts w:ascii="Times New Roman" w:cs="Times New Roman" w:eastAsia="Times New Roman" w:hAnsi="Times New Roman"/>
                <w:sz w:val="17"/>
                <w:szCs w:val="17"/>
                <w:color w:val="auto"/>
              </w:rPr>
              <w:t>(10,155,102)</w:t>
            </w:r>
          </w:p>
        </w:tc>
        <w:tc>
          <w:tcPr>
            <w:tcW w:w="100" w:type="dxa"/>
            <w:vAlign w:val="bottom"/>
            <w:tcBorders>
              <w:bottom w:val="single" w:sz="8" w:color="CDE9F6"/>
            </w:tcBorders>
            <w:shd w:val="clear" w:color="auto" w:fill="CDE9F6"/>
          </w:tcPr>
          <w:p>
            <w:pPr>
              <w:spacing w:after="0"/>
              <w:rPr>
                <w:sz w:val="22"/>
                <w:szCs w:val="22"/>
                <w:color w:val="auto"/>
              </w:rPr>
            </w:pPr>
          </w:p>
        </w:tc>
        <w:tc>
          <w:tcPr>
            <w:tcW w:w="1140" w:type="dxa"/>
            <w:vAlign w:val="bottom"/>
            <w:tcBorders>
              <w:bottom w:val="single" w:sz="8" w:color="CDE9F6"/>
            </w:tcBorders>
            <w:shd w:val="clear" w:color="auto" w:fill="CDE9F6"/>
          </w:tcPr>
          <w:p>
            <w:pPr>
              <w:jc w:val="right"/>
              <w:spacing w:after="0"/>
              <w:rPr>
                <w:sz w:val="20"/>
                <w:szCs w:val="20"/>
                <w:color w:val="auto"/>
              </w:rPr>
            </w:pPr>
            <w:r>
              <w:rPr>
                <w:rFonts w:ascii="Times New Roman" w:cs="Times New Roman" w:eastAsia="Times New Roman" w:hAnsi="Times New Roman"/>
                <w:sz w:val="17"/>
                <w:szCs w:val="17"/>
                <w:color w:val="auto"/>
              </w:rPr>
              <w:t>(157,824)</w:t>
            </w:r>
          </w:p>
        </w:tc>
        <w:tc>
          <w:tcPr>
            <w:tcW w:w="80" w:type="dxa"/>
            <w:vAlign w:val="bottom"/>
            <w:tcBorders>
              <w:bottom w:val="single" w:sz="8" w:color="CDE9F6"/>
            </w:tcBorders>
            <w:shd w:val="clear" w:color="auto" w:fill="CDE9F6"/>
          </w:tcPr>
          <w:p>
            <w:pPr>
              <w:spacing w:after="0"/>
              <w:rPr>
                <w:sz w:val="22"/>
                <w:szCs w:val="22"/>
                <w:color w:val="auto"/>
              </w:rPr>
            </w:pPr>
          </w:p>
        </w:tc>
        <w:tc>
          <w:tcPr>
            <w:tcW w:w="1240" w:type="dxa"/>
            <w:vAlign w:val="bottom"/>
            <w:tcBorders>
              <w:bottom w:val="single" w:sz="8" w:color="CDE9F6"/>
            </w:tcBorders>
            <w:shd w:val="clear" w:color="auto" w:fill="CDE9F6"/>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rPr>
              <w:t>1,145,113</w:t>
            </w:r>
          </w:p>
        </w:tc>
        <w:tc>
          <w:tcPr>
            <w:tcW w:w="0" w:type="dxa"/>
            <w:vAlign w:val="bottom"/>
          </w:tcPr>
          <w:p>
            <w:pPr>
              <w:spacing w:after="0"/>
              <w:rPr>
                <w:sz w:val="1"/>
                <w:szCs w:val="1"/>
                <w:color w:val="auto"/>
              </w:rPr>
            </w:pPr>
          </w:p>
        </w:tc>
      </w:tr>
      <w:tr>
        <w:trPr>
          <w:trHeight w:val="235"/>
        </w:trPr>
        <w:tc>
          <w:tcPr>
            <w:tcW w:w="28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13,143,289</w:t>
            </w:r>
          </w:p>
        </w:tc>
        <w:tc>
          <w:tcPr>
            <w:tcW w:w="11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(11,939,796)</w:t>
            </w:r>
          </w:p>
        </w:tc>
        <w:tc>
          <w:tcPr>
            <w:tcW w:w="100" w:type="dxa"/>
            <w:vAlign w:val="bottom"/>
          </w:tcPr>
          <w:p>
            <w:pPr>
              <w:spacing w:after="0"/>
              <w:rPr>
                <w:sz w:val="20"/>
                <w:szCs w:val="20"/>
                <w:color w:val="auto"/>
              </w:rPr>
            </w:pPr>
          </w:p>
        </w:tc>
        <w:tc>
          <w:tcPr>
            <w:tcW w:w="1140" w:type="dxa"/>
            <w:vAlign w:val="bottom"/>
          </w:tcPr>
          <w:p>
            <w:pPr>
              <w:jc w:val="right"/>
              <w:ind w:right="59"/>
              <w:spacing w:after="0"/>
              <w:rPr>
                <w:sz w:val="20"/>
                <w:szCs w:val="20"/>
                <w:color w:val="auto"/>
              </w:rPr>
            </w:pPr>
            <w:r>
              <w:rPr>
                <w:rFonts w:ascii="Times New Roman" w:cs="Times New Roman" w:eastAsia="Times New Roman" w:hAnsi="Times New Roman"/>
                <w:sz w:val="17"/>
                <w:szCs w:val="17"/>
                <w:color w:val="auto"/>
              </w:rPr>
              <w:t>36,513,444</w:t>
            </w:r>
          </w:p>
        </w:tc>
        <w:tc>
          <w:tcPr>
            <w:tcW w:w="80" w:type="dxa"/>
            <w:vAlign w:val="bottom"/>
          </w:tcPr>
          <w:p>
            <w:pPr>
              <w:spacing w:after="0"/>
              <w:rPr>
                <w:sz w:val="20"/>
                <w:szCs w:val="20"/>
                <w:color w:val="auto"/>
              </w:rPr>
            </w:pPr>
          </w:p>
        </w:tc>
        <w:tc>
          <w:tcPr>
            <w:tcW w:w="1240" w:type="dxa"/>
            <w:vAlign w:val="bottom"/>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rPr>
              <w:t>37,716,937</w:t>
            </w:r>
          </w:p>
        </w:tc>
        <w:tc>
          <w:tcPr>
            <w:tcW w:w="0" w:type="dxa"/>
            <w:vAlign w:val="bottom"/>
          </w:tcPr>
          <w:p>
            <w:pPr>
              <w:spacing w:after="0"/>
              <w:rPr>
                <w:sz w:val="1"/>
                <w:szCs w:val="1"/>
                <w:color w:val="auto"/>
              </w:rPr>
            </w:pPr>
          </w:p>
        </w:tc>
      </w:tr>
      <w:tr>
        <w:trPr>
          <w:trHeight w:val="40"/>
        </w:trPr>
        <w:tc>
          <w:tcPr>
            <w:tcW w:w="2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5"/>
        </w:trPr>
        <w:tc>
          <w:tcPr>
            <w:tcW w:w="2800" w:type="dxa"/>
            <w:vAlign w:val="bottom"/>
            <w:tcBorders>
              <w:bottom w:val="single" w:sz="8" w:color="CDE9F6"/>
            </w:tcBorders>
            <w:shd w:val="clear" w:color="auto" w:fill="CDE9F6"/>
          </w:tcPr>
          <w:p>
            <w:pPr>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Borders>
              <w:bottom w:val="single" w:sz="8" w:color="CDE9F6"/>
            </w:tcBorders>
            <w:shd w:val="clear" w:color="auto" w:fill="CDE9F6"/>
          </w:tcPr>
          <w:p>
            <w:pPr>
              <w:spacing w:after="0"/>
              <w:rPr>
                <w:sz w:val="22"/>
                <w:szCs w:val="22"/>
                <w:color w:val="auto"/>
              </w:rPr>
            </w:pPr>
          </w:p>
        </w:tc>
        <w:tc>
          <w:tcPr>
            <w:tcW w:w="1240" w:type="dxa"/>
            <w:vAlign w:val="bottom"/>
            <w:tcBorders>
              <w:bottom w:val="single" w:sz="8" w:color="CDE9F6"/>
            </w:tcBorders>
            <w:gridSpan w:val="2"/>
            <w:shd w:val="clear" w:color="auto" w:fill="CDE9F6"/>
          </w:tcPr>
          <w:p>
            <w:pPr>
              <w:jc w:val="right"/>
              <w:ind w:right="100"/>
              <w:spacing w:after="0"/>
              <w:rPr>
                <w:sz w:val="20"/>
                <w:szCs w:val="20"/>
                <w:color w:val="auto"/>
              </w:rPr>
            </w:pPr>
            <w:r>
              <w:rPr>
                <w:rFonts w:ascii="Times New Roman" w:cs="Times New Roman" w:eastAsia="Times New Roman" w:hAnsi="Times New Roman"/>
                <w:sz w:val="17"/>
                <w:szCs w:val="17"/>
                <w:color w:val="auto"/>
              </w:rPr>
              <w:t>16,301,613</w:t>
            </w:r>
          </w:p>
        </w:tc>
        <w:tc>
          <w:tcPr>
            <w:tcW w:w="1160" w:type="dxa"/>
            <w:vAlign w:val="bottom"/>
            <w:tcBorders>
              <w:bottom w:val="single" w:sz="8" w:color="CDE9F6"/>
            </w:tcBorders>
            <w:shd w:val="clear" w:color="auto" w:fill="CDE9F6"/>
          </w:tcPr>
          <w:p>
            <w:pPr>
              <w:ind w:left="180"/>
              <w:spacing w:after="0"/>
              <w:rPr>
                <w:sz w:val="20"/>
                <w:szCs w:val="20"/>
                <w:color w:val="auto"/>
              </w:rPr>
            </w:pPr>
            <w:r>
              <w:rPr>
                <w:rFonts w:ascii="Times New Roman" w:cs="Times New Roman" w:eastAsia="Times New Roman" w:hAnsi="Times New Roman"/>
                <w:sz w:val="17"/>
                <w:szCs w:val="17"/>
                <w:color w:val="auto"/>
              </w:rPr>
              <w:t>(15,081,692)</w:t>
            </w:r>
          </w:p>
        </w:tc>
        <w:tc>
          <w:tcPr>
            <w:tcW w:w="100" w:type="dxa"/>
            <w:vAlign w:val="bottom"/>
            <w:tcBorders>
              <w:bottom w:val="single" w:sz="8" w:color="CDE9F6"/>
            </w:tcBorders>
            <w:shd w:val="clear" w:color="auto" w:fill="CDE9F6"/>
          </w:tcPr>
          <w:p>
            <w:pPr>
              <w:spacing w:after="0"/>
              <w:rPr>
                <w:sz w:val="22"/>
                <w:szCs w:val="22"/>
                <w:color w:val="auto"/>
              </w:rPr>
            </w:pPr>
          </w:p>
        </w:tc>
        <w:tc>
          <w:tcPr>
            <w:tcW w:w="1140" w:type="dxa"/>
            <w:vAlign w:val="bottom"/>
            <w:tcBorders>
              <w:bottom w:val="single" w:sz="8" w:color="CDE9F6"/>
            </w:tcBorders>
            <w:shd w:val="clear" w:color="auto" w:fill="CDE9F6"/>
          </w:tcPr>
          <w:p>
            <w:pPr>
              <w:jc w:val="right"/>
              <w:ind w:right="59"/>
              <w:spacing w:after="0"/>
              <w:rPr>
                <w:sz w:val="20"/>
                <w:szCs w:val="20"/>
                <w:color w:val="auto"/>
              </w:rPr>
            </w:pPr>
            <w:r>
              <w:rPr>
                <w:rFonts w:ascii="Times New Roman" w:cs="Times New Roman" w:eastAsia="Times New Roman" w:hAnsi="Times New Roman"/>
                <w:sz w:val="17"/>
                <w:szCs w:val="17"/>
                <w:color w:val="auto"/>
              </w:rPr>
              <w:t>20,306,997</w:t>
            </w:r>
          </w:p>
        </w:tc>
        <w:tc>
          <w:tcPr>
            <w:tcW w:w="80" w:type="dxa"/>
            <w:vAlign w:val="bottom"/>
            <w:tcBorders>
              <w:bottom w:val="single" w:sz="8" w:color="CDE9F6"/>
            </w:tcBorders>
            <w:shd w:val="clear" w:color="auto" w:fill="CDE9F6"/>
          </w:tcPr>
          <w:p>
            <w:pPr>
              <w:spacing w:after="0"/>
              <w:rPr>
                <w:sz w:val="22"/>
                <w:szCs w:val="22"/>
                <w:color w:val="auto"/>
              </w:rPr>
            </w:pPr>
          </w:p>
        </w:tc>
        <w:tc>
          <w:tcPr>
            <w:tcW w:w="1240" w:type="dxa"/>
            <w:vAlign w:val="bottom"/>
            <w:tcBorders>
              <w:bottom w:val="single" w:sz="8" w:color="CDE9F6"/>
            </w:tcBorders>
            <w:shd w:val="clear" w:color="auto" w:fill="CDE9F6"/>
          </w:tcPr>
          <w:p>
            <w:pPr>
              <w:jc w:val="right"/>
              <w:spacing w:after="0"/>
              <w:rPr>
                <w:sz w:val="20"/>
                <w:szCs w:val="20"/>
                <w:color w:val="auto"/>
              </w:rPr>
            </w:pPr>
            <w:r>
              <w:rPr>
                <w:rFonts w:ascii="Times New Roman" w:cs="Times New Roman" w:eastAsia="Times New Roman" w:hAnsi="Times New Roman"/>
                <w:sz w:val="17"/>
                <w:szCs w:val="17"/>
                <w:b w:val="1"/>
                <w:bCs w:val="1"/>
                <w:color w:val="auto"/>
              </w:rPr>
              <w:t>(21,526,918</w:t>
            </w: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5"/>
        </w:trPr>
        <w:tc>
          <w:tcPr>
            <w:tcW w:w="28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14,200,453</w:t>
            </w:r>
          </w:p>
        </w:tc>
        <w:tc>
          <w:tcPr>
            <w:tcW w:w="11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(12,426,112)</w:t>
            </w: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(16,964,426)</w:t>
            </w:r>
          </w:p>
        </w:tc>
        <w:tc>
          <w:tcPr>
            <w:tcW w:w="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(15,190,085)</w:t>
            </w:r>
          </w:p>
        </w:tc>
        <w:tc>
          <w:tcPr>
            <w:tcW w:w="0" w:type="dxa"/>
            <w:vAlign w:val="bottom"/>
          </w:tcPr>
          <w:p>
            <w:pPr>
              <w:spacing w:after="0"/>
              <w:rPr>
                <w:sz w:val="1"/>
                <w:szCs w:val="1"/>
                <w:color w:val="auto"/>
              </w:rPr>
            </w:pPr>
          </w:p>
        </w:tc>
      </w:tr>
      <w:tr>
        <w:trPr>
          <w:trHeight w:val="40"/>
        </w:trPr>
        <w:tc>
          <w:tcPr>
            <w:tcW w:w="2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5"/>
        </w:trPr>
        <w:tc>
          <w:tcPr>
            <w:tcW w:w="2800" w:type="dxa"/>
            <w:vAlign w:val="bottom"/>
            <w:shd w:val="clear" w:color="auto" w:fill="CDE9F6"/>
          </w:tcPr>
          <w:p>
            <w:pPr>
              <w:spacing w:after="0"/>
              <w:rPr>
                <w:sz w:val="20"/>
                <w:szCs w:val="20"/>
                <w:color w:val="auto"/>
              </w:rPr>
            </w:pPr>
            <w:r>
              <w:rPr>
                <w:rFonts w:ascii="Times New Roman" w:cs="Times New Roman" w:eastAsia="Times New Roman" w:hAnsi="Times New Roman"/>
                <w:sz w:val="17"/>
                <w:szCs w:val="17"/>
                <w:b w:val="1"/>
                <w:bCs w:val="1"/>
                <w:color w:val="auto"/>
              </w:rPr>
              <w:t>2021</w:t>
            </w:r>
          </w:p>
        </w:tc>
        <w:tc>
          <w:tcPr>
            <w:tcW w:w="100" w:type="dxa"/>
            <w:vAlign w:val="bottom"/>
            <w:shd w:val="clear" w:color="auto" w:fill="CDE9F6"/>
          </w:tcPr>
          <w:p>
            <w:pPr>
              <w:spacing w:after="0"/>
              <w:rPr>
                <w:sz w:val="20"/>
                <w:szCs w:val="20"/>
                <w:color w:val="auto"/>
              </w:rPr>
            </w:pPr>
          </w:p>
        </w:tc>
        <w:tc>
          <w:tcPr>
            <w:tcW w:w="1240" w:type="dxa"/>
            <w:vAlign w:val="bottom"/>
            <w:gridSpan w:val="2"/>
            <w:shd w:val="clear" w:color="auto" w:fill="CDE9F6"/>
          </w:tcPr>
          <w:p>
            <w:pPr>
              <w:jc w:val="right"/>
              <w:ind w:right="100"/>
              <w:spacing w:after="0"/>
              <w:rPr>
                <w:sz w:val="20"/>
                <w:szCs w:val="20"/>
                <w:color w:val="auto"/>
              </w:rPr>
            </w:pPr>
            <w:r>
              <w:rPr>
                <w:rFonts w:ascii="Times New Roman" w:cs="Times New Roman" w:eastAsia="Times New Roman" w:hAnsi="Times New Roman"/>
                <w:sz w:val="17"/>
                <w:szCs w:val="17"/>
                <w:color w:val="auto"/>
              </w:rPr>
              <w:t>14,203,211</w:t>
            </w:r>
          </w:p>
        </w:tc>
        <w:tc>
          <w:tcPr>
            <w:tcW w:w="1160" w:type="dxa"/>
            <w:vAlign w:val="bottom"/>
            <w:shd w:val="clear" w:color="auto" w:fill="CDE9F6"/>
          </w:tcPr>
          <w:p>
            <w:pPr>
              <w:ind w:left="180"/>
              <w:spacing w:after="0"/>
              <w:rPr>
                <w:sz w:val="20"/>
                <w:szCs w:val="20"/>
                <w:color w:val="auto"/>
              </w:rPr>
            </w:pPr>
            <w:r>
              <w:rPr>
                <w:rFonts w:ascii="Times New Roman" w:cs="Times New Roman" w:eastAsia="Times New Roman" w:hAnsi="Times New Roman"/>
                <w:sz w:val="17"/>
                <w:szCs w:val="17"/>
                <w:color w:val="auto"/>
              </w:rPr>
              <w:t>(12,381,260)</w:t>
            </w:r>
          </w:p>
        </w:tc>
        <w:tc>
          <w:tcPr>
            <w:tcW w:w="100" w:type="dxa"/>
            <w:vAlign w:val="bottom"/>
            <w:shd w:val="clear" w:color="auto" w:fill="CDE9F6"/>
          </w:tcPr>
          <w:p>
            <w:pPr>
              <w:spacing w:after="0"/>
              <w:rPr>
                <w:sz w:val="20"/>
                <w:szCs w:val="20"/>
                <w:color w:val="auto"/>
              </w:rPr>
            </w:pPr>
          </w:p>
        </w:tc>
        <w:tc>
          <w:tcPr>
            <w:tcW w:w="1140" w:type="dxa"/>
            <w:vAlign w:val="bottom"/>
            <w:shd w:val="clear" w:color="auto" w:fill="CDE9F6"/>
          </w:tcPr>
          <w:p>
            <w:pPr>
              <w:jc w:val="right"/>
              <w:ind w:right="59"/>
              <w:spacing w:after="0"/>
              <w:rPr>
                <w:sz w:val="20"/>
                <w:szCs w:val="20"/>
                <w:color w:val="auto"/>
              </w:rPr>
            </w:pPr>
            <w:r>
              <w:rPr>
                <w:rFonts w:ascii="Times New Roman" w:cs="Times New Roman" w:eastAsia="Times New Roman" w:hAnsi="Times New Roman"/>
                <w:sz w:val="17"/>
                <w:szCs w:val="17"/>
                <w:color w:val="auto"/>
              </w:rPr>
              <w:t>82,923,239</w:t>
            </w:r>
          </w:p>
        </w:tc>
        <w:tc>
          <w:tcPr>
            <w:tcW w:w="80" w:type="dxa"/>
            <w:vAlign w:val="bottom"/>
            <w:shd w:val="clear" w:color="auto" w:fill="CDE9F6"/>
          </w:tcPr>
          <w:p>
            <w:pPr>
              <w:spacing w:after="0"/>
              <w:rPr>
                <w:sz w:val="20"/>
                <w:szCs w:val="20"/>
                <w:color w:val="auto"/>
              </w:rPr>
            </w:pPr>
          </w:p>
        </w:tc>
        <w:tc>
          <w:tcPr>
            <w:tcW w:w="1240" w:type="dxa"/>
            <w:vAlign w:val="bottom"/>
            <w:shd w:val="clear" w:color="auto" w:fill="CDE9F6"/>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rPr>
              <w:t>84,745,190</w:t>
            </w:r>
          </w:p>
        </w:tc>
        <w:tc>
          <w:tcPr>
            <w:tcW w:w="0" w:type="dxa"/>
            <w:vAlign w:val="bottom"/>
          </w:tcPr>
          <w:p>
            <w:pPr>
              <w:spacing w:after="0"/>
              <w:rPr>
                <w:sz w:val="1"/>
                <w:szCs w:val="1"/>
                <w:color w:val="auto"/>
              </w:rPr>
            </w:pPr>
          </w:p>
        </w:tc>
      </w:tr>
      <w:tr>
        <w:trPr>
          <w:trHeight w:val="40"/>
        </w:trPr>
        <w:tc>
          <w:tcPr>
            <w:tcW w:w="2800" w:type="dxa"/>
            <w:vAlign w:val="bottom"/>
            <w:shd w:val="clear" w:color="auto" w:fill="CDE9F6"/>
          </w:tcPr>
          <w:p>
            <w:pPr>
              <w:spacing w:after="0"/>
              <w:rPr>
                <w:sz w:val="3"/>
                <w:szCs w:val="3"/>
                <w:color w:val="auto"/>
              </w:rPr>
            </w:pPr>
          </w:p>
        </w:tc>
        <w:tc>
          <w:tcPr>
            <w:tcW w:w="100" w:type="dxa"/>
            <w:vAlign w:val="bottom"/>
            <w:shd w:val="clear" w:color="auto" w:fill="CDE9F6"/>
          </w:tcPr>
          <w:p>
            <w:pPr>
              <w:spacing w:after="0"/>
              <w:rPr>
                <w:sz w:val="3"/>
                <w:szCs w:val="3"/>
                <w:color w:val="auto"/>
              </w:rPr>
            </w:pPr>
          </w:p>
        </w:tc>
        <w:tc>
          <w:tcPr>
            <w:tcW w:w="1140" w:type="dxa"/>
            <w:vAlign w:val="bottom"/>
            <w:shd w:val="clear" w:color="auto" w:fill="CDE9F6"/>
          </w:tcPr>
          <w:p>
            <w:pPr>
              <w:spacing w:after="0"/>
              <w:rPr>
                <w:sz w:val="3"/>
                <w:szCs w:val="3"/>
                <w:color w:val="auto"/>
              </w:rPr>
            </w:pPr>
          </w:p>
        </w:tc>
        <w:tc>
          <w:tcPr>
            <w:tcW w:w="100" w:type="dxa"/>
            <w:vAlign w:val="bottom"/>
            <w:shd w:val="clear" w:color="auto" w:fill="CDE9F6"/>
          </w:tcPr>
          <w:p>
            <w:pPr>
              <w:spacing w:after="0"/>
              <w:rPr>
                <w:sz w:val="3"/>
                <w:szCs w:val="3"/>
                <w:color w:val="auto"/>
              </w:rPr>
            </w:pPr>
          </w:p>
        </w:tc>
        <w:tc>
          <w:tcPr>
            <w:tcW w:w="1160" w:type="dxa"/>
            <w:vAlign w:val="bottom"/>
            <w:shd w:val="clear" w:color="auto" w:fill="CDE9F6"/>
          </w:tcPr>
          <w:p>
            <w:pPr>
              <w:spacing w:after="0"/>
              <w:rPr>
                <w:sz w:val="3"/>
                <w:szCs w:val="3"/>
                <w:color w:val="auto"/>
              </w:rPr>
            </w:pPr>
          </w:p>
        </w:tc>
        <w:tc>
          <w:tcPr>
            <w:tcW w:w="100" w:type="dxa"/>
            <w:vAlign w:val="bottom"/>
            <w:shd w:val="clear" w:color="auto" w:fill="CDE9F6"/>
          </w:tcPr>
          <w:p>
            <w:pPr>
              <w:spacing w:after="0"/>
              <w:rPr>
                <w:sz w:val="3"/>
                <w:szCs w:val="3"/>
                <w:color w:val="auto"/>
              </w:rPr>
            </w:pPr>
          </w:p>
        </w:tc>
        <w:tc>
          <w:tcPr>
            <w:tcW w:w="1140" w:type="dxa"/>
            <w:vAlign w:val="bottom"/>
            <w:shd w:val="clear" w:color="auto" w:fill="CDE9F6"/>
          </w:tcPr>
          <w:p>
            <w:pPr>
              <w:spacing w:after="0"/>
              <w:rPr>
                <w:sz w:val="3"/>
                <w:szCs w:val="3"/>
                <w:color w:val="auto"/>
              </w:rPr>
            </w:pPr>
          </w:p>
        </w:tc>
        <w:tc>
          <w:tcPr>
            <w:tcW w:w="80" w:type="dxa"/>
            <w:vAlign w:val="bottom"/>
            <w:shd w:val="clear" w:color="auto" w:fill="CDE9F6"/>
          </w:tcPr>
          <w:p>
            <w:pPr>
              <w:spacing w:after="0"/>
              <w:rPr>
                <w:sz w:val="3"/>
                <w:szCs w:val="3"/>
                <w:color w:val="auto"/>
              </w:rPr>
            </w:pPr>
          </w:p>
        </w:tc>
        <w:tc>
          <w:tcPr>
            <w:tcW w:w="1240" w:type="dxa"/>
            <w:vAlign w:val="bottom"/>
            <w:shd w:val="clear" w:color="auto" w:fill="CDE9F6"/>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113" w:lineRule="exact"/>
        <w:rPr>
          <w:sz w:val="20"/>
          <w:szCs w:val="20"/>
          <w:color w:val="auto"/>
        </w:rPr>
      </w:pPr>
    </w:p>
    <w:p>
      <w:pPr>
        <w:ind w:left="580" w:right="859" w:firstLine="349"/>
        <w:spacing w:after="0" w:line="276" w:lineRule="auto"/>
        <w:rPr>
          <w:sz w:val="20"/>
          <w:szCs w:val="20"/>
          <w:color w:val="auto"/>
        </w:rPr>
      </w:pPr>
      <w:r>
        <w:rPr>
          <w:rFonts w:ascii="Times New Roman" w:cs="Times New Roman" w:eastAsia="Times New Roman" w:hAnsi="Times New Roman"/>
          <w:sz w:val="17"/>
          <w:szCs w:val="17"/>
          <w:color w:val="auto"/>
        </w:rPr>
        <w:t>The following table provides reconciling information for the average amounts reported in the Summary Compensation Table for our non-PEO NEOs for each of the years set forth below to the amount of “compensation actually paid.”</w:t>
      </w:r>
    </w:p>
    <w:p>
      <w:pPr>
        <w:spacing w:after="0" w:line="115"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Deductions of</w:t>
            </w:r>
          </w:p>
        </w:tc>
        <w:tc>
          <w:tcPr>
            <w:tcW w:w="12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Additions of</w:t>
            </w: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9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Year</w:t>
            </w:r>
          </w:p>
        </w:tc>
        <w:tc>
          <w:tcPr>
            <w:tcW w:w="12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SCT Total ($)</w:t>
            </w:r>
          </w:p>
        </w:tc>
        <w:tc>
          <w:tcPr>
            <w:tcW w:w="1260" w:type="dxa"/>
            <w:vAlign w:val="bottom"/>
            <w:gridSpan w:val="2"/>
          </w:tcPr>
          <w:p>
            <w:pPr>
              <w:jc w:val="center"/>
              <w:ind w:right="80"/>
              <w:spacing w:after="0" w:line="144" w:lineRule="exact"/>
              <w:rPr>
                <w:sz w:val="20"/>
                <w:szCs w:val="20"/>
                <w:color w:val="auto"/>
              </w:rPr>
            </w:pPr>
            <w:r>
              <w:rPr>
                <w:rFonts w:ascii="Times New Roman" w:cs="Times New Roman" w:eastAsia="Times New Roman" w:hAnsi="Times New Roman"/>
                <w:sz w:val="14"/>
                <w:szCs w:val="14"/>
                <w:b w:val="1"/>
                <w:bCs w:val="1"/>
                <w:color w:val="auto"/>
                <w:w w:val="98"/>
              </w:rPr>
              <w:t>Equity Value from</w:t>
            </w:r>
          </w:p>
        </w:tc>
        <w:tc>
          <w:tcPr>
            <w:tcW w:w="1220" w:type="dxa"/>
            <w:vAlign w:val="bottom"/>
            <w:gridSpan w:val="2"/>
          </w:tcPr>
          <w:p>
            <w:pPr>
              <w:jc w:val="center"/>
              <w:ind w:right="80"/>
              <w:spacing w:after="0" w:line="144" w:lineRule="exact"/>
              <w:rPr>
                <w:sz w:val="20"/>
                <w:szCs w:val="20"/>
                <w:color w:val="auto"/>
              </w:rPr>
            </w:pPr>
            <w:r>
              <w:rPr>
                <w:rFonts w:ascii="Times New Roman" w:cs="Times New Roman" w:eastAsia="Times New Roman" w:hAnsi="Times New Roman"/>
                <w:sz w:val="14"/>
                <w:szCs w:val="14"/>
                <w:b w:val="1"/>
                <w:bCs w:val="1"/>
                <w:color w:val="auto"/>
                <w:w w:val="99"/>
              </w:rPr>
              <w:t>Equity Value to</w:t>
            </w:r>
          </w:p>
        </w:tc>
        <w:tc>
          <w:tcPr>
            <w:tcW w:w="1240" w:type="dxa"/>
            <w:vAlign w:val="bottom"/>
            <w:vMerge w:val="restart"/>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CAP ($)</w:t>
            </w:r>
          </w:p>
        </w:tc>
        <w:tc>
          <w:tcPr>
            <w:tcW w:w="0" w:type="dxa"/>
            <w:vAlign w:val="bottom"/>
          </w:tcPr>
          <w:p>
            <w:pPr>
              <w:spacing w:after="0"/>
              <w:rPr>
                <w:sz w:val="1"/>
                <w:szCs w:val="1"/>
                <w:color w:val="auto"/>
              </w:rPr>
            </w:pPr>
          </w:p>
        </w:tc>
      </w:tr>
      <w:tr>
        <w:trPr>
          <w:trHeight w:val="184"/>
        </w:trPr>
        <w:tc>
          <w:tcPr>
            <w:tcW w:w="2900" w:type="dxa"/>
            <w:vAlign w:val="bottom"/>
            <w:gridSpan w:val="2"/>
            <w:vMerge w:val="continue"/>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6"/>
              </w:rPr>
              <w:t>SCT Total ($)</w:t>
            </w:r>
          </w:p>
        </w:tc>
        <w:tc>
          <w:tcPr>
            <w:tcW w:w="12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SCT Total ($)</w:t>
            </w:r>
          </w:p>
        </w:tc>
        <w:tc>
          <w:tcPr>
            <w:tcW w:w="1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2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(i)</w:t>
            </w:r>
          </w:p>
        </w:tc>
        <w:tc>
          <w:tcPr>
            <w:tcW w:w="12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1"/>
              </w:rPr>
              <w:t>(ii)</w:t>
            </w: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
        </w:trPr>
        <w:tc>
          <w:tcPr>
            <w:tcW w:w="2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5"/>
        </w:trPr>
        <w:tc>
          <w:tcPr>
            <w:tcW w:w="2800" w:type="dxa"/>
            <w:vAlign w:val="bottom"/>
            <w:tcBorders>
              <w:bottom w:val="single" w:sz="8" w:color="CDE9F6"/>
            </w:tcBorders>
            <w:shd w:val="clear" w:color="auto" w:fill="CDE9F6"/>
          </w:tcPr>
          <w:p>
            <w:pPr>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Borders>
              <w:bottom w:val="single" w:sz="8" w:color="CDE9F6"/>
            </w:tcBorders>
            <w:shd w:val="clear" w:color="auto" w:fill="CDE9F6"/>
          </w:tcPr>
          <w:p>
            <w:pPr>
              <w:spacing w:after="0"/>
              <w:rPr>
                <w:sz w:val="22"/>
                <w:szCs w:val="22"/>
                <w:color w:val="auto"/>
              </w:rPr>
            </w:pPr>
          </w:p>
        </w:tc>
        <w:tc>
          <w:tcPr>
            <w:tcW w:w="1140" w:type="dxa"/>
            <w:vAlign w:val="bottom"/>
            <w:tcBorders>
              <w:bottom w:val="single" w:sz="8" w:color="CDE9F6"/>
            </w:tcBorders>
            <w:shd w:val="clear" w:color="auto" w:fill="CDE9F6"/>
          </w:tcPr>
          <w:p>
            <w:pPr>
              <w:jc w:val="right"/>
              <w:spacing w:after="0"/>
              <w:rPr>
                <w:sz w:val="20"/>
                <w:szCs w:val="20"/>
                <w:color w:val="auto"/>
              </w:rPr>
            </w:pPr>
            <w:r>
              <w:rPr>
                <w:rFonts w:ascii="Times New Roman" w:cs="Times New Roman" w:eastAsia="Times New Roman" w:hAnsi="Times New Roman"/>
                <w:sz w:val="17"/>
                <w:szCs w:val="17"/>
                <w:color w:val="auto"/>
              </w:rPr>
              <w:t>5,674,275</w:t>
            </w:r>
          </w:p>
        </w:tc>
        <w:tc>
          <w:tcPr>
            <w:tcW w:w="100" w:type="dxa"/>
            <w:vAlign w:val="bottom"/>
            <w:tcBorders>
              <w:bottom w:val="single" w:sz="8" w:color="CDE9F6"/>
            </w:tcBorders>
            <w:shd w:val="clear" w:color="auto" w:fill="CDE9F6"/>
          </w:tcPr>
          <w:p>
            <w:pPr>
              <w:spacing w:after="0"/>
              <w:rPr>
                <w:sz w:val="22"/>
                <w:szCs w:val="22"/>
                <w:color w:val="auto"/>
              </w:rPr>
            </w:pPr>
          </w:p>
        </w:tc>
        <w:tc>
          <w:tcPr>
            <w:tcW w:w="1160" w:type="dxa"/>
            <w:vAlign w:val="bottom"/>
            <w:tcBorders>
              <w:bottom w:val="single" w:sz="8" w:color="CDE9F6"/>
            </w:tcBorders>
            <w:shd w:val="clear" w:color="auto" w:fill="CDE9F6"/>
          </w:tcPr>
          <w:p>
            <w:pPr>
              <w:jc w:val="right"/>
              <w:spacing w:after="0"/>
              <w:rPr>
                <w:sz w:val="20"/>
                <w:szCs w:val="20"/>
                <w:color w:val="auto"/>
              </w:rPr>
            </w:pPr>
            <w:r>
              <w:rPr>
                <w:rFonts w:ascii="Times New Roman" w:cs="Times New Roman" w:eastAsia="Times New Roman" w:hAnsi="Times New Roman"/>
                <w:sz w:val="17"/>
                <w:szCs w:val="17"/>
                <w:color w:val="auto"/>
              </w:rPr>
              <w:t>(4,913,655)</w:t>
            </w:r>
          </w:p>
        </w:tc>
        <w:tc>
          <w:tcPr>
            <w:tcW w:w="100" w:type="dxa"/>
            <w:vAlign w:val="bottom"/>
            <w:tcBorders>
              <w:bottom w:val="single" w:sz="8" w:color="CDE9F6"/>
            </w:tcBorders>
            <w:shd w:val="clear" w:color="auto" w:fill="CDE9F6"/>
          </w:tcPr>
          <w:p>
            <w:pPr>
              <w:spacing w:after="0"/>
              <w:rPr>
                <w:sz w:val="22"/>
                <w:szCs w:val="22"/>
                <w:color w:val="auto"/>
              </w:rPr>
            </w:pPr>
          </w:p>
        </w:tc>
        <w:tc>
          <w:tcPr>
            <w:tcW w:w="1140" w:type="dxa"/>
            <w:vAlign w:val="bottom"/>
            <w:tcBorders>
              <w:bottom w:val="single" w:sz="8" w:color="CDE9F6"/>
            </w:tcBorders>
            <w:shd w:val="clear" w:color="auto" w:fill="CDE9F6"/>
          </w:tcPr>
          <w:p>
            <w:pPr>
              <w:jc w:val="right"/>
              <w:spacing w:after="0"/>
              <w:rPr>
                <w:sz w:val="20"/>
                <w:szCs w:val="20"/>
                <w:color w:val="auto"/>
              </w:rPr>
            </w:pPr>
            <w:r>
              <w:rPr>
                <w:rFonts w:ascii="Times New Roman" w:cs="Times New Roman" w:eastAsia="Times New Roman" w:hAnsi="Times New Roman"/>
                <w:sz w:val="17"/>
                <w:szCs w:val="17"/>
                <w:color w:val="auto"/>
              </w:rPr>
              <w:t>(2,157,544)</w:t>
            </w:r>
          </w:p>
        </w:tc>
        <w:tc>
          <w:tcPr>
            <w:tcW w:w="80" w:type="dxa"/>
            <w:vAlign w:val="bottom"/>
            <w:tcBorders>
              <w:bottom w:val="single" w:sz="8" w:color="CDE9F6"/>
            </w:tcBorders>
            <w:shd w:val="clear" w:color="auto" w:fill="CDE9F6"/>
          </w:tcPr>
          <w:p>
            <w:pPr>
              <w:spacing w:after="0"/>
              <w:rPr>
                <w:sz w:val="22"/>
                <w:szCs w:val="22"/>
                <w:color w:val="auto"/>
              </w:rPr>
            </w:pPr>
          </w:p>
        </w:tc>
        <w:tc>
          <w:tcPr>
            <w:tcW w:w="1240" w:type="dxa"/>
            <w:vAlign w:val="bottom"/>
            <w:tcBorders>
              <w:bottom w:val="single" w:sz="8" w:color="CDE9F6"/>
            </w:tcBorders>
            <w:shd w:val="clear" w:color="auto" w:fill="CDE9F6"/>
          </w:tcPr>
          <w:p>
            <w:pPr>
              <w:jc w:val="right"/>
              <w:spacing w:after="0"/>
              <w:rPr>
                <w:sz w:val="20"/>
                <w:szCs w:val="20"/>
                <w:color w:val="auto"/>
              </w:rPr>
            </w:pPr>
            <w:r>
              <w:rPr>
                <w:rFonts w:ascii="Times New Roman" w:cs="Times New Roman" w:eastAsia="Times New Roman" w:hAnsi="Times New Roman"/>
                <w:sz w:val="17"/>
                <w:szCs w:val="17"/>
                <w:b w:val="1"/>
                <w:bCs w:val="1"/>
                <w:color w:val="auto"/>
              </w:rPr>
              <w:t>(1,396,923)</w:t>
            </w:r>
          </w:p>
        </w:tc>
        <w:tc>
          <w:tcPr>
            <w:tcW w:w="0" w:type="dxa"/>
            <w:vAlign w:val="bottom"/>
          </w:tcPr>
          <w:p>
            <w:pPr>
              <w:spacing w:after="0"/>
              <w:rPr>
                <w:sz w:val="1"/>
                <w:szCs w:val="1"/>
                <w:color w:val="auto"/>
              </w:rPr>
            </w:pPr>
          </w:p>
        </w:tc>
      </w:tr>
      <w:tr>
        <w:trPr>
          <w:trHeight w:val="235"/>
        </w:trPr>
        <w:tc>
          <w:tcPr>
            <w:tcW w:w="28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5,967,146</w:t>
            </w: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(5,148,633)</w:t>
            </w:r>
          </w:p>
        </w:tc>
        <w:tc>
          <w:tcPr>
            <w:tcW w:w="100" w:type="dxa"/>
            <w:vAlign w:val="bottom"/>
          </w:tcPr>
          <w:p>
            <w:pPr>
              <w:spacing w:after="0"/>
              <w:rPr>
                <w:sz w:val="20"/>
                <w:szCs w:val="20"/>
                <w:color w:val="auto"/>
              </w:rPr>
            </w:pPr>
          </w:p>
        </w:tc>
        <w:tc>
          <w:tcPr>
            <w:tcW w:w="1140" w:type="dxa"/>
            <w:vAlign w:val="bottom"/>
          </w:tcPr>
          <w:p>
            <w:pPr>
              <w:jc w:val="right"/>
              <w:ind w:right="59"/>
              <w:spacing w:after="0"/>
              <w:rPr>
                <w:sz w:val="20"/>
                <w:szCs w:val="20"/>
                <w:color w:val="auto"/>
              </w:rPr>
            </w:pPr>
            <w:r>
              <w:rPr>
                <w:rFonts w:ascii="Times New Roman" w:cs="Times New Roman" w:eastAsia="Times New Roman" w:hAnsi="Times New Roman"/>
                <w:sz w:val="17"/>
                <w:szCs w:val="17"/>
                <w:color w:val="auto"/>
              </w:rPr>
              <w:t>14,214,611</w:t>
            </w:r>
          </w:p>
        </w:tc>
        <w:tc>
          <w:tcPr>
            <w:tcW w:w="80" w:type="dxa"/>
            <w:vAlign w:val="bottom"/>
          </w:tcPr>
          <w:p>
            <w:pPr>
              <w:spacing w:after="0"/>
              <w:rPr>
                <w:sz w:val="20"/>
                <w:szCs w:val="20"/>
                <w:color w:val="auto"/>
              </w:rPr>
            </w:pPr>
          </w:p>
        </w:tc>
        <w:tc>
          <w:tcPr>
            <w:tcW w:w="1240" w:type="dxa"/>
            <w:vAlign w:val="bottom"/>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rPr>
              <w:t>15,033,124</w:t>
            </w:r>
          </w:p>
        </w:tc>
        <w:tc>
          <w:tcPr>
            <w:tcW w:w="0" w:type="dxa"/>
            <w:vAlign w:val="bottom"/>
          </w:tcPr>
          <w:p>
            <w:pPr>
              <w:spacing w:after="0"/>
              <w:rPr>
                <w:sz w:val="1"/>
                <w:szCs w:val="1"/>
                <w:color w:val="auto"/>
              </w:rPr>
            </w:pPr>
          </w:p>
        </w:tc>
      </w:tr>
      <w:tr>
        <w:trPr>
          <w:trHeight w:val="40"/>
        </w:trPr>
        <w:tc>
          <w:tcPr>
            <w:tcW w:w="2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5"/>
        </w:trPr>
        <w:tc>
          <w:tcPr>
            <w:tcW w:w="2800" w:type="dxa"/>
            <w:vAlign w:val="bottom"/>
            <w:tcBorders>
              <w:bottom w:val="single" w:sz="8" w:color="CDE9F6"/>
            </w:tcBorders>
            <w:shd w:val="clear" w:color="auto" w:fill="CDE9F6"/>
          </w:tcPr>
          <w:p>
            <w:pPr>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Borders>
              <w:bottom w:val="single" w:sz="8" w:color="CDE9F6"/>
            </w:tcBorders>
            <w:shd w:val="clear" w:color="auto" w:fill="CDE9F6"/>
          </w:tcPr>
          <w:p>
            <w:pPr>
              <w:spacing w:after="0"/>
              <w:rPr>
                <w:sz w:val="22"/>
                <w:szCs w:val="22"/>
                <w:color w:val="auto"/>
              </w:rPr>
            </w:pPr>
          </w:p>
        </w:tc>
        <w:tc>
          <w:tcPr>
            <w:tcW w:w="1140" w:type="dxa"/>
            <w:vAlign w:val="bottom"/>
            <w:tcBorders>
              <w:bottom w:val="single" w:sz="8" w:color="CDE9F6"/>
            </w:tcBorders>
            <w:shd w:val="clear" w:color="auto" w:fill="CDE9F6"/>
          </w:tcPr>
          <w:p>
            <w:pPr>
              <w:jc w:val="right"/>
              <w:spacing w:after="0"/>
              <w:rPr>
                <w:sz w:val="20"/>
                <w:szCs w:val="20"/>
                <w:color w:val="auto"/>
              </w:rPr>
            </w:pPr>
            <w:r>
              <w:rPr>
                <w:rFonts w:ascii="Times New Roman" w:cs="Times New Roman" w:eastAsia="Times New Roman" w:hAnsi="Times New Roman"/>
                <w:sz w:val="17"/>
                <w:szCs w:val="17"/>
                <w:color w:val="auto"/>
              </w:rPr>
              <w:t>6,586,873</w:t>
            </w:r>
          </w:p>
        </w:tc>
        <w:tc>
          <w:tcPr>
            <w:tcW w:w="100" w:type="dxa"/>
            <w:vAlign w:val="bottom"/>
            <w:tcBorders>
              <w:bottom w:val="single" w:sz="8" w:color="CDE9F6"/>
            </w:tcBorders>
            <w:shd w:val="clear" w:color="auto" w:fill="CDE9F6"/>
          </w:tcPr>
          <w:p>
            <w:pPr>
              <w:spacing w:after="0"/>
              <w:rPr>
                <w:sz w:val="22"/>
                <w:szCs w:val="22"/>
                <w:color w:val="auto"/>
              </w:rPr>
            </w:pPr>
          </w:p>
        </w:tc>
        <w:tc>
          <w:tcPr>
            <w:tcW w:w="1160" w:type="dxa"/>
            <w:vAlign w:val="bottom"/>
            <w:tcBorders>
              <w:bottom w:val="single" w:sz="8" w:color="CDE9F6"/>
            </w:tcBorders>
            <w:shd w:val="clear" w:color="auto" w:fill="CDE9F6"/>
          </w:tcPr>
          <w:p>
            <w:pPr>
              <w:jc w:val="right"/>
              <w:spacing w:after="0"/>
              <w:rPr>
                <w:sz w:val="20"/>
                <w:szCs w:val="20"/>
                <w:color w:val="auto"/>
              </w:rPr>
            </w:pPr>
            <w:r>
              <w:rPr>
                <w:rFonts w:ascii="Times New Roman" w:cs="Times New Roman" w:eastAsia="Times New Roman" w:hAnsi="Times New Roman"/>
                <w:sz w:val="17"/>
                <w:szCs w:val="17"/>
                <w:color w:val="auto"/>
              </w:rPr>
              <w:t>(5,732,511)</w:t>
            </w:r>
          </w:p>
        </w:tc>
        <w:tc>
          <w:tcPr>
            <w:tcW w:w="100" w:type="dxa"/>
            <w:vAlign w:val="bottom"/>
            <w:tcBorders>
              <w:bottom w:val="single" w:sz="8" w:color="CDE9F6"/>
            </w:tcBorders>
            <w:shd w:val="clear" w:color="auto" w:fill="CDE9F6"/>
          </w:tcPr>
          <w:p>
            <w:pPr>
              <w:spacing w:after="0"/>
              <w:rPr>
                <w:sz w:val="22"/>
                <w:szCs w:val="22"/>
                <w:color w:val="auto"/>
              </w:rPr>
            </w:pPr>
          </w:p>
        </w:tc>
        <w:tc>
          <w:tcPr>
            <w:tcW w:w="1140" w:type="dxa"/>
            <w:vAlign w:val="bottom"/>
            <w:tcBorders>
              <w:bottom w:val="single" w:sz="8" w:color="CDE9F6"/>
            </w:tcBorders>
            <w:shd w:val="clear" w:color="auto" w:fill="CDE9F6"/>
          </w:tcPr>
          <w:p>
            <w:pPr>
              <w:jc w:val="right"/>
              <w:ind w:right="59"/>
              <w:spacing w:after="0"/>
              <w:rPr>
                <w:sz w:val="20"/>
                <w:szCs w:val="20"/>
                <w:color w:val="auto"/>
              </w:rPr>
            </w:pPr>
            <w:r>
              <w:rPr>
                <w:rFonts w:ascii="Times New Roman" w:cs="Times New Roman" w:eastAsia="Times New Roman" w:hAnsi="Times New Roman"/>
                <w:sz w:val="17"/>
                <w:szCs w:val="17"/>
                <w:color w:val="auto"/>
              </w:rPr>
              <w:t>7,211,293</w:t>
            </w:r>
          </w:p>
        </w:tc>
        <w:tc>
          <w:tcPr>
            <w:tcW w:w="80" w:type="dxa"/>
            <w:vAlign w:val="bottom"/>
            <w:tcBorders>
              <w:bottom w:val="single" w:sz="8" w:color="CDE9F6"/>
            </w:tcBorders>
            <w:shd w:val="clear" w:color="auto" w:fill="CDE9F6"/>
          </w:tcPr>
          <w:p>
            <w:pPr>
              <w:spacing w:after="0"/>
              <w:rPr>
                <w:sz w:val="22"/>
                <w:szCs w:val="22"/>
                <w:color w:val="auto"/>
              </w:rPr>
            </w:pPr>
          </w:p>
        </w:tc>
        <w:tc>
          <w:tcPr>
            <w:tcW w:w="1240" w:type="dxa"/>
            <w:vAlign w:val="bottom"/>
            <w:tcBorders>
              <w:bottom w:val="single" w:sz="8" w:color="CDE9F6"/>
            </w:tcBorders>
            <w:shd w:val="clear" w:color="auto" w:fill="CDE9F6"/>
          </w:tcPr>
          <w:p>
            <w:pPr>
              <w:jc w:val="right"/>
              <w:spacing w:after="0"/>
              <w:rPr>
                <w:sz w:val="20"/>
                <w:szCs w:val="20"/>
                <w:color w:val="auto"/>
              </w:rPr>
            </w:pPr>
            <w:r>
              <w:rPr>
                <w:rFonts w:ascii="Times New Roman" w:cs="Times New Roman" w:eastAsia="Times New Roman" w:hAnsi="Times New Roman"/>
                <w:sz w:val="17"/>
                <w:szCs w:val="17"/>
                <w:b w:val="1"/>
                <w:bCs w:val="1"/>
                <w:color w:val="auto"/>
              </w:rPr>
              <w:t>(8,065,655</w:t>
            </w: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5"/>
        </w:trPr>
        <w:tc>
          <w:tcPr>
            <w:tcW w:w="28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4,532,172</w:t>
            </w: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(3,610,110)</w:t>
            </w: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(5,789,384)</w:t>
            </w:r>
          </w:p>
        </w:tc>
        <w:tc>
          <w:tcPr>
            <w:tcW w:w="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(4,867,322)</w:t>
            </w:r>
          </w:p>
        </w:tc>
        <w:tc>
          <w:tcPr>
            <w:tcW w:w="0" w:type="dxa"/>
            <w:vAlign w:val="bottom"/>
          </w:tcPr>
          <w:p>
            <w:pPr>
              <w:spacing w:after="0"/>
              <w:rPr>
                <w:sz w:val="1"/>
                <w:szCs w:val="1"/>
                <w:color w:val="auto"/>
              </w:rPr>
            </w:pPr>
          </w:p>
        </w:tc>
      </w:tr>
      <w:tr>
        <w:trPr>
          <w:trHeight w:val="40"/>
        </w:trPr>
        <w:tc>
          <w:tcPr>
            <w:tcW w:w="2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5"/>
        </w:trPr>
        <w:tc>
          <w:tcPr>
            <w:tcW w:w="2800" w:type="dxa"/>
            <w:vAlign w:val="bottom"/>
            <w:shd w:val="clear" w:color="auto" w:fill="CDE9F6"/>
          </w:tcPr>
          <w:p>
            <w:pPr>
              <w:spacing w:after="0"/>
              <w:rPr>
                <w:sz w:val="20"/>
                <w:szCs w:val="20"/>
                <w:color w:val="auto"/>
              </w:rPr>
            </w:pPr>
            <w:r>
              <w:rPr>
                <w:rFonts w:ascii="Times New Roman" w:cs="Times New Roman" w:eastAsia="Times New Roman" w:hAnsi="Times New Roman"/>
                <w:sz w:val="17"/>
                <w:szCs w:val="17"/>
                <w:b w:val="1"/>
                <w:bCs w:val="1"/>
                <w:color w:val="auto"/>
              </w:rPr>
              <w:t>2021</w:t>
            </w:r>
          </w:p>
        </w:tc>
        <w:tc>
          <w:tcPr>
            <w:tcW w:w="100" w:type="dxa"/>
            <w:vAlign w:val="bottom"/>
            <w:shd w:val="clear" w:color="auto" w:fill="CDE9F6"/>
          </w:tcPr>
          <w:p>
            <w:pPr>
              <w:spacing w:after="0"/>
              <w:rPr>
                <w:sz w:val="20"/>
                <w:szCs w:val="20"/>
                <w:color w:val="auto"/>
              </w:rPr>
            </w:pPr>
          </w:p>
        </w:tc>
        <w:tc>
          <w:tcPr>
            <w:tcW w:w="1140" w:type="dxa"/>
            <w:vAlign w:val="bottom"/>
            <w:shd w:val="clear" w:color="auto" w:fill="CDE9F6"/>
          </w:tcPr>
          <w:p>
            <w:pPr>
              <w:jc w:val="right"/>
              <w:spacing w:after="0"/>
              <w:rPr>
                <w:sz w:val="20"/>
                <w:szCs w:val="20"/>
                <w:color w:val="auto"/>
              </w:rPr>
            </w:pPr>
            <w:r>
              <w:rPr>
                <w:rFonts w:ascii="Times New Roman" w:cs="Times New Roman" w:eastAsia="Times New Roman" w:hAnsi="Times New Roman"/>
                <w:sz w:val="17"/>
                <w:szCs w:val="17"/>
                <w:color w:val="auto"/>
              </w:rPr>
              <w:t>4,867,616</w:t>
            </w:r>
          </w:p>
        </w:tc>
        <w:tc>
          <w:tcPr>
            <w:tcW w:w="100" w:type="dxa"/>
            <w:vAlign w:val="bottom"/>
            <w:shd w:val="clear" w:color="auto" w:fill="CDE9F6"/>
          </w:tcPr>
          <w:p>
            <w:pPr>
              <w:spacing w:after="0"/>
              <w:rPr>
                <w:sz w:val="20"/>
                <w:szCs w:val="20"/>
                <w:color w:val="auto"/>
              </w:rPr>
            </w:pPr>
          </w:p>
        </w:tc>
        <w:tc>
          <w:tcPr>
            <w:tcW w:w="1160" w:type="dxa"/>
            <w:vAlign w:val="bottom"/>
            <w:shd w:val="clear" w:color="auto" w:fill="CDE9F6"/>
          </w:tcPr>
          <w:p>
            <w:pPr>
              <w:jc w:val="right"/>
              <w:spacing w:after="0"/>
              <w:rPr>
                <w:sz w:val="20"/>
                <w:szCs w:val="20"/>
                <w:color w:val="auto"/>
              </w:rPr>
            </w:pPr>
            <w:r>
              <w:rPr>
                <w:rFonts w:ascii="Times New Roman" w:cs="Times New Roman" w:eastAsia="Times New Roman" w:hAnsi="Times New Roman"/>
                <w:sz w:val="17"/>
                <w:szCs w:val="17"/>
                <w:color w:val="auto"/>
              </w:rPr>
              <w:t>(4,038,552)</w:t>
            </w:r>
          </w:p>
        </w:tc>
        <w:tc>
          <w:tcPr>
            <w:tcW w:w="100" w:type="dxa"/>
            <w:vAlign w:val="bottom"/>
            <w:shd w:val="clear" w:color="auto" w:fill="CDE9F6"/>
          </w:tcPr>
          <w:p>
            <w:pPr>
              <w:spacing w:after="0"/>
              <w:rPr>
                <w:sz w:val="20"/>
                <w:szCs w:val="20"/>
                <w:color w:val="auto"/>
              </w:rPr>
            </w:pPr>
          </w:p>
        </w:tc>
        <w:tc>
          <w:tcPr>
            <w:tcW w:w="1140" w:type="dxa"/>
            <w:vAlign w:val="bottom"/>
            <w:shd w:val="clear" w:color="auto" w:fill="CDE9F6"/>
          </w:tcPr>
          <w:p>
            <w:pPr>
              <w:jc w:val="right"/>
              <w:ind w:right="59"/>
              <w:spacing w:after="0"/>
              <w:rPr>
                <w:sz w:val="20"/>
                <w:szCs w:val="20"/>
                <w:color w:val="auto"/>
              </w:rPr>
            </w:pPr>
            <w:r>
              <w:rPr>
                <w:rFonts w:ascii="Times New Roman" w:cs="Times New Roman" w:eastAsia="Times New Roman" w:hAnsi="Times New Roman"/>
                <w:sz w:val="17"/>
                <w:szCs w:val="17"/>
                <w:color w:val="auto"/>
              </w:rPr>
              <w:t>26,856,409</w:t>
            </w:r>
          </w:p>
        </w:tc>
        <w:tc>
          <w:tcPr>
            <w:tcW w:w="80" w:type="dxa"/>
            <w:vAlign w:val="bottom"/>
            <w:shd w:val="clear" w:color="auto" w:fill="CDE9F6"/>
          </w:tcPr>
          <w:p>
            <w:pPr>
              <w:spacing w:after="0"/>
              <w:rPr>
                <w:sz w:val="20"/>
                <w:szCs w:val="20"/>
                <w:color w:val="auto"/>
              </w:rPr>
            </w:pPr>
          </w:p>
        </w:tc>
        <w:tc>
          <w:tcPr>
            <w:tcW w:w="1240" w:type="dxa"/>
            <w:vAlign w:val="bottom"/>
            <w:shd w:val="clear" w:color="auto" w:fill="CDE9F6"/>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rPr>
              <w:t>27,685,473</w:t>
            </w:r>
          </w:p>
        </w:tc>
        <w:tc>
          <w:tcPr>
            <w:tcW w:w="0" w:type="dxa"/>
            <w:vAlign w:val="bottom"/>
          </w:tcPr>
          <w:p>
            <w:pPr>
              <w:spacing w:after="0"/>
              <w:rPr>
                <w:sz w:val="1"/>
                <w:szCs w:val="1"/>
                <w:color w:val="auto"/>
              </w:rPr>
            </w:pPr>
          </w:p>
        </w:tc>
      </w:tr>
      <w:tr>
        <w:trPr>
          <w:trHeight w:val="40"/>
        </w:trPr>
        <w:tc>
          <w:tcPr>
            <w:tcW w:w="2800" w:type="dxa"/>
            <w:vAlign w:val="bottom"/>
            <w:shd w:val="clear" w:color="auto" w:fill="CDE9F6"/>
          </w:tcPr>
          <w:p>
            <w:pPr>
              <w:spacing w:after="0"/>
              <w:rPr>
                <w:sz w:val="3"/>
                <w:szCs w:val="3"/>
                <w:color w:val="auto"/>
              </w:rPr>
            </w:pPr>
          </w:p>
        </w:tc>
        <w:tc>
          <w:tcPr>
            <w:tcW w:w="100" w:type="dxa"/>
            <w:vAlign w:val="bottom"/>
            <w:shd w:val="clear" w:color="auto" w:fill="CDE9F6"/>
          </w:tcPr>
          <w:p>
            <w:pPr>
              <w:spacing w:after="0"/>
              <w:rPr>
                <w:sz w:val="3"/>
                <w:szCs w:val="3"/>
                <w:color w:val="auto"/>
              </w:rPr>
            </w:pPr>
          </w:p>
        </w:tc>
        <w:tc>
          <w:tcPr>
            <w:tcW w:w="1140" w:type="dxa"/>
            <w:vAlign w:val="bottom"/>
            <w:shd w:val="clear" w:color="auto" w:fill="CDE9F6"/>
          </w:tcPr>
          <w:p>
            <w:pPr>
              <w:spacing w:after="0"/>
              <w:rPr>
                <w:sz w:val="3"/>
                <w:szCs w:val="3"/>
                <w:color w:val="auto"/>
              </w:rPr>
            </w:pPr>
          </w:p>
        </w:tc>
        <w:tc>
          <w:tcPr>
            <w:tcW w:w="100" w:type="dxa"/>
            <w:vAlign w:val="bottom"/>
            <w:shd w:val="clear" w:color="auto" w:fill="CDE9F6"/>
          </w:tcPr>
          <w:p>
            <w:pPr>
              <w:spacing w:after="0"/>
              <w:rPr>
                <w:sz w:val="3"/>
                <w:szCs w:val="3"/>
                <w:color w:val="auto"/>
              </w:rPr>
            </w:pPr>
          </w:p>
        </w:tc>
        <w:tc>
          <w:tcPr>
            <w:tcW w:w="1160" w:type="dxa"/>
            <w:vAlign w:val="bottom"/>
            <w:shd w:val="clear" w:color="auto" w:fill="CDE9F6"/>
          </w:tcPr>
          <w:p>
            <w:pPr>
              <w:spacing w:after="0"/>
              <w:rPr>
                <w:sz w:val="3"/>
                <w:szCs w:val="3"/>
                <w:color w:val="auto"/>
              </w:rPr>
            </w:pPr>
          </w:p>
        </w:tc>
        <w:tc>
          <w:tcPr>
            <w:tcW w:w="100" w:type="dxa"/>
            <w:vAlign w:val="bottom"/>
            <w:shd w:val="clear" w:color="auto" w:fill="CDE9F6"/>
          </w:tcPr>
          <w:p>
            <w:pPr>
              <w:spacing w:after="0"/>
              <w:rPr>
                <w:sz w:val="3"/>
                <w:szCs w:val="3"/>
                <w:color w:val="auto"/>
              </w:rPr>
            </w:pPr>
          </w:p>
        </w:tc>
        <w:tc>
          <w:tcPr>
            <w:tcW w:w="1140" w:type="dxa"/>
            <w:vAlign w:val="bottom"/>
            <w:shd w:val="clear" w:color="auto" w:fill="CDE9F6"/>
          </w:tcPr>
          <w:p>
            <w:pPr>
              <w:spacing w:after="0"/>
              <w:rPr>
                <w:sz w:val="3"/>
                <w:szCs w:val="3"/>
                <w:color w:val="auto"/>
              </w:rPr>
            </w:pPr>
          </w:p>
        </w:tc>
        <w:tc>
          <w:tcPr>
            <w:tcW w:w="80" w:type="dxa"/>
            <w:vAlign w:val="bottom"/>
            <w:shd w:val="clear" w:color="auto" w:fill="CDE9F6"/>
          </w:tcPr>
          <w:p>
            <w:pPr>
              <w:spacing w:after="0"/>
              <w:rPr>
                <w:sz w:val="3"/>
                <w:szCs w:val="3"/>
                <w:color w:val="auto"/>
              </w:rPr>
            </w:pPr>
          </w:p>
        </w:tc>
        <w:tc>
          <w:tcPr>
            <w:tcW w:w="1240" w:type="dxa"/>
            <w:vAlign w:val="bottom"/>
            <w:shd w:val="clear" w:color="auto" w:fill="CDE9F6"/>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3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________________________</w:t>
      </w:r>
    </w:p>
    <w:p>
      <w:pPr>
        <w:spacing w:after="0" w:line="87" w:lineRule="exact"/>
        <w:rPr>
          <w:sz w:val="20"/>
          <w:szCs w:val="20"/>
          <w:color w:val="auto"/>
        </w:rPr>
      </w:pPr>
    </w:p>
    <w:p>
      <w:pPr>
        <w:ind w:left="920" w:right="799" w:hanging="346"/>
        <w:spacing w:after="0" w:line="270" w:lineRule="auto"/>
        <w:tabs>
          <w:tab w:leader="none" w:pos="906"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dollar amounts represent the grant date fair value of equity-based awards granted each year to our PEO, and the average grant date fair value of equity-based awards granted each year for our non-PEO NEOs, as reported in the “Stock Awards” and “Option Awards” columns of the Summary Compensation Table for fiscal years 2025, 2024, 2023, 2022 and 2021.</w:t>
      </w:r>
    </w:p>
    <w:p>
      <w:pPr>
        <w:spacing w:after="0" w:line="24" w:lineRule="exact"/>
        <w:rPr>
          <w:rFonts w:ascii="Times New Roman" w:cs="Times New Roman" w:eastAsia="Times New Roman" w:hAnsi="Times New Roman"/>
          <w:sz w:val="17"/>
          <w:szCs w:val="17"/>
          <w:color w:val="auto"/>
        </w:rPr>
      </w:pPr>
    </w:p>
    <w:p>
      <w:pPr>
        <w:ind w:left="920" w:right="619" w:hanging="346"/>
        <w:spacing w:after="0" w:line="270" w:lineRule="auto"/>
        <w:tabs>
          <w:tab w:leader="none" w:pos="915"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dollar amounts reflect the value of equity-based awards granted to our PEO, and the average value of the equity-based awards for our non-PEO NEOs, calculated in accordance with the methodology contained in the SEC’s rules for determining CAP for each year shown. The equity-based awards component of CAP for fiscal years 2025, 2024, 2023, 2022 and 2021 is detailed in the supplemental table below.</w:t>
      </w:r>
    </w:p>
    <w:p>
      <w:pPr>
        <w:spacing w:after="0" w:line="103" w:lineRule="exact"/>
        <w:rPr>
          <w:sz w:val="20"/>
          <w:szCs w:val="20"/>
          <w:color w:val="auto"/>
        </w:rPr>
      </w:pPr>
    </w:p>
    <w:p>
      <w:pPr>
        <w:ind w:left="580" w:right="1239" w:firstLine="349"/>
        <w:spacing w:after="0" w:line="296" w:lineRule="auto"/>
        <w:rPr>
          <w:sz w:val="20"/>
          <w:szCs w:val="20"/>
          <w:color w:val="auto"/>
        </w:rPr>
      </w:pPr>
      <w:r>
        <w:rPr>
          <w:rFonts w:ascii="Times New Roman" w:cs="Times New Roman" w:eastAsia="Times New Roman" w:hAnsi="Times New Roman"/>
          <w:sz w:val="17"/>
          <w:szCs w:val="17"/>
          <w:color w:val="auto"/>
        </w:rPr>
        <w:t>The table below illustrates the calculations described in this footnote (5) with respect to the equity component of our PEO’s CAP for fiscal years 2025, 2024, 2023, 2022 and 2021:</w:t>
      </w:r>
    </w:p>
    <w:p>
      <w:pPr>
        <w:spacing w:after="0" w:line="84"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7"/>
              </w:rPr>
              <w:t>Year over</w:t>
            </w: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center"/>
              <w:ind w:right="120"/>
              <w:spacing w:after="0" w:line="144" w:lineRule="exact"/>
              <w:rPr>
                <w:sz w:val="20"/>
                <w:szCs w:val="20"/>
                <w:color w:val="auto"/>
              </w:rPr>
            </w:pPr>
            <w:r>
              <w:rPr>
                <w:rFonts w:ascii="Times New Roman" w:cs="Times New Roman" w:eastAsia="Times New Roman" w:hAnsi="Times New Roman"/>
                <w:sz w:val="14"/>
                <w:szCs w:val="14"/>
                <w:b w:val="1"/>
                <w:bCs w:val="1"/>
                <w:color w:val="auto"/>
                <w:w w:val="98"/>
              </w:rPr>
              <w:t>Year Change</w:t>
            </w: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center"/>
              <w:ind w:right="120"/>
              <w:spacing w:after="0" w:line="144" w:lineRule="exact"/>
              <w:rPr>
                <w:sz w:val="20"/>
                <w:szCs w:val="20"/>
                <w:color w:val="auto"/>
              </w:rPr>
            </w:pPr>
            <w:r>
              <w:rPr>
                <w:rFonts w:ascii="Times New Roman" w:cs="Times New Roman" w:eastAsia="Times New Roman" w:hAnsi="Times New Roman"/>
                <w:sz w:val="14"/>
                <w:szCs w:val="14"/>
                <w:b w:val="1"/>
                <w:bCs w:val="1"/>
                <w:color w:val="auto"/>
                <w:w w:val="98"/>
              </w:rPr>
              <w:t>in Fair Value</w:t>
            </w: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Year over Year</w:t>
            </w: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6"/>
              </w:rPr>
              <w:t>Year End</w:t>
            </w:r>
          </w:p>
        </w:tc>
        <w:tc>
          <w:tcPr>
            <w:tcW w:w="1020" w:type="dxa"/>
            <w:vAlign w:val="bottom"/>
            <w:gridSpan w:val="2"/>
          </w:tcPr>
          <w:p>
            <w:pPr>
              <w:jc w:val="center"/>
              <w:ind w:right="120"/>
              <w:spacing w:after="0" w:line="144" w:lineRule="exact"/>
              <w:rPr>
                <w:sz w:val="20"/>
                <w:szCs w:val="20"/>
                <w:color w:val="auto"/>
              </w:rPr>
            </w:pPr>
            <w:r>
              <w:rPr>
                <w:rFonts w:ascii="Times New Roman" w:cs="Times New Roman" w:eastAsia="Times New Roman" w:hAnsi="Times New Roman"/>
                <w:sz w:val="14"/>
                <w:szCs w:val="14"/>
                <w:b w:val="1"/>
                <w:bCs w:val="1"/>
                <w:color w:val="auto"/>
                <w:w w:val="97"/>
              </w:rPr>
              <w:t>from Last</w:t>
            </w: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020" w:type="dxa"/>
            <w:vAlign w:val="bottom"/>
            <w:gridSpan w:val="2"/>
          </w:tcPr>
          <w:p>
            <w:pPr>
              <w:jc w:val="center"/>
              <w:ind w:right="120"/>
              <w:spacing w:after="0" w:line="144" w:lineRule="exact"/>
              <w:rPr>
                <w:sz w:val="20"/>
                <w:szCs w:val="20"/>
                <w:color w:val="auto"/>
              </w:rPr>
            </w:pPr>
            <w:r>
              <w:rPr>
                <w:rFonts w:ascii="Times New Roman" w:cs="Times New Roman" w:eastAsia="Times New Roman" w:hAnsi="Times New Roman"/>
                <w:sz w:val="14"/>
                <w:szCs w:val="14"/>
                <w:b w:val="1"/>
                <w:bCs w:val="1"/>
                <w:color w:val="auto"/>
                <w:w w:val="99"/>
              </w:rPr>
              <w:t>Day of Prior</w:t>
            </w: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center"/>
              <w:ind w:right="100"/>
              <w:spacing w:after="0" w:line="144" w:lineRule="exact"/>
              <w:rPr>
                <w:sz w:val="20"/>
                <w:szCs w:val="20"/>
                <w:color w:val="auto"/>
              </w:rPr>
            </w:pPr>
            <w:r>
              <w:rPr>
                <w:rFonts w:ascii="Times New Roman" w:cs="Times New Roman" w:eastAsia="Times New Roman" w:hAnsi="Times New Roman"/>
                <w:sz w:val="14"/>
                <w:szCs w:val="14"/>
                <w:b w:val="1"/>
                <w:bCs w:val="1"/>
                <w:color w:val="auto"/>
                <w:w w:val="99"/>
              </w:rPr>
              <w:t>Change in Fair</w:t>
            </w:r>
          </w:p>
        </w:tc>
        <w:tc>
          <w:tcPr>
            <w:tcW w:w="9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gridSpan w:val="2"/>
          </w:tcPr>
          <w:p>
            <w:pPr>
              <w:jc w:val="center"/>
              <w:ind w:right="100"/>
              <w:spacing w:after="0" w:line="144" w:lineRule="exact"/>
              <w:rPr>
                <w:sz w:val="20"/>
                <w:szCs w:val="20"/>
                <w:color w:val="auto"/>
              </w:rPr>
            </w:pPr>
            <w:r>
              <w:rPr>
                <w:rFonts w:ascii="Times New Roman" w:cs="Times New Roman" w:eastAsia="Times New Roman" w:hAnsi="Times New Roman"/>
                <w:sz w:val="14"/>
                <w:szCs w:val="14"/>
                <w:b w:val="1"/>
                <w:bCs w:val="1"/>
                <w:color w:val="auto"/>
                <w:w w:val="96"/>
              </w:rPr>
              <w:t>Fair Value</w:t>
            </w:r>
          </w:p>
        </w:tc>
        <w:tc>
          <w:tcPr>
            <w:tcW w:w="1020" w:type="dxa"/>
            <w:vAlign w:val="bottom"/>
            <w:gridSpan w:val="2"/>
          </w:tcPr>
          <w:p>
            <w:pPr>
              <w:jc w:val="center"/>
              <w:ind w:right="120"/>
              <w:spacing w:after="0" w:line="144" w:lineRule="exact"/>
              <w:rPr>
                <w:sz w:val="20"/>
                <w:szCs w:val="20"/>
                <w:color w:val="auto"/>
              </w:rPr>
            </w:pPr>
            <w:r>
              <w:rPr>
                <w:rFonts w:ascii="Times New Roman" w:cs="Times New Roman" w:eastAsia="Times New Roman" w:hAnsi="Times New Roman"/>
                <w:sz w:val="14"/>
                <w:szCs w:val="14"/>
                <w:b w:val="1"/>
                <w:bCs w:val="1"/>
                <w:color w:val="auto"/>
                <w:w w:val="99"/>
              </w:rPr>
              <w:t>Year to Last</w:t>
            </w: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center"/>
              <w:ind w:right="100"/>
              <w:spacing w:after="0" w:line="144" w:lineRule="exact"/>
              <w:rPr>
                <w:sz w:val="20"/>
                <w:szCs w:val="20"/>
                <w:color w:val="auto"/>
              </w:rPr>
            </w:pPr>
            <w:r>
              <w:rPr>
                <w:rFonts w:ascii="Times New Roman" w:cs="Times New Roman" w:eastAsia="Times New Roman" w:hAnsi="Times New Roman"/>
                <w:sz w:val="14"/>
                <w:szCs w:val="14"/>
                <w:b w:val="1"/>
                <w:bCs w:val="1"/>
                <w:color w:val="auto"/>
                <w:w w:val="96"/>
              </w:rPr>
              <w:t>Value from</w:t>
            </w:r>
          </w:p>
        </w:tc>
        <w:tc>
          <w:tcPr>
            <w:tcW w:w="980" w:type="dxa"/>
            <w:vAlign w:val="bottom"/>
            <w:gridSpan w:val="2"/>
            <w:vMerge w:val="continue"/>
          </w:tcPr>
          <w:p>
            <w:pPr>
              <w:spacing w:after="0"/>
              <w:rPr>
                <w:sz w:val="12"/>
                <w:szCs w:val="12"/>
                <w:color w:val="auto"/>
              </w:rPr>
            </w:pPr>
          </w:p>
        </w:tc>
        <w:tc>
          <w:tcPr>
            <w:tcW w:w="11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5"/>
              </w:rPr>
              <w:t>Value of</w:t>
            </w: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gridSpan w:val="2"/>
          </w:tcPr>
          <w:p>
            <w:pPr>
              <w:jc w:val="center"/>
              <w:ind w:right="120"/>
              <w:spacing w:after="0" w:line="144" w:lineRule="exact"/>
              <w:rPr>
                <w:sz w:val="20"/>
                <w:szCs w:val="20"/>
                <w:color w:val="auto"/>
              </w:rPr>
            </w:pPr>
            <w:r>
              <w:rPr>
                <w:rFonts w:ascii="Times New Roman" w:cs="Times New Roman" w:eastAsia="Times New Roman" w:hAnsi="Times New Roman"/>
                <w:sz w:val="14"/>
                <w:szCs w:val="14"/>
                <w:b w:val="1"/>
                <w:bCs w:val="1"/>
                <w:color w:val="auto"/>
              </w:rPr>
              <w:t>of Equity</w:t>
            </w:r>
          </w:p>
        </w:tc>
        <w:tc>
          <w:tcPr>
            <w:tcW w:w="1020" w:type="dxa"/>
            <w:vAlign w:val="bottom"/>
            <w:gridSpan w:val="2"/>
          </w:tcPr>
          <w:p>
            <w:pPr>
              <w:jc w:val="center"/>
              <w:ind w:right="120"/>
              <w:spacing w:after="0" w:line="144" w:lineRule="exact"/>
              <w:rPr>
                <w:sz w:val="20"/>
                <w:szCs w:val="20"/>
                <w:color w:val="auto"/>
              </w:rPr>
            </w:pPr>
            <w:r>
              <w:rPr>
                <w:rFonts w:ascii="Times New Roman" w:cs="Times New Roman" w:eastAsia="Times New Roman" w:hAnsi="Times New Roman"/>
                <w:sz w:val="14"/>
                <w:szCs w:val="14"/>
                <w:b w:val="1"/>
                <w:bCs w:val="1"/>
                <w:color w:val="auto"/>
                <w:w w:val="96"/>
              </w:rPr>
              <w:t>Day of Year</w:t>
            </w:r>
          </w:p>
        </w:tc>
        <w:tc>
          <w:tcPr>
            <w:tcW w:w="10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1080" w:type="dxa"/>
            <w:vAlign w:val="bottom"/>
            <w:gridSpan w:val="2"/>
          </w:tcPr>
          <w:p>
            <w:pPr>
              <w:jc w:val="center"/>
              <w:ind w:right="100"/>
              <w:spacing w:after="0" w:line="144" w:lineRule="exact"/>
              <w:rPr>
                <w:sz w:val="20"/>
                <w:szCs w:val="20"/>
                <w:color w:val="auto"/>
              </w:rPr>
            </w:pPr>
            <w:r>
              <w:rPr>
                <w:rFonts w:ascii="Times New Roman" w:cs="Times New Roman" w:eastAsia="Times New Roman" w:hAnsi="Times New Roman"/>
                <w:sz w:val="14"/>
                <w:szCs w:val="14"/>
                <w:b w:val="1"/>
                <w:bCs w:val="1"/>
                <w:color w:val="auto"/>
              </w:rPr>
              <w:t>Last Day of</w:t>
            </w:r>
          </w:p>
        </w:tc>
        <w:tc>
          <w:tcPr>
            <w:tcW w:w="980" w:type="dxa"/>
            <w:vAlign w:val="bottom"/>
            <w:gridSpan w:val="2"/>
          </w:tcPr>
          <w:p>
            <w:pPr>
              <w:jc w:val="center"/>
              <w:ind w:right="120"/>
              <w:spacing w:after="0" w:line="144" w:lineRule="exact"/>
              <w:rPr>
                <w:sz w:val="20"/>
                <w:szCs w:val="20"/>
                <w:color w:val="auto"/>
              </w:rPr>
            </w:pPr>
            <w:r>
              <w:rPr>
                <w:rFonts w:ascii="Times New Roman" w:cs="Times New Roman" w:eastAsia="Times New Roman" w:hAnsi="Times New Roman"/>
                <w:sz w:val="14"/>
                <w:szCs w:val="14"/>
                <w:b w:val="1"/>
                <w:bCs w:val="1"/>
                <w:color w:val="auto"/>
                <w:w w:val="99"/>
              </w:rPr>
              <w:t>at the End</w:t>
            </w:r>
          </w:p>
        </w:tc>
        <w:tc>
          <w:tcPr>
            <w:tcW w:w="1140" w:type="dxa"/>
            <w:vAlign w:val="bottom"/>
            <w:gridSpan w:val="2"/>
            <w:vMerge w:val="continue"/>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gridSpan w:val="2"/>
          </w:tcPr>
          <w:p>
            <w:pPr>
              <w:jc w:val="center"/>
              <w:ind w:right="100"/>
              <w:spacing w:after="0" w:line="144"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1020" w:type="dxa"/>
            <w:vAlign w:val="bottom"/>
            <w:gridSpan w:val="2"/>
          </w:tcPr>
          <w:p>
            <w:pPr>
              <w:jc w:val="center"/>
              <w:ind w:right="100"/>
              <w:spacing w:after="0" w:line="144" w:lineRule="exact"/>
              <w:rPr>
                <w:sz w:val="20"/>
                <w:szCs w:val="20"/>
                <w:color w:val="auto"/>
              </w:rPr>
            </w:pPr>
            <w:r>
              <w:rPr>
                <w:rFonts w:ascii="Times New Roman" w:cs="Times New Roman" w:eastAsia="Times New Roman" w:hAnsi="Times New Roman"/>
                <w:sz w:val="14"/>
                <w:szCs w:val="14"/>
                <w:b w:val="1"/>
                <w:bCs w:val="1"/>
                <w:color w:val="auto"/>
              </w:rPr>
              <w:t>of Equity</w:t>
            </w:r>
          </w:p>
        </w:tc>
        <w:tc>
          <w:tcPr>
            <w:tcW w:w="1060" w:type="dxa"/>
            <w:vAlign w:val="bottom"/>
            <w:gridSpan w:val="2"/>
            <w:vMerge w:val="continue"/>
          </w:tcPr>
          <w:p>
            <w:pPr>
              <w:spacing w:after="0"/>
              <w:rPr>
                <w:sz w:val="12"/>
                <w:szCs w:val="12"/>
                <w:color w:val="auto"/>
              </w:rPr>
            </w:pPr>
          </w:p>
        </w:tc>
        <w:tc>
          <w:tcPr>
            <w:tcW w:w="1080" w:type="dxa"/>
            <w:vAlign w:val="bottom"/>
            <w:gridSpan w:val="2"/>
          </w:tcPr>
          <w:p>
            <w:pPr>
              <w:jc w:val="center"/>
              <w:ind w:right="100"/>
              <w:spacing w:after="0" w:line="144" w:lineRule="exact"/>
              <w:rPr>
                <w:sz w:val="20"/>
                <w:szCs w:val="20"/>
                <w:color w:val="auto"/>
              </w:rPr>
            </w:pPr>
            <w:r>
              <w:rPr>
                <w:rFonts w:ascii="Times New Roman" w:cs="Times New Roman" w:eastAsia="Times New Roman" w:hAnsi="Times New Roman"/>
                <w:sz w:val="14"/>
                <w:szCs w:val="14"/>
                <w:b w:val="1"/>
                <w:bCs w:val="1"/>
                <w:color w:val="auto"/>
                <w:w w:val="97"/>
              </w:rPr>
              <w:t>Prior Year to</w:t>
            </w:r>
          </w:p>
        </w:tc>
        <w:tc>
          <w:tcPr>
            <w:tcW w:w="980" w:type="dxa"/>
            <w:vAlign w:val="bottom"/>
            <w:gridSpan w:val="2"/>
          </w:tcPr>
          <w:p>
            <w:pPr>
              <w:jc w:val="center"/>
              <w:ind w:right="120"/>
              <w:spacing w:after="0" w:line="144" w:lineRule="exact"/>
              <w:rPr>
                <w:sz w:val="20"/>
                <w:szCs w:val="20"/>
                <w:color w:val="auto"/>
              </w:rPr>
            </w:pPr>
            <w:r>
              <w:rPr>
                <w:rFonts w:ascii="Times New Roman" w:cs="Times New Roman" w:eastAsia="Times New Roman" w:hAnsi="Times New Roman"/>
                <w:sz w:val="14"/>
                <w:szCs w:val="14"/>
                <w:b w:val="1"/>
                <w:bCs w:val="1"/>
                <w:color w:val="auto"/>
              </w:rPr>
              <w:t>of the</w:t>
            </w:r>
          </w:p>
        </w:tc>
        <w:tc>
          <w:tcPr>
            <w:tcW w:w="1140" w:type="dxa"/>
            <w:vAlign w:val="bottom"/>
            <w:gridSpan w:val="2"/>
          </w:tcPr>
          <w:p>
            <w:pPr>
              <w:jc w:val="center"/>
              <w:ind w:right="140"/>
              <w:spacing w:after="0" w:line="144" w:lineRule="exact"/>
              <w:rPr>
                <w:sz w:val="20"/>
                <w:szCs w:val="20"/>
                <w:color w:val="auto"/>
              </w:rPr>
            </w:pPr>
            <w:r>
              <w:rPr>
                <w:rFonts w:ascii="Times New Roman" w:cs="Times New Roman" w:eastAsia="Times New Roman" w:hAnsi="Times New Roman"/>
                <w:sz w:val="14"/>
                <w:szCs w:val="14"/>
                <w:b w:val="1"/>
                <w:bCs w:val="1"/>
                <w:color w:val="auto"/>
                <w:w w:val="99"/>
              </w:rPr>
              <w:t>Dividends or</w:t>
            </w: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gridSpan w:val="2"/>
          </w:tcPr>
          <w:p>
            <w:pPr>
              <w:jc w:val="center"/>
              <w:ind w:right="100"/>
              <w:spacing w:after="0" w:line="144" w:lineRule="exact"/>
              <w:rPr>
                <w:sz w:val="20"/>
                <w:szCs w:val="20"/>
                <w:color w:val="auto"/>
              </w:rPr>
            </w:pPr>
            <w:r>
              <w:rPr>
                <w:rFonts w:ascii="Times New Roman" w:cs="Times New Roman" w:eastAsia="Times New Roman" w:hAnsi="Times New Roman"/>
                <w:sz w:val="14"/>
                <w:szCs w:val="14"/>
                <w:b w:val="1"/>
                <w:bCs w:val="1"/>
                <w:color w:val="auto"/>
                <w:w w:val="98"/>
              </w:rPr>
              <w:t>Granted</w:t>
            </w:r>
          </w:p>
        </w:tc>
        <w:tc>
          <w:tcPr>
            <w:tcW w:w="1020" w:type="dxa"/>
            <w:vAlign w:val="bottom"/>
            <w:gridSpan w:val="2"/>
          </w:tcPr>
          <w:p>
            <w:pPr>
              <w:jc w:val="center"/>
              <w:ind w:right="120"/>
              <w:spacing w:after="0" w:line="144"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1060" w:type="dxa"/>
            <w:vAlign w:val="bottom"/>
            <w:gridSpan w:val="2"/>
          </w:tcPr>
          <w:p>
            <w:pPr>
              <w:jc w:val="center"/>
              <w:ind w:right="100"/>
              <w:spacing w:after="0" w:line="144" w:lineRule="exact"/>
              <w:rPr>
                <w:sz w:val="20"/>
                <w:szCs w:val="20"/>
                <w:color w:val="auto"/>
              </w:rPr>
            </w:pPr>
            <w:r>
              <w:rPr>
                <w:rFonts w:ascii="Times New Roman" w:cs="Times New Roman" w:eastAsia="Times New Roman" w:hAnsi="Times New Roman"/>
                <w:sz w:val="14"/>
                <w:szCs w:val="14"/>
                <w:b w:val="1"/>
                <w:bCs w:val="1"/>
                <w:color w:val="auto"/>
              </w:rPr>
              <w:t>as of</w:t>
            </w:r>
          </w:p>
        </w:tc>
        <w:tc>
          <w:tcPr>
            <w:tcW w:w="1080" w:type="dxa"/>
            <w:vAlign w:val="bottom"/>
            <w:gridSpan w:val="2"/>
          </w:tcPr>
          <w:p>
            <w:pPr>
              <w:jc w:val="center"/>
              <w:ind w:right="100"/>
              <w:spacing w:after="0" w:line="144" w:lineRule="exact"/>
              <w:rPr>
                <w:sz w:val="20"/>
                <w:szCs w:val="20"/>
                <w:color w:val="auto"/>
              </w:rPr>
            </w:pPr>
            <w:r>
              <w:rPr>
                <w:rFonts w:ascii="Times New Roman" w:cs="Times New Roman" w:eastAsia="Times New Roman" w:hAnsi="Times New Roman"/>
                <w:sz w:val="14"/>
                <w:szCs w:val="14"/>
                <w:b w:val="1"/>
                <w:bCs w:val="1"/>
                <w:color w:val="auto"/>
                <w:w w:val="96"/>
              </w:rPr>
              <w:t>Vesting Date</w:t>
            </w:r>
          </w:p>
        </w:tc>
        <w:tc>
          <w:tcPr>
            <w:tcW w:w="980" w:type="dxa"/>
            <w:vAlign w:val="bottom"/>
            <w:gridSpan w:val="2"/>
          </w:tcPr>
          <w:p>
            <w:pPr>
              <w:jc w:val="center"/>
              <w:ind w:right="120"/>
              <w:spacing w:after="0" w:line="144" w:lineRule="exact"/>
              <w:rPr>
                <w:sz w:val="20"/>
                <w:szCs w:val="20"/>
                <w:color w:val="auto"/>
              </w:rPr>
            </w:pPr>
            <w:r>
              <w:rPr>
                <w:rFonts w:ascii="Times New Roman" w:cs="Times New Roman" w:eastAsia="Times New Roman" w:hAnsi="Times New Roman"/>
                <w:sz w:val="14"/>
                <w:szCs w:val="14"/>
                <w:b w:val="1"/>
                <w:bCs w:val="1"/>
                <w:color w:val="auto"/>
                <w:w w:val="95"/>
              </w:rPr>
              <w:t>Prior Year</w:t>
            </w:r>
          </w:p>
        </w:tc>
        <w:tc>
          <w:tcPr>
            <w:tcW w:w="1140" w:type="dxa"/>
            <w:vAlign w:val="bottom"/>
            <w:gridSpan w:val="2"/>
          </w:tcPr>
          <w:p>
            <w:pPr>
              <w:jc w:val="center"/>
              <w:ind w:right="120"/>
              <w:spacing w:after="0" w:line="144" w:lineRule="exact"/>
              <w:rPr>
                <w:sz w:val="20"/>
                <w:szCs w:val="20"/>
                <w:color w:val="auto"/>
              </w:rPr>
            </w:pPr>
            <w:r>
              <w:rPr>
                <w:rFonts w:ascii="Times New Roman" w:cs="Times New Roman" w:eastAsia="Times New Roman" w:hAnsi="Times New Roman"/>
                <w:sz w:val="14"/>
                <w:szCs w:val="14"/>
                <w:b w:val="1"/>
                <w:bCs w:val="1"/>
                <w:color w:val="auto"/>
              </w:rPr>
              <w:t>Other Earnings</w:t>
            </w: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gridSpan w:val="2"/>
          </w:tcPr>
          <w:p>
            <w:pPr>
              <w:jc w:val="center"/>
              <w:ind w:right="100"/>
              <w:spacing w:after="0" w:line="144" w:lineRule="exact"/>
              <w:rPr>
                <w:sz w:val="20"/>
                <w:szCs w:val="20"/>
                <w:color w:val="auto"/>
              </w:rPr>
            </w:pPr>
            <w:r>
              <w:rPr>
                <w:rFonts w:ascii="Times New Roman" w:cs="Times New Roman" w:eastAsia="Times New Roman" w:hAnsi="Times New Roman"/>
                <w:sz w:val="14"/>
                <w:szCs w:val="14"/>
                <w:b w:val="1"/>
                <w:bCs w:val="1"/>
                <w:color w:val="auto"/>
                <w:w w:val="98"/>
              </w:rPr>
              <w:t>During</w:t>
            </w:r>
          </w:p>
        </w:tc>
        <w:tc>
          <w:tcPr>
            <w:tcW w:w="1020" w:type="dxa"/>
            <w:vAlign w:val="bottom"/>
            <w:gridSpan w:val="2"/>
          </w:tcPr>
          <w:p>
            <w:pPr>
              <w:jc w:val="center"/>
              <w:ind w:right="120"/>
              <w:spacing w:after="0" w:line="144" w:lineRule="exact"/>
              <w:rPr>
                <w:sz w:val="20"/>
                <w:szCs w:val="20"/>
                <w:color w:val="auto"/>
              </w:rPr>
            </w:pPr>
            <w:r>
              <w:rPr>
                <w:rFonts w:ascii="Times New Roman" w:cs="Times New Roman" w:eastAsia="Times New Roman" w:hAnsi="Times New Roman"/>
                <w:sz w:val="14"/>
                <w:szCs w:val="14"/>
                <w:b w:val="1"/>
                <w:bCs w:val="1"/>
                <w:color w:val="auto"/>
              </w:rPr>
              <w:t>Granted in</w:t>
            </w:r>
          </w:p>
        </w:tc>
        <w:tc>
          <w:tcPr>
            <w:tcW w:w="1060" w:type="dxa"/>
            <w:vAlign w:val="bottom"/>
            <w:gridSpan w:val="2"/>
          </w:tcPr>
          <w:p>
            <w:pPr>
              <w:jc w:val="center"/>
              <w:ind w:right="100"/>
              <w:spacing w:after="0" w:line="144" w:lineRule="exact"/>
              <w:rPr>
                <w:sz w:val="20"/>
                <w:szCs w:val="20"/>
                <w:color w:val="auto"/>
              </w:rPr>
            </w:pPr>
            <w:r>
              <w:rPr>
                <w:rFonts w:ascii="Times New Roman" w:cs="Times New Roman" w:eastAsia="Times New Roman" w:hAnsi="Times New Roman"/>
                <w:sz w:val="14"/>
                <w:szCs w:val="14"/>
                <w:b w:val="1"/>
                <w:bCs w:val="1"/>
                <w:color w:val="auto"/>
                <w:w w:val="97"/>
              </w:rPr>
              <w:t>Vesting</w:t>
            </w:r>
          </w:p>
        </w:tc>
        <w:tc>
          <w:tcPr>
            <w:tcW w:w="1080" w:type="dxa"/>
            <w:vAlign w:val="bottom"/>
            <w:gridSpan w:val="2"/>
          </w:tcPr>
          <w:p>
            <w:pPr>
              <w:jc w:val="center"/>
              <w:ind w:right="100"/>
              <w:spacing w:after="0" w:line="144" w:lineRule="exact"/>
              <w:rPr>
                <w:sz w:val="20"/>
                <w:szCs w:val="20"/>
                <w:color w:val="auto"/>
              </w:rPr>
            </w:pPr>
            <w:r>
              <w:rPr>
                <w:rFonts w:ascii="Times New Roman" w:cs="Times New Roman" w:eastAsia="Times New Roman" w:hAnsi="Times New Roman"/>
                <w:sz w:val="14"/>
                <w:szCs w:val="14"/>
                <w:b w:val="1"/>
                <w:bCs w:val="1"/>
                <w:color w:val="auto"/>
                <w:w w:val="96"/>
              </w:rPr>
              <w:t>of Equity</w:t>
            </w:r>
          </w:p>
        </w:tc>
        <w:tc>
          <w:tcPr>
            <w:tcW w:w="980" w:type="dxa"/>
            <w:vAlign w:val="bottom"/>
            <w:gridSpan w:val="2"/>
          </w:tcPr>
          <w:p>
            <w:pPr>
              <w:jc w:val="center"/>
              <w:ind w:right="120"/>
              <w:spacing w:after="0" w:line="144" w:lineRule="exact"/>
              <w:rPr>
                <w:sz w:val="20"/>
                <w:szCs w:val="20"/>
                <w:color w:val="auto"/>
              </w:rPr>
            </w:pPr>
            <w:r>
              <w:rPr>
                <w:rFonts w:ascii="Times New Roman" w:cs="Times New Roman" w:eastAsia="Times New Roman" w:hAnsi="Times New Roman"/>
                <w:sz w:val="14"/>
                <w:szCs w:val="14"/>
                <w:b w:val="1"/>
                <w:bCs w:val="1"/>
                <w:color w:val="auto"/>
                <w:w w:val="96"/>
              </w:rPr>
              <w:t>of Equity</w:t>
            </w:r>
          </w:p>
        </w:tc>
        <w:tc>
          <w:tcPr>
            <w:tcW w:w="1140" w:type="dxa"/>
            <w:vAlign w:val="bottom"/>
            <w:gridSpan w:val="2"/>
          </w:tcPr>
          <w:p>
            <w:pPr>
              <w:jc w:val="center"/>
              <w:ind w:right="120"/>
              <w:spacing w:after="0" w:line="144" w:lineRule="exact"/>
              <w:rPr>
                <w:sz w:val="20"/>
                <w:szCs w:val="20"/>
                <w:color w:val="auto"/>
              </w:rPr>
            </w:pPr>
            <w:r>
              <w:rPr>
                <w:rFonts w:ascii="Times New Roman" w:cs="Times New Roman" w:eastAsia="Times New Roman" w:hAnsi="Times New Roman"/>
                <w:sz w:val="14"/>
                <w:szCs w:val="14"/>
                <w:b w:val="1"/>
                <w:bCs w:val="1"/>
                <w:color w:val="auto"/>
                <w:w w:val="98"/>
              </w:rPr>
              <w:t>Paid on Stock or</w:t>
            </w: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gridSpan w:val="2"/>
          </w:tcPr>
          <w:p>
            <w:pPr>
              <w:jc w:val="center"/>
              <w:ind w:right="120"/>
              <w:spacing w:after="0" w:line="144" w:lineRule="exact"/>
              <w:rPr>
                <w:sz w:val="20"/>
                <w:szCs w:val="20"/>
                <w:color w:val="auto"/>
              </w:rPr>
            </w:pPr>
            <w:r>
              <w:rPr>
                <w:rFonts w:ascii="Times New Roman" w:cs="Times New Roman" w:eastAsia="Times New Roman" w:hAnsi="Times New Roman"/>
                <w:sz w:val="14"/>
                <w:szCs w:val="14"/>
                <w:b w:val="1"/>
                <w:bCs w:val="1"/>
                <w:color w:val="auto"/>
                <w:w w:val="97"/>
              </w:rPr>
              <w:t>Year that</w:t>
            </w:r>
          </w:p>
        </w:tc>
        <w:tc>
          <w:tcPr>
            <w:tcW w:w="1020" w:type="dxa"/>
            <w:vAlign w:val="bottom"/>
            <w:gridSpan w:val="2"/>
          </w:tcPr>
          <w:p>
            <w:pPr>
              <w:jc w:val="center"/>
              <w:ind w:right="100"/>
              <w:spacing w:after="0" w:line="144" w:lineRule="exact"/>
              <w:rPr>
                <w:sz w:val="20"/>
                <w:szCs w:val="20"/>
                <w:color w:val="auto"/>
              </w:rPr>
            </w:pPr>
            <w:r>
              <w:rPr>
                <w:rFonts w:ascii="Times New Roman" w:cs="Times New Roman" w:eastAsia="Times New Roman" w:hAnsi="Times New Roman"/>
                <w:sz w:val="14"/>
                <w:szCs w:val="14"/>
                <w:b w:val="1"/>
                <w:bCs w:val="1"/>
                <w:color w:val="auto"/>
                <w:w w:val="96"/>
              </w:rPr>
              <w:t>Prior Years</w:t>
            </w:r>
          </w:p>
        </w:tc>
        <w:tc>
          <w:tcPr>
            <w:tcW w:w="1060" w:type="dxa"/>
            <w:vAlign w:val="bottom"/>
            <w:gridSpan w:val="2"/>
          </w:tcPr>
          <w:p>
            <w:pPr>
              <w:jc w:val="center"/>
              <w:ind w:right="120"/>
              <w:spacing w:after="0" w:line="144" w:lineRule="exact"/>
              <w:rPr>
                <w:sz w:val="20"/>
                <w:szCs w:val="20"/>
                <w:color w:val="auto"/>
              </w:rPr>
            </w:pPr>
            <w:r>
              <w:rPr>
                <w:rFonts w:ascii="Times New Roman" w:cs="Times New Roman" w:eastAsia="Times New Roman" w:hAnsi="Times New Roman"/>
                <w:sz w:val="14"/>
                <w:szCs w:val="14"/>
                <w:b w:val="1"/>
                <w:bCs w:val="1"/>
                <w:color w:val="auto"/>
                <w:w w:val="98"/>
              </w:rPr>
              <w:t>Date of Equity</w:t>
            </w:r>
          </w:p>
        </w:tc>
        <w:tc>
          <w:tcPr>
            <w:tcW w:w="1080" w:type="dxa"/>
            <w:vAlign w:val="bottom"/>
            <w:gridSpan w:val="2"/>
          </w:tcPr>
          <w:p>
            <w:pPr>
              <w:jc w:val="center"/>
              <w:ind w:right="100"/>
              <w:spacing w:after="0" w:line="144"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980" w:type="dxa"/>
            <w:vAlign w:val="bottom"/>
            <w:gridSpan w:val="2"/>
          </w:tcPr>
          <w:p>
            <w:pPr>
              <w:jc w:val="center"/>
              <w:ind w:right="120"/>
              <w:spacing w:after="0" w:line="144" w:lineRule="exact"/>
              <w:rPr>
                <w:sz w:val="20"/>
                <w:szCs w:val="20"/>
                <w:color w:val="auto"/>
              </w:rPr>
            </w:pPr>
            <w:r>
              <w:rPr>
                <w:rFonts w:ascii="Times New Roman" w:cs="Times New Roman" w:eastAsia="Times New Roman" w:hAnsi="Times New Roman"/>
                <w:sz w:val="14"/>
                <w:szCs w:val="14"/>
                <w:b w:val="1"/>
                <w:bCs w:val="1"/>
                <w:color w:val="auto"/>
                <w:w w:val="99"/>
              </w:rPr>
              <w:t>Awards that</w:t>
            </w:r>
          </w:p>
        </w:tc>
        <w:tc>
          <w:tcPr>
            <w:tcW w:w="1140" w:type="dxa"/>
            <w:vAlign w:val="bottom"/>
            <w:gridSpan w:val="2"/>
          </w:tcPr>
          <w:p>
            <w:pPr>
              <w:jc w:val="center"/>
              <w:ind w:right="120"/>
              <w:spacing w:after="0" w:line="144" w:lineRule="exact"/>
              <w:rPr>
                <w:sz w:val="20"/>
                <w:szCs w:val="20"/>
                <w:color w:val="auto"/>
              </w:rPr>
            </w:pPr>
            <w:r>
              <w:rPr>
                <w:rFonts w:ascii="Times New Roman" w:cs="Times New Roman" w:eastAsia="Times New Roman" w:hAnsi="Times New Roman"/>
                <w:sz w:val="14"/>
                <w:szCs w:val="14"/>
                <w:b w:val="1"/>
                <w:bCs w:val="1"/>
                <w:color w:val="auto"/>
                <w:w w:val="97"/>
              </w:rPr>
              <w:t>Option Awards</w:t>
            </w: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gridSpan w:val="2"/>
          </w:tcPr>
          <w:p>
            <w:pPr>
              <w:jc w:val="center"/>
              <w:ind w:right="120"/>
              <w:spacing w:after="0" w:line="144" w:lineRule="exact"/>
              <w:rPr>
                <w:sz w:val="20"/>
                <w:szCs w:val="20"/>
                <w:color w:val="auto"/>
              </w:rPr>
            </w:pPr>
            <w:r>
              <w:rPr>
                <w:rFonts w:ascii="Times New Roman" w:cs="Times New Roman" w:eastAsia="Times New Roman" w:hAnsi="Times New Roman"/>
                <w:sz w:val="14"/>
                <w:szCs w:val="14"/>
                <w:b w:val="1"/>
                <w:bCs w:val="1"/>
                <w:color w:val="auto"/>
                <w:w w:val="98"/>
              </w:rPr>
              <w:t>Remained</w:t>
            </w:r>
          </w:p>
        </w:tc>
        <w:tc>
          <w:tcPr>
            <w:tcW w:w="1020" w:type="dxa"/>
            <w:vAlign w:val="bottom"/>
            <w:gridSpan w:val="2"/>
          </w:tcPr>
          <w:p>
            <w:pPr>
              <w:jc w:val="center"/>
              <w:ind w:right="100"/>
              <w:spacing w:after="0" w:line="144" w:lineRule="exact"/>
              <w:rPr>
                <w:sz w:val="20"/>
                <w:szCs w:val="20"/>
                <w:color w:val="auto"/>
              </w:rPr>
            </w:pPr>
            <w:r>
              <w:rPr>
                <w:rFonts w:ascii="Times New Roman" w:cs="Times New Roman" w:eastAsia="Times New Roman" w:hAnsi="Times New Roman"/>
                <w:sz w:val="14"/>
                <w:szCs w:val="14"/>
                <w:b w:val="1"/>
                <w:bCs w:val="1"/>
                <w:color w:val="auto"/>
                <w:w w:val="99"/>
              </w:rPr>
              <w:t>that Remained</w:t>
            </w:r>
          </w:p>
        </w:tc>
        <w:tc>
          <w:tcPr>
            <w:tcW w:w="1060" w:type="dxa"/>
            <w:vAlign w:val="bottom"/>
            <w:gridSpan w:val="2"/>
          </w:tcPr>
          <w:p>
            <w:pPr>
              <w:jc w:val="right"/>
              <w:ind w:right="80"/>
              <w:spacing w:after="0" w:line="144" w:lineRule="exact"/>
              <w:rPr>
                <w:sz w:val="20"/>
                <w:szCs w:val="20"/>
                <w:color w:val="auto"/>
              </w:rPr>
            </w:pPr>
            <w:r>
              <w:rPr>
                <w:rFonts w:ascii="Times New Roman" w:cs="Times New Roman" w:eastAsia="Times New Roman" w:hAnsi="Times New Roman"/>
                <w:sz w:val="14"/>
                <w:szCs w:val="14"/>
                <w:b w:val="1"/>
                <w:bCs w:val="1"/>
                <w:color w:val="auto"/>
                <w:w w:val="95"/>
              </w:rPr>
              <w:t>Awards Granted</w:t>
            </w:r>
          </w:p>
        </w:tc>
        <w:tc>
          <w:tcPr>
            <w:tcW w:w="1080" w:type="dxa"/>
            <w:vAlign w:val="bottom"/>
            <w:gridSpan w:val="2"/>
          </w:tcPr>
          <w:p>
            <w:pPr>
              <w:jc w:val="center"/>
              <w:ind w:right="100"/>
              <w:spacing w:after="0" w:line="144" w:lineRule="exact"/>
              <w:rPr>
                <w:sz w:val="20"/>
                <w:szCs w:val="20"/>
                <w:color w:val="auto"/>
              </w:rPr>
            </w:pPr>
            <w:r>
              <w:rPr>
                <w:rFonts w:ascii="Times New Roman" w:cs="Times New Roman" w:eastAsia="Times New Roman" w:hAnsi="Times New Roman"/>
                <w:sz w:val="14"/>
                <w:szCs w:val="14"/>
                <w:b w:val="1"/>
                <w:bCs w:val="1"/>
                <w:color w:val="auto"/>
              </w:rPr>
              <w:t>Granted in</w:t>
            </w:r>
          </w:p>
        </w:tc>
        <w:tc>
          <w:tcPr>
            <w:tcW w:w="980" w:type="dxa"/>
            <w:vAlign w:val="bottom"/>
            <w:gridSpan w:val="2"/>
          </w:tcPr>
          <w:p>
            <w:pPr>
              <w:jc w:val="center"/>
              <w:ind w:right="120"/>
              <w:spacing w:after="0" w:line="144" w:lineRule="exact"/>
              <w:rPr>
                <w:sz w:val="20"/>
                <w:szCs w:val="20"/>
                <w:color w:val="auto"/>
              </w:rPr>
            </w:pPr>
            <w:r>
              <w:rPr>
                <w:rFonts w:ascii="Times New Roman" w:cs="Times New Roman" w:eastAsia="Times New Roman" w:hAnsi="Times New Roman"/>
                <w:sz w:val="14"/>
                <w:szCs w:val="14"/>
                <w:b w:val="1"/>
                <w:bCs w:val="1"/>
                <w:color w:val="auto"/>
              </w:rPr>
              <w:t>Failed to</w:t>
            </w:r>
          </w:p>
        </w:tc>
        <w:tc>
          <w:tcPr>
            <w:tcW w:w="1140" w:type="dxa"/>
            <w:vAlign w:val="bottom"/>
            <w:gridSpan w:val="2"/>
          </w:tcPr>
          <w:p>
            <w:pPr>
              <w:jc w:val="center"/>
              <w:ind w:right="140"/>
              <w:spacing w:after="0" w:line="144" w:lineRule="exact"/>
              <w:rPr>
                <w:sz w:val="20"/>
                <w:szCs w:val="20"/>
                <w:color w:val="auto"/>
              </w:rPr>
            </w:pPr>
            <w:r>
              <w:rPr>
                <w:rFonts w:ascii="Times New Roman" w:cs="Times New Roman" w:eastAsia="Times New Roman" w:hAnsi="Times New Roman"/>
                <w:sz w:val="14"/>
                <w:szCs w:val="14"/>
                <w:b w:val="1"/>
                <w:bCs w:val="1"/>
                <w:color w:val="auto"/>
                <w:w w:val="99"/>
              </w:rPr>
              <w:t>not Otherwise</w:t>
            </w:r>
          </w:p>
        </w:tc>
        <w:tc>
          <w:tcPr>
            <w:tcW w:w="980" w:type="dxa"/>
            <w:vAlign w:val="bottom"/>
            <w:vMerge w:val="restart"/>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Total Equity</w:t>
            </w:r>
          </w:p>
        </w:tc>
        <w:tc>
          <w:tcPr>
            <w:tcW w:w="0" w:type="dxa"/>
            <w:vAlign w:val="bottom"/>
          </w:tcPr>
          <w:p>
            <w:pPr>
              <w:spacing w:after="0"/>
              <w:rPr>
                <w:sz w:val="1"/>
                <w:szCs w:val="1"/>
                <w:color w:val="auto"/>
              </w:rPr>
            </w:pPr>
          </w:p>
        </w:tc>
      </w:tr>
      <w:tr>
        <w:trPr>
          <w:trHeight w:val="144"/>
        </w:trPr>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gridSpan w:val="2"/>
          </w:tcPr>
          <w:p>
            <w:pPr>
              <w:jc w:val="center"/>
              <w:ind w:right="100"/>
              <w:spacing w:after="0" w:line="144" w:lineRule="exact"/>
              <w:rPr>
                <w:sz w:val="20"/>
                <w:szCs w:val="20"/>
                <w:color w:val="auto"/>
              </w:rPr>
            </w:pPr>
            <w:r>
              <w:rPr>
                <w:rFonts w:ascii="Times New Roman" w:cs="Times New Roman" w:eastAsia="Times New Roman" w:hAnsi="Times New Roman"/>
                <w:sz w:val="14"/>
                <w:szCs w:val="14"/>
                <w:b w:val="1"/>
                <w:bCs w:val="1"/>
                <w:color w:val="auto"/>
                <w:w w:val="98"/>
              </w:rPr>
              <w:t>Unvested as</w:t>
            </w:r>
          </w:p>
        </w:tc>
        <w:tc>
          <w:tcPr>
            <w:tcW w:w="1020" w:type="dxa"/>
            <w:vAlign w:val="bottom"/>
            <w:gridSpan w:val="2"/>
          </w:tcPr>
          <w:p>
            <w:pPr>
              <w:jc w:val="center"/>
              <w:ind w:right="120"/>
              <w:spacing w:after="0" w:line="144" w:lineRule="exact"/>
              <w:rPr>
                <w:sz w:val="20"/>
                <w:szCs w:val="20"/>
                <w:color w:val="auto"/>
              </w:rPr>
            </w:pPr>
            <w:r>
              <w:rPr>
                <w:rFonts w:ascii="Times New Roman" w:cs="Times New Roman" w:eastAsia="Times New Roman" w:hAnsi="Times New Roman"/>
                <w:sz w:val="14"/>
                <w:szCs w:val="14"/>
                <w:b w:val="1"/>
                <w:bCs w:val="1"/>
                <w:color w:val="auto"/>
                <w:w w:val="99"/>
              </w:rPr>
              <w:t>Unvested as of</w:t>
            </w:r>
          </w:p>
        </w:tc>
        <w:tc>
          <w:tcPr>
            <w:tcW w:w="1060" w:type="dxa"/>
            <w:vAlign w:val="bottom"/>
            <w:gridSpan w:val="2"/>
          </w:tcPr>
          <w:p>
            <w:pPr>
              <w:jc w:val="right"/>
              <w:ind w:right="80"/>
              <w:spacing w:after="0" w:line="144" w:lineRule="exact"/>
              <w:rPr>
                <w:sz w:val="20"/>
                <w:szCs w:val="20"/>
                <w:color w:val="auto"/>
              </w:rPr>
            </w:pPr>
            <w:r>
              <w:rPr>
                <w:rFonts w:ascii="Times New Roman" w:cs="Times New Roman" w:eastAsia="Times New Roman" w:hAnsi="Times New Roman"/>
                <w:sz w:val="14"/>
                <w:szCs w:val="14"/>
                <w:b w:val="1"/>
                <w:bCs w:val="1"/>
                <w:color w:val="auto"/>
                <w:w w:val="94"/>
              </w:rPr>
              <w:t>During Year and</w:t>
            </w:r>
          </w:p>
        </w:tc>
        <w:tc>
          <w:tcPr>
            <w:tcW w:w="1080" w:type="dxa"/>
            <w:vAlign w:val="bottom"/>
            <w:gridSpan w:val="2"/>
          </w:tcPr>
          <w:p>
            <w:pPr>
              <w:jc w:val="center"/>
              <w:ind w:right="120"/>
              <w:spacing w:after="0" w:line="144" w:lineRule="exact"/>
              <w:rPr>
                <w:sz w:val="20"/>
                <w:szCs w:val="20"/>
                <w:color w:val="auto"/>
              </w:rPr>
            </w:pPr>
            <w:r>
              <w:rPr>
                <w:rFonts w:ascii="Times New Roman" w:cs="Times New Roman" w:eastAsia="Times New Roman" w:hAnsi="Times New Roman"/>
                <w:sz w:val="14"/>
                <w:szCs w:val="14"/>
                <w:b w:val="1"/>
                <w:bCs w:val="1"/>
                <w:color w:val="auto"/>
                <w:w w:val="96"/>
              </w:rPr>
              <w:t>Prior Years</w:t>
            </w:r>
          </w:p>
        </w:tc>
        <w:tc>
          <w:tcPr>
            <w:tcW w:w="980" w:type="dxa"/>
            <w:vAlign w:val="bottom"/>
            <w:gridSpan w:val="2"/>
          </w:tcPr>
          <w:p>
            <w:pPr>
              <w:jc w:val="center"/>
              <w:ind w:right="120"/>
              <w:spacing w:after="0" w:line="144" w:lineRule="exact"/>
              <w:rPr>
                <w:sz w:val="20"/>
                <w:szCs w:val="20"/>
                <w:color w:val="auto"/>
              </w:rPr>
            </w:pPr>
            <w:r>
              <w:rPr>
                <w:rFonts w:ascii="Times New Roman" w:cs="Times New Roman" w:eastAsia="Times New Roman" w:hAnsi="Times New Roman"/>
                <w:sz w:val="14"/>
                <w:szCs w:val="14"/>
                <w:b w:val="1"/>
                <w:bCs w:val="1"/>
                <w:color w:val="auto"/>
                <w:w w:val="98"/>
              </w:rPr>
              <w:t>Meet Vesting</w:t>
            </w:r>
          </w:p>
        </w:tc>
        <w:tc>
          <w:tcPr>
            <w:tcW w:w="1140" w:type="dxa"/>
            <w:vAlign w:val="bottom"/>
            <w:gridSpan w:val="2"/>
          </w:tcPr>
          <w:p>
            <w:pPr>
              <w:jc w:val="center"/>
              <w:ind w:right="140"/>
              <w:spacing w:after="0" w:line="144" w:lineRule="exact"/>
              <w:rPr>
                <w:sz w:val="20"/>
                <w:szCs w:val="20"/>
                <w:color w:val="auto"/>
              </w:rPr>
            </w:pPr>
            <w:r>
              <w:rPr>
                <w:rFonts w:ascii="Times New Roman" w:cs="Times New Roman" w:eastAsia="Times New Roman" w:hAnsi="Times New Roman"/>
                <w:sz w:val="14"/>
                <w:szCs w:val="14"/>
                <w:b w:val="1"/>
                <w:bCs w:val="1"/>
                <w:color w:val="auto"/>
                <w:w w:val="99"/>
              </w:rPr>
              <w:t>Reflected in Fair</w:t>
            </w: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Year</w:t>
            </w:r>
          </w:p>
        </w:tc>
        <w:tc>
          <w:tcPr>
            <w:tcW w:w="1200" w:type="dxa"/>
            <w:vAlign w:val="bottom"/>
            <w:gridSpan w:val="2"/>
          </w:tcPr>
          <w:p>
            <w:pPr>
              <w:jc w:val="center"/>
              <w:ind w:right="100"/>
              <w:spacing w:after="0" w:line="144" w:lineRule="exact"/>
              <w:rPr>
                <w:sz w:val="20"/>
                <w:szCs w:val="20"/>
                <w:color w:val="auto"/>
              </w:rPr>
            </w:pPr>
            <w:r>
              <w:rPr>
                <w:rFonts w:ascii="Times New Roman" w:cs="Times New Roman" w:eastAsia="Times New Roman" w:hAnsi="Times New Roman"/>
                <w:sz w:val="14"/>
                <w:szCs w:val="14"/>
                <w:b w:val="1"/>
                <w:bCs w:val="1"/>
                <w:color w:val="auto"/>
              </w:rPr>
              <w:t>of Last Day</w:t>
            </w:r>
          </w:p>
        </w:tc>
        <w:tc>
          <w:tcPr>
            <w:tcW w:w="1020" w:type="dxa"/>
            <w:vAlign w:val="bottom"/>
            <w:gridSpan w:val="2"/>
          </w:tcPr>
          <w:p>
            <w:pPr>
              <w:jc w:val="center"/>
              <w:ind w:right="120"/>
              <w:spacing w:after="0" w:line="144" w:lineRule="exact"/>
              <w:rPr>
                <w:sz w:val="20"/>
                <w:szCs w:val="20"/>
                <w:color w:val="auto"/>
              </w:rPr>
            </w:pPr>
            <w:r>
              <w:rPr>
                <w:rFonts w:ascii="Times New Roman" w:cs="Times New Roman" w:eastAsia="Times New Roman" w:hAnsi="Times New Roman"/>
                <w:sz w:val="14"/>
                <w:szCs w:val="14"/>
                <w:b w:val="1"/>
                <w:bCs w:val="1"/>
                <w:color w:val="auto"/>
              </w:rPr>
              <w:t>Last Day of</w:t>
            </w:r>
          </w:p>
        </w:tc>
        <w:tc>
          <w:tcPr>
            <w:tcW w:w="1060" w:type="dxa"/>
            <w:vAlign w:val="bottom"/>
            <w:gridSpan w:val="2"/>
          </w:tcPr>
          <w:p>
            <w:pPr>
              <w:jc w:val="center"/>
              <w:ind w:right="100"/>
              <w:spacing w:after="0" w:line="144" w:lineRule="exact"/>
              <w:rPr>
                <w:sz w:val="20"/>
                <w:szCs w:val="20"/>
                <w:color w:val="auto"/>
              </w:rPr>
            </w:pPr>
            <w:r>
              <w:rPr>
                <w:rFonts w:ascii="Times New Roman" w:cs="Times New Roman" w:eastAsia="Times New Roman" w:hAnsi="Times New Roman"/>
                <w:sz w:val="14"/>
                <w:szCs w:val="14"/>
                <w:b w:val="1"/>
                <w:bCs w:val="1"/>
                <w:color w:val="auto"/>
                <w:w w:val="97"/>
              </w:rPr>
              <w:t>Vested in the</w:t>
            </w:r>
          </w:p>
        </w:tc>
        <w:tc>
          <w:tcPr>
            <w:tcW w:w="1080" w:type="dxa"/>
            <w:vAlign w:val="bottom"/>
            <w:gridSpan w:val="2"/>
          </w:tcPr>
          <w:p>
            <w:pPr>
              <w:jc w:val="center"/>
              <w:ind w:right="100"/>
              <w:spacing w:after="0" w:line="144" w:lineRule="exact"/>
              <w:rPr>
                <w:sz w:val="20"/>
                <w:szCs w:val="20"/>
                <w:color w:val="auto"/>
              </w:rPr>
            </w:pPr>
            <w:r>
              <w:rPr>
                <w:rFonts w:ascii="Times New Roman" w:cs="Times New Roman" w:eastAsia="Times New Roman" w:hAnsi="Times New Roman"/>
                <w:sz w:val="14"/>
                <w:szCs w:val="14"/>
                <w:b w:val="1"/>
                <w:bCs w:val="1"/>
                <w:color w:val="auto"/>
                <w:w w:val="98"/>
              </w:rPr>
              <w:t>that Vested in</w:t>
            </w:r>
          </w:p>
        </w:tc>
        <w:tc>
          <w:tcPr>
            <w:tcW w:w="980" w:type="dxa"/>
            <w:vAlign w:val="bottom"/>
            <w:gridSpan w:val="2"/>
          </w:tcPr>
          <w:p>
            <w:pPr>
              <w:jc w:val="center"/>
              <w:ind w:right="120"/>
              <w:spacing w:after="0" w:line="144" w:lineRule="exact"/>
              <w:rPr>
                <w:sz w:val="20"/>
                <w:szCs w:val="20"/>
                <w:color w:val="auto"/>
              </w:rPr>
            </w:pPr>
            <w:r>
              <w:rPr>
                <w:rFonts w:ascii="Times New Roman" w:cs="Times New Roman" w:eastAsia="Times New Roman" w:hAnsi="Times New Roman"/>
                <w:sz w:val="14"/>
                <w:szCs w:val="14"/>
                <w:b w:val="1"/>
                <w:bCs w:val="1"/>
                <w:color w:val="auto"/>
              </w:rPr>
              <w:t>Conditions in</w:t>
            </w:r>
          </w:p>
        </w:tc>
        <w:tc>
          <w:tcPr>
            <w:tcW w:w="1140" w:type="dxa"/>
            <w:vAlign w:val="bottom"/>
            <w:gridSpan w:val="2"/>
          </w:tcPr>
          <w:p>
            <w:pPr>
              <w:jc w:val="center"/>
              <w:ind w:right="140"/>
              <w:spacing w:after="0" w:line="144" w:lineRule="exact"/>
              <w:rPr>
                <w:sz w:val="20"/>
                <w:szCs w:val="20"/>
                <w:color w:val="auto"/>
              </w:rPr>
            </w:pPr>
            <w:r>
              <w:rPr>
                <w:rFonts w:ascii="Times New Roman" w:cs="Times New Roman" w:eastAsia="Times New Roman" w:hAnsi="Times New Roman"/>
                <w:sz w:val="14"/>
                <w:szCs w:val="14"/>
                <w:b w:val="1"/>
                <w:bCs w:val="1"/>
                <w:color w:val="auto"/>
                <w:w w:val="96"/>
              </w:rPr>
              <w:t>Value or Total</w:t>
            </w:r>
          </w:p>
        </w:tc>
        <w:tc>
          <w:tcPr>
            <w:tcW w:w="980" w:type="dxa"/>
            <w:vAlign w:val="bottom"/>
          </w:tcPr>
          <w:p>
            <w:pPr>
              <w:jc w:val="right"/>
              <w:ind w:right="250"/>
              <w:spacing w:after="0" w:line="144" w:lineRule="exact"/>
              <w:rPr>
                <w:sz w:val="20"/>
                <w:szCs w:val="20"/>
                <w:color w:val="auto"/>
              </w:rPr>
            </w:pPr>
            <w:r>
              <w:rPr>
                <w:rFonts w:ascii="Times New Roman" w:cs="Times New Roman" w:eastAsia="Times New Roman" w:hAnsi="Times New Roman"/>
                <w:sz w:val="14"/>
                <w:szCs w:val="14"/>
                <w:b w:val="1"/>
                <w:bCs w:val="1"/>
                <w:color w:val="auto"/>
              </w:rPr>
              <w:t>Award</w:t>
            </w:r>
          </w:p>
        </w:tc>
        <w:tc>
          <w:tcPr>
            <w:tcW w:w="0" w:type="dxa"/>
            <w:vAlign w:val="bottom"/>
          </w:tcPr>
          <w:p>
            <w:pPr>
              <w:spacing w:after="0"/>
              <w:rPr>
                <w:sz w:val="1"/>
                <w:szCs w:val="1"/>
                <w:color w:val="auto"/>
              </w:rPr>
            </w:pPr>
          </w:p>
        </w:tc>
      </w:tr>
      <w:tr>
        <w:trPr>
          <w:trHeight w:val="184"/>
        </w:trPr>
        <w:tc>
          <w:tcPr>
            <w:tcW w:w="400" w:type="dxa"/>
            <w:vAlign w:val="bottom"/>
            <w:gridSpan w:val="2"/>
            <w:vMerge w:val="continue"/>
          </w:tcPr>
          <w:p>
            <w:pPr>
              <w:spacing w:after="0"/>
              <w:rPr>
                <w:sz w:val="16"/>
                <w:szCs w:val="16"/>
                <w:color w:val="auto"/>
              </w:rPr>
            </w:pP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of Year ($)</w:t>
            </w:r>
          </w:p>
        </w:tc>
        <w:tc>
          <w:tcPr>
            <w:tcW w:w="10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3"/>
              </w:rPr>
              <w:t>Year ($)</w:t>
            </w:r>
          </w:p>
        </w:tc>
        <w:tc>
          <w:tcPr>
            <w:tcW w:w="10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7"/>
              </w:rPr>
              <w:t>Year ($)</w:t>
            </w:r>
          </w:p>
        </w:tc>
        <w:tc>
          <w:tcPr>
            <w:tcW w:w="10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7"/>
              </w:rPr>
              <w:t>the Year ($)</w:t>
            </w:r>
          </w:p>
        </w:tc>
        <w:tc>
          <w:tcPr>
            <w:tcW w:w="9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7"/>
              </w:rPr>
              <w:t>the Year ($)</w:t>
            </w:r>
          </w:p>
        </w:tc>
        <w:tc>
          <w:tcPr>
            <w:tcW w:w="21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Compensation ($) Adjustments ($)</w:t>
            </w:r>
          </w:p>
        </w:tc>
        <w:tc>
          <w:tcPr>
            <w:tcW w:w="0" w:type="dxa"/>
            <w:vAlign w:val="bottom"/>
          </w:tcPr>
          <w:p>
            <w:pPr>
              <w:spacing w:after="0"/>
              <w:rPr>
                <w:sz w:val="1"/>
                <w:szCs w:val="1"/>
                <w:color w:val="auto"/>
              </w:rPr>
            </w:pPr>
          </w:p>
        </w:tc>
      </w:tr>
      <w:tr>
        <w:trPr>
          <w:trHeight w:val="23"/>
        </w:trPr>
        <w:tc>
          <w:tcPr>
            <w:tcW w:w="3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5"/>
        </w:trPr>
        <w:tc>
          <w:tcPr>
            <w:tcW w:w="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0"/>
              </w:rPr>
              <w:t>(i)</w:t>
            </w:r>
          </w:p>
        </w:tc>
        <w:tc>
          <w:tcPr>
            <w:tcW w:w="10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(ii)</w:t>
            </w:r>
          </w:p>
        </w:tc>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(iii)</w:t>
            </w:r>
          </w:p>
        </w:tc>
        <w:tc>
          <w:tcPr>
            <w:tcW w:w="10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(iv)</w:t>
            </w: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(v)</w:t>
            </w: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(vi)</w:t>
            </w: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5"/>
        </w:trPr>
        <w:tc>
          <w:tcPr>
            <w:tcW w:w="340" w:type="dxa"/>
            <w:vAlign w:val="bottom"/>
            <w:tcBorders>
              <w:bottom w:val="single" w:sz="8" w:color="CDE9F6"/>
            </w:tcBorders>
            <w:shd w:val="clear" w:color="auto" w:fill="CDE9F6"/>
          </w:tcPr>
          <w:p>
            <w:pPr>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Borders>
              <w:bottom w:val="single" w:sz="8" w:color="CDE9F6"/>
            </w:tcBorders>
            <w:shd w:val="clear" w:color="auto" w:fill="CDE9F6"/>
          </w:tcPr>
          <w:p>
            <w:pPr>
              <w:spacing w:after="0"/>
              <w:rPr>
                <w:sz w:val="22"/>
                <w:szCs w:val="22"/>
                <w:color w:val="auto"/>
              </w:rPr>
            </w:pPr>
          </w:p>
        </w:tc>
        <w:tc>
          <w:tcPr>
            <w:tcW w:w="1200" w:type="dxa"/>
            <w:vAlign w:val="bottom"/>
            <w:tcBorders>
              <w:bottom w:val="single" w:sz="8" w:color="CDE9F6"/>
            </w:tcBorders>
            <w:gridSpan w:val="2"/>
            <w:shd w:val="clear" w:color="auto" w:fill="CDE9F6"/>
          </w:tcPr>
          <w:p>
            <w:pPr>
              <w:jc w:val="right"/>
              <w:ind w:right="80"/>
              <w:spacing w:after="0"/>
              <w:rPr>
                <w:sz w:val="20"/>
                <w:szCs w:val="20"/>
                <w:color w:val="auto"/>
              </w:rPr>
            </w:pPr>
            <w:r>
              <w:rPr>
                <w:rFonts w:ascii="Times New Roman" w:cs="Times New Roman" w:eastAsia="Times New Roman" w:hAnsi="Times New Roman"/>
                <w:sz w:val="14"/>
                <w:szCs w:val="14"/>
                <w:color w:val="auto"/>
              </w:rPr>
              <w:t>5,322,921</w:t>
            </w:r>
          </w:p>
        </w:tc>
        <w:tc>
          <w:tcPr>
            <w:tcW w:w="940" w:type="dxa"/>
            <w:vAlign w:val="bottom"/>
            <w:tcBorders>
              <w:bottom w:val="single" w:sz="8" w:color="CDE9F6"/>
            </w:tcBorders>
            <w:shd w:val="clear" w:color="auto" w:fill="CDE9F6"/>
          </w:tcPr>
          <w:p>
            <w:pPr>
              <w:jc w:val="right"/>
              <w:ind w:right="10"/>
              <w:spacing w:after="0"/>
              <w:rPr>
                <w:sz w:val="20"/>
                <w:szCs w:val="20"/>
                <w:color w:val="auto"/>
              </w:rPr>
            </w:pPr>
            <w:r>
              <w:rPr>
                <w:rFonts w:ascii="Times New Roman" w:cs="Times New Roman" w:eastAsia="Times New Roman" w:hAnsi="Times New Roman"/>
                <w:sz w:val="14"/>
                <w:szCs w:val="14"/>
                <w:color w:val="auto"/>
              </w:rPr>
              <w:t>(6,216,031)</w:t>
            </w:r>
          </w:p>
        </w:tc>
        <w:tc>
          <w:tcPr>
            <w:tcW w:w="80" w:type="dxa"/>
            <w:vAlign w:val="bottom"/>
            <w:tcBorders>
              <w:bottom w:val="single" w:sz="8" w:color="CDE9F6"/>
            </w:tcBorders>
            <w:shd w:val="clear" w:color="auto" w:fill="CDE9F6"/>
          </w:tcPr>
          <w:p>
            <w:pPr>
              <w:spacing w:after="0"/>
              <w:rPr>
                <w:sz w:val="22"/>
                <w:szCs w:val="22"/>
                <w:color w:val="auto"/>
              </w:rPr>
            </w:pPr>
          </w:p>
        </w:tc>
        <w:tc>
          <w:tcPr>
            <w:tcW w:w="1060" w:type="dxa"/>
            <w:vAlign w:val="bottom"/>
            <w:tcBorders>
              <w:bottom w:val="single" w:sz="8" w:color="CDE9F6"/>
            </w:tcBorders>
            <w:gridSpan w:val="2"/>
            <w:shd w:val="clear" w:color="auto" w:fill="CDE9F6"/>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DE9F6"/>
            </w:tcBorders>
            <w:shd w:val="clear" w:color="auto" w:fill="CDE9F6"/>
          </w:tcPr>
          <w:p>
            <w:pPr>
              <w:jc w:val="right"/>
              <w:ind w:right="50"/>
              <w:spacing w:after="0"/>
              <w:rPr>
                <w:sz w:val="20"/>
                <w:szCs w:val="20"/>
                <w:color w:val="auto"/>
              </w:rPr>
            </w:pPr>
            <w:r>
              <w:rPr>
                <w:rFonts w:ascii="Times New Roman" w:cs="Times New Roman" w:eastAsia="Times New Roman" w:hAnsi="Times New Roman"/>
                <w:sz w:val="14"/>
                <w:szCs w:val="14"/>
                <w:color w:val="auto"/>
              </w:rPr>
              <w:t>735,287</w:t>
            </w:r>
          </w:p>
        </w:tc>
        <w:tc>
          <w:tcPr>
            <w:tcW w:w="80" w:type="dxa"/>
            <w:vAlign w:val="bottom"/>
            <w:tcBorders>
              <w:bottom w:val="single" w:sz="8" w:color="CDE9F6"/>
            </w:tcBorders>
            <w:shd w:val="clear" w:color="auto" w:fill="CDE9F6"/>
          </w:tcPr>
          <w:p>
            <w:pPr>
              <w:spacing w:after="0"/>
              <w:rPr>
                <w:sz w:val="22"/>
                <w:szCs w:val="22"/>
                <w:color w:val="auto"/>
              </w:rPr>
            </w:pPr>
          </w:p>
        </w:tc>
        <w:tc>
          <w:tcPr>
            <w:tcW w:w="980" w:type="dxa"/>
            <w:vAlign w:val="bottom"/>
            <w:tcBorders>
              <w:bottom w:val="single" w:sz="8" w:color="CDE9F6"/>
            </w:tcBorders>
            <w:gridSpan w:val="2"/>
            <w:shd w:val="clear" w:color="auto" w:fill="CDE9F6"/>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CDE9F6"/>
            </w:tcBorders>
            <w:gridSpan w:val="2"/>
            <w:shd w:val="clear" w:color="auto" w:fill="CDE9F6"/>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CDE9F6"/>
            </w:tcBorders>
            <w:shd w:val="clear" w:color="auto" w:fill="CDE9F6"/>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(157,824)</w:t>
            </w:r>
          </w:p>
        </w:tc>
        <w:tc>
          <w:tcPr>
            <w:tcW w:w="0" w:type="dxa"/>
            <w:vAlign w:val="bottom"/>
          </w:tcPr>
          <w:p>
            <w:pPr>
              <w:spacing w:after="0"/>
              <w:rPr>
                <w:sz w:val="1"/>
                <w:szCs w:val="1"/>
                <w:color w:val="auto"/>
              </w:rPr>
            </w:pPr>
          </w:p>
        </w:tc>
      </w:tr>
      <w:tr>
        <w:trPr>
          <w:trHeight w:val="252"/>
        </w:trPr>
        <w:tc>
          <w:tcPr>
            <w:tcW w:w="3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21"/>
                <w:szCs w:val="21"/>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19,354,832</w:t>
            </w: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13,769,599</w:t>
            </w:r>
          </w:p>
        </w:tc>
        <w:tc>
          <w:tcPr>
            <w:tcW w:w="80" w:type="dxa"/>
            <w:vAlign w:val="bottom"/>
          </w:tcPr>
          <w:p>
            <w:pPr>
              <w:spacing w:after="0"/>
              <w:rPr>
                <w:sz w:val="21"/>
                <w:szCs w:val="21"/>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3,389,013</w:t>
            </w:r>
          </w:p>
        </w:tc>
        <w:tc>
          <w:tcPr>
            <w:tcW w:w="80" w:type="dxa"/>
            <w:vAlign w:val="bottom"/>
          </w:tcPr>
          <w:p>
            <w:pPr>
              <w:spacing w:after="0"/>
              <w:rPr>
                <w:sz w:val="21"/>
                <w:szCs w:val="21"/>
                <w:color w:val="auto"/>
              </w:rPr>
            </w:pPr>
          </w:p>
        </w:tc>
        <w:tc>
          <w:tcPr>
            <w:tcW w:w="980" w:type="dxa"/>
            <w:vAlign w:val="bottom"/>
            <w:gridSpan w:val="2"/>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36,513,444</w:t>
            </w:r>
          </w:p>
        </w:tc>
        <w:tc>
          <w:tcPr>
            <w:tcW w:w="0" w:type="dxa"/>
            <w:vAlign w:val="bottom"/>
          </w:tcPr>
          <w:p>
            <w:pPr>
              <w:spacing w:after="0"/>
              <w:rPr>
                <w:sz w:val="1"/>
                <w:szCs w:val="1"/>
                <w:color w:val="auto"/>
              </w:rPr>
            </w:pPr>
          </w:p>
        </w:tc>
      </w:tr>
      <w:tr>
        <w:trPr>
          <w:trHeight w:val="23"/>
        </w:trPr>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5"/>
        </w:trPr>
        <w:tc>
          <w:tcPr>
            <w:tcW w:w="340" w:type="dxa"/>
            <w:vAlign w:val="bottom"/>
            <w:tcBorders>
              <w:bottom w:val="single" w:sz="8" w:color="CDE9F6"/>
            </w:tcBorders>
            <w:shd w:val="clear" w:color="auto" w:fill="CDE9F6"/>
          </w:tcPr>
          <w:p>
            <w:pPr>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Borders>
              <w:bottom w:val="single" w:sz="8" w:color="CDE9F6"/>
            </w:tcBorders>
            <w:shd w:val="clear" w:color="auto" w:fill="CDE9F6"/>
          </w:tcPr>
          <w:p>
            <w:pPr>
              <w:spacing w:after="0"/>
              <w:rPr>
                <w:sz w:val="22"/>
                <w:szCs w:val="22"/>
                <w:color w:val="auto"/>
              </w:rPr>
            </w:pPr>
          </w:p>
        </w:tc>
        <w:tc>
          <w:tcPr>
            <w:tcW w:w="1200" w:type="dxa"/>
            <w:vAlign w:val="bottom"/>
            <w:tcBorders>
              <w:bottom w:val="single" w:sz="8" w:color="CDE9F6"/>
            </w:tcBorders>
            <w:gridSpan w:val="2"/>
            <w:shd w:val="clear" w:color="auto" w:fill="CDE9F6"/>
          </w:tcPr>
          <w:p>
            <w:pPr>
              <w:jc w:val="right"/>
              <w:ind w:right="80"/>
              <w:spacing w:after="0"/>
              <w:rPr>
                <w:sz w:val="20"/>
                <w:szCs w:val="20"/>
                <w:color w:val="auto"/>
              </w:rPr>
            </w:pPr>
            <w:r>
              <w:rPr>
                <w:rFonts w:ascii="Times New Roman" w:cs="Times New Roman" w:eastAsia="Times New Roman" w:hAnsi="Times New Roman"/>
                <w:sz w:val="14"/>
                <w:szCs w:val="14"/>
                <w:color w:val="auto"/>
              </w:rPr>
              <w:t>13,495,112</w:t>
            </w:r>
          </w:p>
        </w:tc>
        <w:tc>
          <w:tcPr>
            <w:tcW w:w="940" w:type="dxa"/>
            <w:vAlign w:val="bottom"/>
            <w:tcBorders>
              <w:bottom w:val="single" w:sz="8" w:color="CDE9F6"/>
            </w:tcBorders>
            <w:shd w:val="clear" w:color="auto" w:fill="CDE9F6"/>
          </w:tcPr>
          <w:p>
            <w:pPr>
              <w:jc w:val="right"/>
              <w:ind w:right="50"/>
              <w:spacing w:after="0"/>
              <w:rPr>
                <w:sz w:val="20"/>
                <w:szCs w:val="20"/>
                <w:color w:val="auto"/>
              </w:rPr>
            </w:pPr>
            <w:r>
              <w:rPr>
                <w:rFonts w:ascii="Times New Roman" w:cs="Times New Roman" w:eastAsia="Times New Roman" w:hAnsi="Times New Roman"/>
                <w:sz w:val="14"/>
                <w:szCs w:val="14"/>
                <w:color w:val="auto"/>
              </w:rPr>
              <w:t>1,546,428</w:t>
            </w:r>
          </w:p>
        </w:tc>
        <w:tc>
          <w:tcPr>
            <w:tcW w:w="80" w:type="dxa"/>
            <w:vAlign w:val="bottom"/>
            <w:tcBorders>
              <w:bottom w:val="single" w:sz="8" w:color="CDE9F6"/>
            </w:tcBorders>
            <w:shd w:val="clear" w:color="auto" w:fill="CDE9F6"/>
          </w:tcPr>
          <w:p>
            <w:pPr>
              <w:spacing w:after="0"/>
              <w:rPr>
                <w:sz w:val="22"/>
                <w:szCs w:val="22"/>
                <w:color w:val="auto"/>
              </w:rPr>
            </w:pPr>
          </w:p>
        </w:tc>
        <w:tc>
          <w:tcPr>
            <w:tcW w:w="1060" w:type="dxa"/>
            <w:vAlign w:val="bottom"/>
            <w:tcBorders>
              <w:bottom w:val="single" w:sz="8" w:color="CDE9F6"/>
            </w:tcBorders>
            <w:gridSpan w:val="2"/>
            <w:shd w:val="clear" w:color="auto" w:fill="CDE9F6"/>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DE9F6"/>
            </w:tcBorders>
            <w:shd w:val="clear" w:color="auto" w:fill="CDE9F6"/>
          </w:tcPr>
          <w:p>
            <w:pPr>
              <w:jc w:val="right"/>
              <w:ind w:right="50"/>
              <w:spacing w:after="0"/>
              <w:rPr>
                <w:sz w:val="20"/>
                <w:szCs w:val="20"/>
                <w:color w:val="auto"/>
              </w:rPr>
            </w:pPr>
            <w:r>
              <w:rPr>
                <w:rFonts w:ascii="Times New Roman" w:cs="Times New Roman" w:eastAsia="Times New Roman" w:hAnsi="Times New Roman"/>
                <w:sz w:val="14"/>
                <w:szCs w:val="14"/>
                <w:color w:val="auto"/>
              </w:rPr>
              <w:t>5,265,458</w:t>
            </w:r>
          </w:p>
        </w:tc>
        <w:tc>
          <w:tcPr>
            <w:tcW w:w="80" w:type="dxa"/>
            <w:vAlign w:val="bottom"/>
            <w:tcBorders>
              <w:bottom w:val="single" w:sz="8" w:color="CDE9F6"/>
            </w:tcBorders>
            <w:shd w:val="clear" w:color="auto" w:fill="CDE9F6"/>
          </w:tcPr>
          <w:p>
            <w:pPr>
              <w:spacing w:after="0"/>
              <w:rPr>
                <w:sz w:val="22"/>
                <w:szCs w:val="22"/>
                <w:color w:val="auto"/>
              </w:rPr>
            </w:pPr>
          </w:p>
        </w:tc>
        <w:tc>
          <w:tcPr>
            <w:tcW w:w="980" w:type="dxa"/>
            <w:vAlign w:val="bottom"/>
            <w:tcBorders>
              <w:bottom w:val="single" w:sz="8" w:color="CDE9F6"/>
            </w:tcBorders>
            <w:gridSpan w:val="2"/>
            <w:shd w:val="clear" w:color="auto" w:fill="CDE9F6"/>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CDE9F6"/>
            </w:tcBorders>
            <w:gridSpan w:val="2"/>
            <w:shd w:val="clear" w:color="auto" w:fill="CDE9F6"/>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CDE9F6"/>
            </w:tcBorders>
            <w:shd w:val="clear" w:color="auto" w:fill="CDE9F6"/>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20,306,997</w:t>
            </w:r>
          </w:p>
        </w:tc>
        <w:tc>
          <w:tcPr>
            <w:tcW w:w="0" w:type="dxa"/>
            <w:vAlign w:val="bottom"/>
          </w:tcPr>
          <w:p>
            <w:pPr>
              <w:spacing w:after="0"/>
              <w:rPr>
                <w:sz w:val="1"/>
                <w:szCs w:val="1"/>
                <w:color w:val="auto"/>
              </w:rPr>
            </w:pPr>
          </w:p>
        </w:tc>
      </w:tr>
      <w:tr>
        <w:trPr>
          <w:trHeight w:val="252"/>
        </w:trPr>
        <w:tc>
          <w:tcPr>
            <w:tcW w:w="3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Pr>
          <w:p>
            <w:pPr>
              <w:spacing w:after="0"/>
              <w:rPr>
                <w:sz w:val="21"/>
                <w:szCs w:val="21"/>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9,012,564</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(15,153,818)</w:t>
            </w:r>
          </w:p>
        </w:tc>
        <w:tc>
          <w:tcPr>
            <w:tcW w:w="80" w:type="dxa"/>
            <w:vAlign w:val="bottom"/>
          </w:tcPr>
          <w:p>
            <w:pPr>
              <w:spacing w:after="0"/>
              <w:rPr>
                <w:sz w:val="21"/>
                <w:szCs w:val="21"/>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(10,823,172)</w:t>
            </w:r>
          </w:p>
        </w:tc>
        <w:tc>
          <w:tcPr>
            <w:tcW w:w="80" w:type="dxa"/>
            <w:vAlign w:val="bottom"/>
          </w:tcPr>
          <w:p>
            <w:pPr>
              <w:spacing w:after="0"/>
              <w:rPr>
                <w:sz w:val="21"/>
                <w:szCs w:val="21"/>
                <w:color w:val="auto"/>
              </w:rPr>
            </w:pPr>
          </w:p>
        </w:tc>
        <w:tc>
          <w:tcPr>
            <w:tcW w:w="980" w:type="dxa"/>
            <w:vAlign w:val="bottom"/>
            <w:gridSpan w:val="2"/>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(16,964,426)</w:t>
            </w:r>
          </w:p>
        </w:tc>
        <w:tc>
          <w:tcPr>
            <w:tcW w:w="0" w:type="dxa"/>
            <w:vAlign w:val="bottom"/>
          </w:tcPr>
          <w:p>
            <w:pPr>
              <w:spacing w:after="0"/>
              <w:rPr>
                <w:sz w:val="1"/>
                <w:szCs w:val="1"/>
                <w:color w:val="auto"/>
              </w:rPr>
            </w:pPr>
          </w:p>
        </w:tc>
      </w:tr>
      <w:tr>
        <w:trPr>
          <w:trHeight w:val="23"/>
        </w:trPr>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2"/>
        </w:trPr>
        <w:tc>
          <w:tcPr>
            <w:tcW w:w="340" w:type="dxa"/>
            <w:vAlign w:val="bottom"/>
            <w:shd w:val="clear" w:color="auto" w:fill="CDE9F6"/>
          </w:tcPr>
          <w:p>
            <w:pPr>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shd w:val="clear" w:color="auto" w:fill="CDE9F6"/>
          </w:tcPr>
          <w:p>
            <w:pPr>
              <w:spacing w:after="0"/>
              <w:rPr>
                <w:sz w:val="21"/>
                <w:szCs w:val="21"/>
                <w:color w:val="auto"/>
              </w:rPr>
            </w:pPr>
          </w:p>
        </w:tc>
        <w:tc>
          <w:tcPr>
            <w:tcW w:w="1200" w:type="dxa"/>
            <w:vAlign w:val="bottom"/>
            <w:gridSpan w:val="2"/>
            <w:shd w:val="clear" w:color="auto" w:fill="CDE9F6"/>
          </w:tcPr>
          <w:p>
            <w:pPr>
              <w:jc w:val="right"/>
              <w:ind w:right="80"/>
              <w:spacing w:after="0"/>
              <w:rPr>
                <w:sz w:val="20"/>
                <w:szCs w:val="20"/>
                <w:color w:val="auto"/>
              </w:rPr>
            </w:pPr>
            <w:r>
              <w:rPr>
                <w:rFonts w:ascii="Times New Roman" w:cs="Times New Roman" w:eastAsia="Times New Roman" w:hAnsi="Times New Roman"/>
                <w:sz w:val="14"/>
                <w:szCs w:val="14"/>
                <w:color w:val="auto"/>
              </w:rPr>
              <w:t>35,720,792</w:t>
            </w:r>
          </w:p>
        </w:tc>
        <w:tc>
          <w:tcPr>
            <w:tcW w:w="940" w:type="dxa"/>
            <w:vAlign w:val="bottom"/>
            <w:shd w:val="clear" w:color="auto" w:fill="CDE9F6"/>
          </w:tcPr>
          <w:p>
            <w:pPr>
              <w:jc w:val="right"/>
              <w:ind w:right="50"/>
              <w:spacing w:after="0"/>
              <w:rPr>
                <w:sz w:val="20"/>
                <w:szCs w:val="20"/>
                <w:color w:val="auto"/>
              </w:rPr>
            </w:pPr>
            <w:r>
              <w:rPr>
                <w:rFonts w:ascii="Times New Roman" w:cs="Times New Roman" w:eastAsia="Times New Roman" w:hAnsi="Times New Roman"/>
                <w:sz w:val="14"/>
                <w:szCs w:val="14"/>
                <w:color w:val="auto"/>
              </w:rPr>
              <w:t>32,042,959</w:t>
            </w:r>
          </w:p>
        </w:tc>
        <w:tc>
          <w:tcPr>
            <w:tcW w:w="80" w:type="dxa"/>
            <w:vAlign w:val="bottom"/>
            <w:shd w:val="clear" w:color="auto" w:fill="CDE9F6"/>
          </w:tcPr>
          <w:p>
            <w:pPr>
              <w:spacing w:after="0"/>
              <w:rPr>
                <w:sz w:val="21"/>
                <w:szCs w:val="21"/>
                <w:color w:val="auto"/>
              </w:rPr>
            </w:pPr>
          </w:p>
        </w:tc>
        <w:tc>
          <w:tcPr>
            <w:tcW w:w="1060" w:type="dxa"/>
            <w:vAlign w:val="bottom"/>
            <w:gridSpan w:val="2"/>
            <w:shd w:val="clear" w:color="auto" w:fill="CDE9F6"/>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DE9F6"/>
          </w:tcPr>
          <w:p>
            <w:pPr>
              <w:jc w:val="right"/>
              <w:ind w:right="50"/>
              <w:spacing w:after="0"/>
              <w:rPr>
                <w:sz w:val="20"/>
                <w:szCs w:val="20"/>
                <w:color w:val="auto"/>
              </w:rPr>
            </w:pPr>
            <w:r>
              <w:rPr>
                <w:rFonts w:ascii="Times New Roman" w:cs="Times New Roman" w:eastAsia="Times New Roman" w:hAnsi="Times New Roman"/>
                <w:sz w:val="14"/>
                <w:szCs w:val="14"/>
                <w:color w:val="auto"/>
              </w:rPr>
              <w:t>15,159,488</w:t>
            </w:r>
          </w:p>
        </w:tc>
        <w:tc>
          <w:tcPr>
            <w:tcW w:w="80" w:type="dxa"/>
            <w:vAlign w:val="bottom"/>
            <w:shd w:val="clear" w:color="auto" w:fill="CDE9F6"/>
          </w:tcPr>
          <w:p>
            <w:pPr>
              <w:spacing w:after="0"/>
              <w:rPr>
                <w:sz w:val="21"/>
                <w:szCs w:val="21"/>
                <w:color w:val="auto"/>
              </w:rPr>
            </w:pPr>
          </w:p>
        </w:tc>
        <w:tc>
          <w:tcPr>
            <w:tcW w:w="980" w:type="dxa"/>
            <w:vAlign w:val="bottom"/>
            <w:gridSpan w:val="2"/>
            <w:shd w:val="clear" w:color="auto" w:fill="CDE9F6"/>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shd w:val="clear" w:color="auto" w:fill="CDE9F6"/>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DE9F6"/>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82,923,239</w:t>
            </w:r>
          </w:p>
        </w:tc>
        <w:tc>
          <w:tcPr>
            <w:tcW w:w="0" w:type="dxa"/>
            <w:vAlign w:val="bottom"/>
          </w:tcPr>
          <w:p>
            <w:pPr>
              <w:spacing w:after="0"/>
              <w:rPr>
                <w:sz w:val="1"/>
                <w:szCs w:val="1"/>
                <w:color w:val="auto"/>
              </w:rPr>
            </w:pPr>
          </w:p>
        </w:tc>
      </w:tr>
      <w:tr>
        <w:trPr>
          <w:trHeight w:val="23"/>
        </w:trPr>
        <w:tc>
          <w:tcPr>
            <w:tcW w:w="340" w:type="dxa"/>
            <w:vAlign w:val="bottom"/>
            <w:shd w:val="clear" w:color="auto" w:fill="CDE9F6"/>
          </w:tcPr>
          <w:p>
            <w:pPr>
              <w:spacing w:after="0"/>
              <w:rPr>
                <w:sz w:val="2"/>
                <w:szCs w:val="2"/>
                <w:color w:val="auto"/>
              </w:rPr>
            </w:pPr>
          </w:p>
        </w:tc>
        <w:tc>
          <w:tcPr>
            <w:tcW w:w="60" w:type="dxa"/>
            <w:vAlign w:val="bottom"/>
            <w:shd w:val="clear" w:color="auto" w:fill="CDE9F6"/>
          </w:tcPr>
          <w:p>
            <w:pPr>
              <w:spacing w:after="0"/>
              <w:rPr>
                <w:sz w:val="2"/>
                <w:szCs w:val="2"/>
                <w:color w:val="auto"/>
              </w:rPr>
            </w:pPr>
          </w:p>
        </w:tc>
        <w:tc>
          <w:tcPr>
            <w:tcW w:w="1120" w:type="dxa"/>
            <w:vAlign w:val="bottom"/>
            <w:shd w:val="clear" w:color="auto" w:fill="CDE9F6"/>
          </w:tcPr>
          <w:p>
            <w:pPr>
              <w:spacing w:after="0"/>
              <w:rPr>
                <w:sz w:val="2"/>
                <w:szCs w:val="2"/>
                <w:color w:val="auto"/>
              </w:rPr>
            </w:pPr>
          </w:p>
        </w:tc>
        <w:tc>
          <w:tcPr>
            <w:tcW w:w="80" w:type="dxa"/>
            <w:vAlign w:val="bottom"/>
            <w:shd w:val="clear" w:color="auto" w:fill="CDE9F6"/>
          </w:tcPr>
          <w:p>
            <w:pPr>
              <w:spacing w:after="0"/>
              <w:rPr>
                <w:sz w:val="2"/>
                <w:szCs w:val="2"/>
                <w:color w:val="auto"/>
              </w:rPr>
            </w:pPr>
          </w:p>
        </w:tc>
        <w:tc>
          <w:tcPr>
            <w:tcW w:w="940" w:type="dxa"/>
            <w:vAlign w:val="bottom"/>
            <w:shd w:val="clear" w:color="auto" w:fill="CDE9F6"/>
          </w:tcPr>
          <w:p>
            <w:pPr>
              <w:spacing w:after="0"/>
              <w:rPr>
                <w:sz w:val="2"/>
                <w:szCs w:val="2"/>
                <w:color w:val="auto"/>
              </w:rPr>
            </w:pPr>
          </w:p>
        </w:tc>
        <w:tc>
          <w:tcPr>
            <w:tcW w:w="80" w:type="dxa"/>
            <w:vAlign w:val="bottom"/>
            <w:shd w:val="clear" w:color="auto" w:fill="CDE9F6"/>
          </w:tcPr>
          <w:p>
            <w:pPr>
              <w:spacing w:after="0"/>
              <w:rPr>
                <w:sz w:val="2"/>
                <w:szCs w:val="2"/>
                <w:color w:val="auto"/>
              </w:rPr>
            </w:pPr>
          </w:p>
        </w:tc>
        <w:tc>
          <w:tcPr>
            <w:tcW w:w="980" w:type="dxa"/>
            <w:vAlign w:val="bottom"/>
            <w:shd w:val="clear" w:color="auto" w:fill="CDE9F6"/>
          </w:tcPr>
          <w:p>
            <w:pPr>
              <w:spacing w:after="0"/>
              <w:rPr>
                <w:sz w:val="2"/>
                <w:szCs w:val="2"/>
                <w:color w:val="auto"/>
              </w:rPr>
            </w:pPr>
          </w:p>
        </w:tc>
        <w:tc>
          <w:tcPr>
            <w:tcW w:w="80" w:type="dxa"/>
            <w:vAlign w:val="bottom"/>
            <w:shd w:val="clear" w:color="auto" w:fill="CDE9F6"/>
          </w:tcPr>
          <w:p>
            <w:pPr>
              <w:spacing w:after="0"/>
              <w:rPr>
                <w:sz w:val="2"/>
                <w:szCs w:val="2"/>
                <w:color w:val="auto"/>
              </w:rPr>
            </w:pPr>
          </w:p>
        </w:tc>
        <w:tc>
          <w:tcPr>
            <w:tcW w:w="1000" w:type="dxa"/>
            <w:vAlign w:val="bottom"/>
            <w:shd w:val="clear" w:color="auto" w:fill="CDE9F6"/>
          </w:tcPr>
          <w:p>
            <w:pPr>
              <w:spacing w:after="0"/>
              <w:rPr>
                <w:sz w:val="2"/>
                <w:szCs w:val="2"/>
                <w:color w:val="auto"/>
              </w:rPr>
            </w:pPr>
          </w:p>
        </w:tc>
        <w:tc>
          <w:tcPr>
            <w:tcW w:w="80" w:type="dxa"/>
            <w:vAlign w:val="bottom"/>
            <w:shd w:val="clear" w:color="auto" w:fill="CDE9F6"/>
          </w:tcPr>
          <w:p>
            <w:pPr>
              <w:spacing w:after="0"/>
              <w:rPr>
                <w:sz w:val="2"/>
                <w:szCs w:val="2"/>
                <w:color w:val="auto"/>
              </w:rPr>
            </w:pPr>
          </w:p>
        </w:tc>
        <w:tc>
          <w:tcPr>
            <w:tcW w:w="900" w:type="dxa"/>
            <w:vAlign w:val="bottom"/>
            <w:shd w:val="clear" w:color="auto" w:fill="CDE9F6"/>
          </w:tcPr>
          <w:p>
            <w:pPr>
              <w:spacing w:after="0"/>
              <w:rPr>
                <w:sz w:val="2"/>
                <w:szCs w:val="2"/>
                <w:color w:val="auto"/>
              </w:rPr>
            </w:pPr>
          </w:p>
        </w:tc>
        <w:tc>
          <w:tcPr>
            <w:tcW w:w="80" w:type="dxa"/>
            <w:vAlign w:val="bottom"/>
            <w:shd w:val="clear" w:color="auto" w:fill="CDE9F6"/>
          </w:tcPr>
          <w:p>
            <w:pPr>
              <w:spacing w:after="0"/>
              <w:rPr>
                <w:sz w:val="2"/>
                <w:szCs w:val="2"/>
                <w:color w:val="auto"/>
              </w:rPr>
            </w:pPr>
          </w:p>
        </w:tc>
        <w:tc>
          <w:tcPr>
            <w:tcW w:w="1060" w:type="dxa"/>
            <w:vAlign w:val="bottom"/>
            <w:shd w:val="clear" w:color="auto" w:fill="CDE9F6"/>
          </w:tcPr>
          <w:p>
            <w:pPr>
              <w:spacing w:after="0"/>
              <w:rPr>
                <w:sz w:val="2"/>
                <w:szCs w:val="2"/>
                <w:color w:val="auto"/>
              </w:rPr>
            </w:pPr>
          </w:p>
        </w:tc>
        <w:tc>
          <w:tcPr>
            <w:tcW w:w="80" w:type="dxa"/>
            <w:vAlign w:val="bottom"/>
            <w:shd w:val="clear" w:color="auto" w:fill="CDE9F6"/>
          </w:tcPr>
          <w:p>
            <w:pPr>
              <w:spacing w:after="0"/>
              <w:rPr>
                <w:sz w:val="2"/>
                <w:szCs w:val="2"/>
                <w:color w:val="auto"/>
              </w:rPr>
            </w:pPr>
          </w:p>
        </w:tc>
        <w:tc>
          <w:tcPr>
            <w:tcW w:w="980" w:type="dxa"/>
            <w:vAlign w:val="bottom"/>
            <w:shd w:val="clear" w:color="auto" w:fill="CDE9F6"/>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52" w:lineRule="exact"/>
        <w:rPr>
          <w:sz w:val="20"/>
          <w:szCs w:val="20"/>
          <w:color w:val="auto"/>
        </w:rPr>
      </w:pPr>
    </w:p>
    <w:p>
      <w:pPr>
        <w:sectPr>
          <w:pgSz w:w="11900" w:h="16838" w:orient="portrait"/>
          <w:cols w:equalWidth="0" w:num="1">
            <w:col w:w="9019"/>
          </w:cols>
          <w:pgMar w:left="1440" w:top="265" w:right="1440" w:bottom="1440" w:gutter="0" w:footer="0" w:header="0"/>
        </w:sectPr>
      </w:pPr>
    </w:p>
    <w:p>
      <w:pPr>
        <w:jc w:val="center"/>
        <w:spacing w:after="0"/>
        <w:rPr>
          <w:sz w:val="20"/>
          <w:szCs w:val="20"/>
          <w:color w:val="auto"/>
        </w:rPr>
      </w:pPr>
      <w:r>
        <w:rPr>
          <w:rFonts w:ascii="Times New Roman" w:cs="Times New Roman" w:eastAsia="Times New Roman" w:hAnsi="Times New Roman"/>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58" w:name="page59"/>
    <w:bookmarkEnd w:id="58"/>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580" w:right="659" w:firstLine="349"/>
        <w:spacing w:after="0" w:line="296" w:lineRule="auto"/>
        <w:rPr>
          <w:sz w:val="20"/>
          <w:szCs w:val="20"/>
          <w:color w:val="auto"/>
        </w:rPr>
      </w:pPr>
      <w:r>
        <w:rPr>
          <w:rFonts w:ascii="Times New Roman" w:cs="Times New Roman" w:eastAsia="Times New Roman" w:hAnsi="Times New Roman"/>
          <w:sz w:val="17"/>
          <w:szCs w:val="17"/>
          <w:color w:val="auto"/>
        </w:rPr>
        <w:t>The table below illustrates the calculations described in this footnote (5) with respect to the average equity component of our non-PEO NEO’s CAP for fiscal years 2025, 2024, 2023, 2022 and 2021:</w:t>
      </w:r>
    </w:p>
    <w:p>
      <w:pPr>
        <w:spacing w:after="0" w:line="97"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7"/>
              </w:rPr>
              <w:t>Year over</w:t>
            </w: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center"/>
              <w:ind w:right="80"/>
              <w:spacing w:after="0" w:line="144" w:lineRule="exact"/>
              <w:rPr>
                <w:sz w:val="20"/>
                <w:szCs w:val="20"/>
                <w:color w:val="auto"/>
              </w:rPr>
            </w:pPr>
            <w:r>
              <w:rPr>
                <w:rFonts w:ascii="Times New Roman" w:cs="Times New Roman" w:eastAsia="Times New Roman" w:hAnsi="Times New Roman"/>
                <w:sz w:val="14"/>
                <w:szCs w:val="14"/>
                <w:b w:val="1"/>
                <w:bCs w:val="1"/>
                <w:color w:val="auto"/>
                <w:w w:val="96"/>
              </w:rPr>
              <w:t>Year Change</w:t>
            </w: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center"/>
              <w:ind w:right="60"/>
              <w:spacing w:after="0" w:line="144" w:lineRule="exact"/>
              <w:rPr>
                <w:sz w:val="20"/>
                <w:szCs w:val="20"/>
                <w:color w:val="auto"/>
              </w:rPr>
            </w:pPr>
            <w:r>
              <w:rPr>
                <w:rFonts w:ascii="Times New Roman" w:cs="Times New Roman" w:eastAsia="Times New Roman" w:hAnsi="Times New Roman"/>
                <w:sz w:val="14"/>
                <w:szCs w:val="14"/>
                <w:b w:val="1"/>
                <w:bCs w:val="1"/>
                <w:color w:val="auto"/>
                <w:w w:val="98"/>
              </w:rPr>
              <w:t>in Fair Value</w:t>
            </w: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5"/>
              </w:rPr>
              <w:t>Year over Year</w:t>
            </w: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Year End</w:t>
            </w:r>
          </w:p>
        </w:tc>
        <w:tc>
          <w:tcPr>
            <w:tcW w:w="1000" w:type="dxa"/>
            <w:vAlign w:val="bottom"/>
            <w:gridSpan w:val="2"/>
          </w:tcPr>
          <w:p>
            <w:pPr>
              <w:jc w:val="center"/>
              <w:ind w:right="80"/>
              <w:spacing w:after="0" w:line="144" w:lineRule="exact"/>
              <w:rPr>
                <w:sz w:val="20"/>
                <w:szCs w:val="20"/>
                <w:color w:val="auto"/>
              </w:rPr>
            </w:pPr>
            <w:r>
              <w:rPr>
                <w:rFonts w:ascii="Times New Roman" w:cs="Times New Roman" w:eastAsia="Times New Roman" w:hAnsi="Times New Roman"/>
                <w:sz w:val="14"/>
                <w:szCs w:val="14"/>
                <w:b w:val="1"/>
                <w:bCs w:val="1"/>
                <w:color w:val="auto"/>
              </w:rPr>
              <w:t>from Last</w:t>
            </w: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000" w:type="dxa"/>
            <w:vAlign w:val="bottom"/>
            <w:gridSpan w:val="2"/>
          </w:tcPr>
          <w:p>
            <w:pPr>
              <w:jc w:val="center"/>
              <w:ind w:right="60"/>
              <w:spacing w:after="0" w:line="144" w:lineRule="exact"/>
              <w:rPr>
                <w:sz w:val="20"/>
                <w:szCs w:val="20"/>
                <w:color w:val="auto"/>
              </w:rPr>
            </w:pPr>
            <w:r>
              <w:rPr>
                <w:rFonts w:ascii="Times New Roman" w:cs="Times New Roman" w:eastAsia="Times New Roman" w:hAnsi="Times New Roman"/>
                <w:sz w:val="14"/>
                <w:szCs w:val="14"/>
                <w:b w:val="1"/>
                <w:bCs w:val="1"/>
                <w:color w:val="auto"/>
                <w:w w:val="99"/>
              </w:rPr>
              <w:t>Day of Prior</w:t>
            </w: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center"/>
              <w:ind w:right="100"/>
              <w:spacing w:after="0" w:line="144" w:lineRule="exact"/>
              <w:rPr>
                <w:sz w:val="20"/>
                <w:szCs w:val="20"/>
                <w:color w:val="auto"/>
              </w:rPr>
            </w:pPr>
            <w:r>
              <w:rPr>
                <w:rFonts w:ascii="Times New Roman" w:cs="Times New Roman" w:eastAsia="Times New Roman" w:hAnsi="Times New Roman"/>
                <w:sz w:val="14"/>
                <w:szCs w:val="14"/>
                <w:b w:val="1"/>
                <w:bCs w:val="1"/>
                <w:color w:val="auto"/>
                <w:w w:val="99"/>
              </w:rPr>
              <w:t>Change in Fair</w:t>
            </w:r>
          </w:p>
        </w:tc>
        <w:tc>
          <w:tcPr>
            <w:tcW w:w="9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20" w:type="dxa"/>
            <w:vAlign w:val="bottom"/>
            <w:gridSpan w:val="2"/>
          </w:tcPr>
          <w:p>
            <w:pPr>
              <w:jc w:val="center"/>
              <w:ind w:right="80"/>
              <w:spacing w:after="0" w:line="144" w:lineRule="exact"/>
              <w:rPr>
                <w:sz w:val="20"/>
                <w:szCs w:val="20"/>
                <w:color w:val="auto"/>
              </w:rPr>
            </w:pPr>
            <w:r>
              <w:rPr>
                <w:rFonts w:ascii="Times New Roman" w:cs="Times New Roman" w:eastAsia="Times New Roman" w:hAnsi="Times New Roman"/>
                <w:sz w:val="14"/>
                <w:szCs w:val="14"/>
                <w:b w:val="1"/>
                <w:bCs w:val="1"/>
                <w:color w:val="auto"/>
                <w:w w:val="96"/>
              </w:rPr>
              <w:t>Fair Value</w:t>
            </w:r>
          </w:p>
        </w:tc>
        <w:tc>
          <w:tcPr>
            <w:tcW w:w="1000" w:type="dxa"/>
            <w:vAlign w:val="bottom"/>
            <w:gridSpan w:val="2"/>
          </w:tcPr>
          <w:p>
            <w:pPr>
              <w:jc w:val="center"/>
              <w:ind w:right="80"/>
              <w:spacing w:after="0" w:line="144" w:lineRule="exact"/>
              <w:rPr>
                <w:sz w:val="20"/>
                <w:szCs w:val="20"/>
                <w:color w:val="auto"/>
              </w:rPr>
            </w:pPr>
            <w:r>
              <w:rPr>
                <w:rFonts w:ascii="Times New Roman" w:cs="Times New Roman" w:eastAsia="Times New Roman" w:hAnsi="Times New Roman"/>
                <w:sz w:val="14"/>
                <w:szCs w:val="14"/>
                <w:b w:val="1"/>
                <w:bCs w:val="1"/>
                <w:color w:val="auto"/>
                <w:w w:val="96"/>
              </w:rPr>
              <w:t>Year to Last</w:t>
            </w: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center"/>
              <w:ind w:right="100"/>
              <w:spacing w:after="0" w:line="144" w:lineRule="exact"/>
              <w:rPr>
                <w:sz w:val="20"/>
                <w:szCs w:val="20"/>
                <w:color w:val="auto"/>
              </w:rPr>
            </w:pPr>
            <w:r>
              <w:rPr>
                <w:rFonts w:ascii="Times New Roman" w:cs="Times New Roman" w:eastAsia="Times New Roman" w:hAnsi="Times New Roman"/>
                <w:sz w:val="14"/>
                <w:szCs w:val="14"/>
                <w:b w:val="1"/>
                <w:bCs w:val="1"/>
                <w:color w:val="auto"/>
                <w:w w:val="96"/>
              </w:rPr>
              <w:t>Value from</w:t>
            </w:r>
          </w:p>
        </w:tc>
        <w:tc>
          <w:tcPr>
            <w:tcW w:w="960" w:type="dxa"/>
            <w:vAlign w:val="bottom"/>
            <w:gridSpan w:val="2"/>
            <w:vMerge w:val="continue"/>
          </w:tcPr>
          <w:p>
            <w:pPr>
              <w:spacing w:after="0"/>
              <w:rPr>
                <w:sz w:val="12"/>
                <w:szCs w:val="12"/>
                <w:color w:val="auto"/>
              </w:rPr>
            </w:pPr>
          </w:p>
        </w:tc>
        <w:tc>
          <w:tcPr>
            <w:tcW w:w="11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5"/>
              </w:rPr>
              <w:t>Value of</w:t>
            </w: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20" w:type="dxa"/>
            <w:vAlign w:val="bottom"/>
            <w:gridSpan w:val="2"/>
          </w:tcPr>
          <w:p>
            <w:pPr>
              <w:jc w:val="center"/>
              <w:ind w:right="80"/>
              <w:spacing w:after="0" w:line="144" w:lineRule="exact"/>
              <w:rPr>
                <w:sz w:val="20"/>
                <w:szCs w:val="20"/>
                <w:color w:val="auto"/>
              </w:rPr>
            </w:pPr>
            <w:r>
              <w:rPr>
                <w:rFonts w:ascii="Times New Roman" w:cs="Times New Roman" w:eastAsia="Times New Roman" w:hAnsi="Times New Roman"/>
                <w:sz w:val="14"/>
                <w:szCs w:val="14"/>
                <w:b w:val="1"/>
                <w:bCs w:val="1"/>
                <w:color w:val="auto"/>
                <w:w w:val="96"/>
              </w:rPr>
              <w:t>of Equity</w:t>
            </w:r>
          </w:p>
        </w:tc>
        <w:tc>
          <w:tcPr>
            <w:tcW w:w="1000" w:type="dxa"/>
            <w:vAlign w:val="bottom"/>
            <w:gridSpan w:val="2"/>
          </w:tcPr>
          <w:p>
            <w:pPr>
              <w:jc w:val="center"/>
              <w:ind w:right="60"/>
              <w:spacing w:after="0" w:line="144" w:lineRule="exact"/>
              <w:rPr>
                <w:sz w:val="20"/>
                <w:szCs w:val="20"/>
                <w:color w:val="auto"/>
              </w:rPr>
            </w:pPr>
            <w:r>
              <w:rPr>
                <w:rFonts w:ascii="Times New Roman" w:cs="Times New Roman" w:eastAsia="Times New Roman" w:hAnsi="Times New Roman"/>
                <w:sz w:val="14"/>
                <w:szCs w:val="14"/>
                <w:b w:val="1"/>
                <w:bCs w:val="1"/>
                <w:color w:val="auto"/>
                <w:w w:val="96"/>
              </w:rPr>
              <w:t>Day of Year</w:t>
            </w:r>
          </w:p>
        </w:tc>
        <w:tc>
          <w:tcPr>
            <w:tcW w:w="108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1080" w:type="dxa"/>
            <w:vAlign w:val="bottom"/>
            <w:gridSpan w:val="2"/>
          </w:tcPr>
          <w:p>
            <w:pPr>
              <w:jc w:val="center"/>
              <w:ind w:right="120"/>
              <w:spacing w:after="0" w:line="144" w:lineRule="exact"/>
              <w:rPr>
                <w:sz w:val="20"/>
                <w:szCs w:val="20"/>
                <w:color w:val="auto"/>
              </w:rPr>
            </w:pPr>
            <w:r>
              <w:rPr>
                <w:rFonts w:ascii="Times New Roman" w:cs="Times New Roman" w:eastAsia="Times New Roman" w:hAnsi="Times New Roman"/>
                <w:sz w:val="14"/>
                <w:szCs w:val="14"/>
                <w:b w:val="1"/>
                <w:bCs w:val="1"/>
                <w:color w:val="auto"/>
                <w:w w:val="98"/>
              </w:rPr>
              <w:t>Last Day of</w:t>
            </w:r>
          </w:p>
        </w:tc>
        <w:tc>
          <w:tcPr>
            <w:tcW w:w="960" w:type="dxa"/>
            <w:vAlign w:val="bottom"/>
            <w:gridSpan w:val="2"/>
          </w:tcPr>
          <w:p>
            <w:pPr>
              <w:jc w:val="center"/>
              <w:ind w:right="100"/>
              <w:spacing w:after="0" w:line="144" w:lineRule="exact"/>
              <w:rPr>
                <w:sz w:val="20"/>
                <w:szCs w:val="20"/>
                <w:color w:val="auto"/>
              </w:rPr>
            </w:pPr>
            <w:r>
              <w:rPr>
                <w:rFonts w:ascii="Times New Roman" w:cs="Times New Roman" w:eastAsia="Times New Roman" w:hAnsi="Times New Roman"/>
                <w:sz w:val="14"/>
                <w:szCs w:val="14"/>
                <w:b w:val="1"/>
                <w:bCs w:val="1"/>
                <w:color w:val="auto"/>
                <w:w w:val="99"/>
              </w:rPr>
              <w:t>at the End</w:t>
            </w:r>
          </w:p>
        </w:tc>
        <w:tc>
          <w:tcPr>
            <w:tcW w:w="1140" w:type="dxa"/>
            <w:vAlign w:val="bottom"/>
            <w:gridSpan w:val="2"/>
            <w:vMerge w:val="continue"/>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20" w:type="dxa"/>
            <w:vAlign w:val="bottom"/>
            <w:gridSpan w:val="2"/>
          </w:tcPr>
          <w:p>
            <w:pPr>
              <w:jc w:val="center"/>
              <w:ind w:right="80"/>
              <w:spacing w:after="0" w:line="144"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1000" w:type="dxa"/>
            <w:vAlign w:val="bottom"/>
            <w:gridSpan w:val="2"/>
          </w:tcPr>
          <w:p>
            <w:pPr>
              <w:jc w:val="center"/>
              <w:ind w:right="80"/>
              <w:spacing w:after="0" w:line="144" w:lineRule="exact"/>
              <w:rPr>
                <w:sz w:val="20"/>
                <w:szCs w:val="20"/>
                <w:color w:val="auto"/>
              </w:rPr>
            </w:pPr>
            <w:r>
              <w:rPr>
                <w:rFonts w:ascii="Times New Roman" w:cs="Times New Roman" w:eastAsia="Times New Roman" w:hAnsi="Times New Roman"/>
                <w:sz w:val="14"/>
                <w:szCs w:val="14"/>
                <w:b w:val="1"/>
                <w:bCs w:val="1"/>
                <w:color w:val="auto"/>
              </w:rPr>
              <w:t>of Equity</w:t>
            </w:r>
          </w:p>
        </w:tc>
        <w:tc>
          <w:tcPr>
            <w:tcW w:w="1080" w:type="dxa"/>
            <w:vAlign w:val="bottom"/>
            <w:gridSpan w:val="2"/>
            <w:vMerge w:val="continue"/>
          </w:tcPr>
          <w:p>
            <w:pPr>
              <w:spacing w:after="0"/>
              <w:rPr>
                <w:sz w:val="12"/>
                <w:szCs w:val="12"/>
                <w:color w:val="auto"/>
              </w:rPr>
            </w:pPr>
          </w:p>
        </w:tc>
        <w:tc>
          <w:tcPr>
            <w:tcW w:w="1080" w:type="dxa"/>
            <w:vAlign w:val="bottom"/>
            <w:gridSpan w:val="2"/>
          </w:tcPr>
          <w:p>
            <w:pPr>
              <w:jc w:val="center"/>
              <w:ind w:right="80"/>
              <w:spacing w:after="0" w:line="144" w:lineRule="exact"/>
              <w:rPr>
                <w:sz w:val="20"/>
                <w:szCs w:val="20"/>
                <w:color w:val="auto"/>
              </w:rPr>
            </w:pPr>
            <w:r>
              <w:rPr>
                <w:rFonts w:ascii="Times New Roman" w:cs="Times New Roman" w:eastAsia="Times New Roman" w:hAnsi="Times New Roman"/>
                <w:sz w:val="14"/>
                <w:szCs w:val="14"/>
                <w:b w:val="1"/>
                <w:bCs w:val="1"/>
                <w:color w:val="auto"/>
                <w:w w:val="99"/>
              </w:rPr>
              <w:t>Prior Year to</w:t>
            </w:r>
          </w:p>
        </w:tc>
        <w:tc>
          <w:tcPr>
            <w:tcW w:w="960" w:type="dxa"/>
            <w:vAlign w:val="bottom"/>
            <w:gridSpan w:val="2"/>
          </w:tcPr>
          <w:p>
            <w:pPr>
              <w:jc w:val="center"/>
              <w:ind w:right="100"/>
              <w:spacing w:after="0" w:line="144" w:lineRule="exact"/>
              <w:rPr>
                <w:sz w:val="20"/>
                <w:szCs w:val="20"/>
                <w:color w:val="auto"/>
              </w:rPr>
            </w:pPr>
            <w:r>
              <w:rPr>
                <w:rFonts w:ascii="Times New Roman" w:cs="Times New Roman" w:eastAsia="Times New Roman" w:hAnsi="Times New Roman"/>
                <w:sz w:val="14"/>
                <w:szCs w:val="14"/>
                <w:b w:val="1"/>
                <w:bCs w:val="1"/>
                <w:color w:val="auto"/>
              </w:rPr>
              <w:t>of the</w:t>
            </w:r>
          </w:p>
        </w:tc>
        <w:tc>
          <w:tcPr>
            <w:tcW w:w="1140" w:type="dxa"/>
            <w:vAlign w:val="bottom"/>
            <w:gridSpan w:val="2"/>
          </w:tcPr>
          <w:p>
            <w:pPr>
              <w:jc w:val="center"/>
              <w:ind w:right="100"/>
              <w:spacing w:after="0" w:line="144" w:lineRule="exact"/>
              <w:rPr>
                <w:sz w:val="20"/>
                <w:szCs w:val="20"/>
                <w:color w:val="auto"/>
              </w:rPr>
            </w:pPr>
            <w:r>
              <w:rPr>
                <w:rFonts w:ascii="Times New Roman" w:cs="Times New Roman" w:eastAsia="Times New Roman" w:hAnsi="Times New Roman"/>
                <w:sz w:val="14"/>
                <w:szCs w:val="14"/>
                <w:b w:val="1"/>
                <w:bCs w:val="1"/>
                <w:color w:val="auto"/>
                <w:w w:val="99"/>
              </w:rPr>
              <w:t>Dividends or</w:t>
            </w: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20" w:type="dxa"/>
            <w:vAlign w:val="bottom"/>
            <w:gridSpan w:val="2"/>
          </w:tcPr>
          <w:p>
            <w:pPr>
              <w:jc w:val="center"/>
              <w:ind w:right="80"/>
              <w:spacing w:after="0" w:line="144" w:lineRule="exact"/>
              <w:rPr>
                <w:sz w:val="20"/>
                <w:szCs w:val="20"/>
                <w:color w:val="auto"/>
              </w:rPr>
            </w:pPr>
            <w:r>
              <w:rPr>
                <w:rFonts w:ascii="Times New Roman" w:cs="Times New Roman" w:eastAsia="Times New Roman" w:hAnsi="Times New Roman"/>
                <w:sz w:val="14"/>
                <w:szCs w:val="14"/>
                <w:b w:val="1"/>
                <w:bCs w:val="1"/>
                <w:color w:val="auto"/>
                <w:w w:val="98"/>
              </w:rPr>
              <w:t>Granted</w:t>
            </w:r>
          </w:p>
        </w:tc>
        <w:tc>
          <w:tcPr>
            <w:tcW w:w="1000" w:type="dxa"/>
            <w:vAlign w:val="bottom"/>
            <w:gridSpan w:val="2"/>
          </w:tcPr>
          <w:p>
            <w:pPr>
              <w:jc w:val="center"/>
              <w:ind w:right="60"/>
              <w:spacing w:after="0" w:line="144"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1080" w:type="dxa"/>
            <w:vAlign w:val="bottom"/>
            <w:gridSpan w:val="2"/>
          </w:tcPr>
          <w:p>
            <w:pPr>
              <w:jc w:val="center"/>
              <w:ind w:right="80"/>
              <w:spacing w:after="0" w:line="144" w:lineRule="exact"/>
              <w:rPr>
                <w:sz w:val="20"/>
                <w:szCs w:val="20"/>
                <w:color w:val="auto"/>
              </w:rPr>
            </w:pPr>
            <w:r>
              <w:rPr>
                <w:rFonts w:ascii="Times New Roman" w:cs="Times New Roman" w:eastAsia="Times New Roman" w:hAnsi="Times New Roman"/>
                <w:sz w:val="14"/>
                <w:szCs w:val="14"/>
                <w:b w:val="1"/>
                <w:bCs w:val="1"/>
                <w:color w:val="auto"/>
              </w:rPr>
              <w:t>as of</w:t>
            </w:r>
          </w:p>
        </w:tc>
        <w:tc>
          <w:tcPr>
            <w:tcW w:w="1080" w:type="dxa"/>
            <w:vAlign w:val="bottom"/>
            <w:gridSpan w:val="2"/>
          </w:tcPr>
          <w:p>
            <w:pPr>
              <w:jc w:val="center"/>
              <w:ind w:right="80"/>
              <w:spacing w:after="0" w:line="144" w:lineRule="exact"/>
              <w:rPr>
                <w:sz w:val="20"/>
                <w:szCs w:val="20"/>
                <w:color w:val="auto"/>
              </w:rPr>
            </w:pPr>
            <w:r>
              <w:rPr>
                <w:rFonts w:ascii="Times New Roman" w:cs="Times New Roman" w:eastAsia="Times New Roman" w:hAnsi="Times New Roman"/>
                <w:sz w:val="14"/>
                <w:szCs w:val="14"/>
                <w:b w:val="1"/>
                <w:bCs w:val="1"/>
                <w:color w:val="auto"/>
                <w:w w:val="99"/>
              </w:rPr>
              <w:t>Vesting Date</w:t>
            </w:r>
          </w:p>
        </w:tc>
        <w:tc>
          <w:tcPr>
            <w:tcW w:w="960" w:type="dxa"/>
            <w:vAlign w:val="bottom"/>
            <w:gridSpan w:val="2"/>
          </w:tcPr>
          <w:p>
            <w:pPr>
              <w:jc w:val="center"/>
              <w:ind w:right="80"/>
              <w:spacing w:after="0" w:line="144" w:lineRule="exact"/>
              <w:rPr>
                <w:sz w:val="20"/>
                <w:szCs w:val="20"/>
                <w:color w:val="auto"/>
              </w:rPr>
            </w:pPr>
            <w:r>
              <w:rPr>
                <w:rFonts w:ascii="Times New Roman" w:cs="Times New Roman" w:eastAsia="Times New Roman" w:hAnsi="Times New Roman"/>
                <w:sz w:val="14"/>
                <w:szCs w:val="14"/>
                <w:b w:val="1"/>
                <w:bCs w:val="1"/>
                <w:color w:val="auto"/>
                <w:w w:val="98"/>
              </w:rPr>
              <w:t>Prior Year</w:t>
            </w:r>
          </w:p>
        </w:tc>
        <w:tc>
          <w:tcPr>
            <w:tcW w:w="1140" w:type="dxa"/>
            <w:vAlign w:val="bottom"/>
            <w:gridSpan w:val="2"/>
          </w:tcPr>
          <w:p>
            <w:pPr>
              <w:jc w:val="center"/>
              <w:ind w:right="100"/>
              <w:spacing w:after="0" w:line="144" w:lineRule="exact"/>
              <w:rPr>
                <w:sz w:val="20"/>
                <w:szCs w:val="20"/>
                <w:color w:val="auto"/>
              </w:rPr>
            </w:pPr>
            <w:r>
              <w:rPr>
                <w:rFonts w:ascii="Times New Roman" w:cs="Times New Roman" w:eastAsia="Times New Roman" w:hAnsi="Times New Roman"/>
                <w:sz w:val="14"/>
                <w:szCs w:val="14"/>
                <w:b w:val="1"/>
                <w:bCs w:val="1"/>
                <w:color w:val="auto"/>
                <w:w w:val="98"/>
              </w:rPr>
              <w:t>Other Earnings</w:t>
            </w: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20" w:type="dxa"/>
            <w:vAlign w:val="bottom"/>
            <w:gridSpan w:val="2"/>
          </w:tcPr>
          <w:p>
            <w:pPr>
              <w:jc w:val="center"/>
              <w:ind w:right="80"/>
              <w:spacing w:after="0" w:line="144" w:lineRule="exact"/>
              <w:rPr>
                <w:sz w:val="20"/>
                <w:szCs w:val="20"/>
                <w:color w:val="auto"/>
              </w:rPr>
            </w:pPr>
            <w:r>
              <w:rPr>
                <w:rFonts w:ascii="Times New Roman" w:cs="Times New Roman" w:eastAsia="Times New Roman" w:hAnsi="Times New Roman"/>
                <w:sz w:val="14"/>
                <w:szCs w:val="14"/>
                <w:b w:val="1"/>
                <w:bCs w:val="1"/>
                <w:color w:val="auto"/>
                <w:w w:val="98"/>
              </w:rPr>
              <w:t>During</w:t>
            </w:r>
          </w:p>
        </w:tc>
        <w:tc>
          <w:tcPr>
            <w:tcW w:w="1000" w:type="dxa"/>
            <w:vAlign w:val="bottom"/>
            <w:gridSpan w:val="2"/>
          </w:tcPr>
          <w:p>
            <w:pPr>
              <w:jc w:val="center"/>
              <w:ind w:right="100"/>
              <w:spacing w:after="0" w:line="144" w:lineRule="exact"/>
              <w:rPr>
                <w:sz w:val="20"/>
                <w:szCs w:val="20"/>
                <w:color w:val="auto"/>
              </w:rPr>
            </w:pPr>
            <w:r>
              <w:rPr>
                <w:rFonts w:ascii="Times New Roman" w:cs="Times New Roman" w:eastAsia="Times New Roman" w:hAnsi="Times New Roman"/>
                <w:sz w:val="14"/>
                <w:szCs w:val="14"/>
                <w:b w:val="1"/>
                <w:bCs w:val="1"/>
                <w:color w:val="auto"/>
              </w:rPr>
              <w:t>Granted in</w:t>
            </w:r>
          </w:p>
        </w:tc>
        <w:tc>
          <w:tcPr>
            <w:tcW w:w="1080" w:type="dxa"/>
            <w:vAlign w:val="bottom"/>
            <w:gridSpan w:val="2"/>
          </w:tcPr>
          <w:p>
            <w:pPr>
              <w:jc w:val="center"/>
              <w:ind w:right="80"/>
              <w:spacing w:after="0" w:line="144" w:lineRule="exact"/>
              <w:rPr>
                <w:sz w:val="20"/>
                <w:szCs w:val="20"/>
                <w:color w:val="auto"/>
              </w:rPr>
            </w:pPr>
            <w:r>
              <w:rPr>
                <w:rFonts w:ascii="Times New Roman" w:cs="Times New Roman" w:eastAsia="Times New Roman" w:hAnsi="Times New Roman"/>
                <w:sz w:val="14"/>
                <w:szCs w:val="14"/>
                <w:b w:val="1"/>
                <w:bCs w:val="1"/>
                <w:color w:val="auto"/>
                <w:w w:val="97"/>
              </w:rPr>
              <w:t>Vesting</w:t>
            </w:r>
          </w:p>
        </w:tc>
        <w:tc>
          <w:tcPr>
            <w:tcW w:w="1080" w:type="dxa"/>
            <w:vAlign w:val="bottom"/>
            <w:gridSpan w:val="2"/>
          </w:tcPr>
          <w:p>
            <w:pPr>
              <w:jc w:val="center"/>
              <w:ind w:right="80"/>
              <w:spacing w:after="0" w:line="144" w:lineRule="exact"/>
              <w:rPr>
                <w:sz w:val="20"/>
                <w:szCs w:val="20"/>
                <w:color w:val="auto"/>
              </w:rPr>
            </w:pPr>
            <w:r>
              <w:rPr>
                <w:rFonts w:ascii="Times New Roman" w:cs="Times New Roman" w:eastAsia="Times New Roman" w:hAnsi="Times New Roman"/>
                <w:sz w:val="14"/>
                <w:szCs w:val="14"/>
                <w:b w:val="1"/>
                <w:bCs w:val="1"/>
                <w:color w:val="auto"/>
              </w:rPr>
              <w:t>of Equity</w:t>
            </w:r>
          </w:p>
        </w:tc>
        <w:tc>
          <w:tcPr>
            <w:tcW w:w="960" w:type="dxa"/>
            <w:vAlign w:val="bottom"/>
            <w:gridSpan w:val="2"/>
          </w:tcPr>
          <w:p>
            <w:pPr>
              <w:jc w:val="center"/>
              <w:ind w:right="80"/>
              <w:spacing w:after="0" w:line="144" w:lineRule="exact"/>
              <w:rPr>
                <w:sz w:val="20"/>
                <w:szCs w:val="20"/>
                <w:color w:val="auto"/>
              </w:rPr>
            </w:pPr>
            <w:r>
              <w:rPr>
                <w:rFonts w:ascii="Times New Roman" w:cs="Times New Roman" w:eastAsia="Times New Roman" w:hAnsi="Times New Roman"/>
                <w:sz w:val="14"/>
                <w:szCs w:val="14"/>
                <w:b w:val="1"/>
                <w:bCs w:val="1"/>
                <w:color w:val="auto"/>
              </w:rPr>
              <w:t>of Equity</w:t>
            </w:r>
          </w:p>
        </w:tc>
        <w:tc>
          <w:tcPr>
            <w:tcW w:w="1140" w:type="dxa"/>
            <w:vAlign w:val="bottom"/>
            <w:gridSpan w:val="2"/>
          </w:tcPr>
          <w:p>
            <w:pPr>
              <w:jc w:val="center"/>
              <w:ind w:right="100"/>
              <w:spacing w:after="0" w:line="144" w:lineRule="exact"/>
              <w:rPr>
                <w:sz w:val="20"/>
                <w:szCs w:val="20"/>
                <w:color w:val="auto"/>
              </w:rPr>
            </w:pPr>
            <w:r>
              <w:rPr>
                <w:rFonts w:ascii="Times New Roman" w:cs="Times New Roman" w:eastAsia="Times New Roman" w:hAnsi="Times New Roman"/>
                <w:sz w:val="14"/>
                <w:szCs w:val="14"/>
                <w:b w:val="1"/>
                <w:bCs w:val="1"/>
                <w:color w:val="auto"/>
              </w:rPr>
              <w:t>Paid on Stock or</w:t>
            </w: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20" w:type="dxa"/>
            <w:vAlign w:val="bottom"/>
            <w:gridSpan w:val="2"/>
          </w:tcPr>
          <w:p>
            <w:pPr>
              <w:jc w:val="center"/>
              <w:ind w:right="80"/>
              <w:spacing w:after="0" w:line="144" w:lineRule="exact"/>
              <w:rPr>
                <w:sz w:val="20"/>
                <w:szCs w:val="20"/>
                <w:color w:val="auto"/>
              </w:rPr>
            </w:pPr>
            <w:r>
              <w:rPr>
                <w:rFonts w:ascii="Times New Roman" w:cs="Times New Roman" w:eastAsia="Times New Roman" w:hAnsi="Times New Roman"/>
                <w:sz w:val="14"/>
                <w:szCs w:val="14"/>
                <w:b w:val="1"/>
                <w:bCs w:val="1"/>
                <w:color w:val="auto"/>
                <w:w w:val="94"/>
              </w:rPr>
              <w:t>Year that</w:t>
            </w:r>
          </w:p>
        </w:tc>
        <w:tc>
          <w:tcPr>
            <w:tcW w:w="1000" w:type="dxa"/>
            <w:vAlign w:val="bottom"/>
            <w:gridSpan w:val="2"/>
          </w:tcPr>
          <w:p>
            <w:pPr>
              <w:jc w:val="center"/>
              <w:ind w:right="120"/>
              <w:spacing w:after="0" w:line="144" w:lineRule="exact"/>
              <w:rPr>
                <w:sz w:val="20"/>
                <w:szCs w:val="20"/>
                <w:color w:val="auto"/>
              </w:rPr>
            </w:pPr>
            <w:r>
              <w:rPr>
                <w:rFonts w:ascii="Times New Roman" w:cs="Times New Roman" w:eastAsia="Times New Roman" w:hAnsi="Times New Roman"/>
                <w:sz w:val="14"/>
                <w:szCs w:val="14"/>
                <w:b w:val="1"/>
                <w:bCs w:val="1"/>
                <w:color w:val="auto"/>
                <w:w w:val="96"/>
              </w:rPr>
              <w:t>Prior Years</w:t>
            </w:r>
          </w:p>
        </w:tc>
        <w:tc>
          <w:tcPr>
            <w:tcW w:w="1080" w:type="dxa"/>
            <w:vAlign w:val="bottom"/>
            <w:gridSpan w:val="2"/>
          </w:tcPr>
          <w:p>
            <w:pPr>
              <w:jc w:val="center"/>
              <w:ind w:right="60"/>
              <w:spacing w:after="0" w:line="144" w:lineRule="exact"/>
              <w:rPr>
                <w:sz w:val="20"/>
                <w:szCs w:val="20"/>
                <w:color w:val="auto"/>
              </w:rPr>
            </w:pPr>
            <w:r>
              <w:rPr>
                <w:rFonts w:ascii="Times New Roman" w:cs="Times New Roman" w:eastAsia="Times New Roman" w:hAnsi="Times New Roman"/>
                <w:sz w:val="14"/>
                <w:szCs w:val="14"/>
                <w:b w:val="1"/>
                <w:bCs w:val="1"/>
                <w:color w:val="auto"/>
                <w:w w:val="98"/>
              </w:rPr>
              <w:t>Date of Equity</w:t>
            </w:r>
          </w:p>
        </w:tc>
        <w:tc>
          <w:tcPr>
            <w:tcW w:w="1080" w:type="dxa"/>
            <w:vAlign w:val="bottom"/>
            <w:gridSpan w:val="2"/>
          </w:tcPr>
          <w:p>
            <w:pPr>
              <w:jc w:val="center"/>
              <w:ind w:right="80"/>
              <w:spacing w:after="0" w:line="144" w:lineRule="exact"/>
              <w:rPr>
                <w:sz w:val="20"/>
                <w:szCs w:val="20"/>
                <w:color w:val="auto"/>
              </w:rPr>
            </w:pPr>
            <w:r>
              <w:rPr>
                <w:rFonts w:ascii="Times New Roman" w:cs="Times New Roman" w:eastAsia="Times New Roman" w:hAnsi="Times New Roman"/>
                <w:sz w:val="14"/>
                <w:szCs w:val="14"/>
                <w:b w:val="1"/>
                <w:bCs w:val="1"/>
                <w:color w:val="auto"/>
                <w:w w:val="94"/>
              </w:rPr>
              <w:t>Awards</w:t>
            </w:r>
          </w:p>
        </w:tc>
        <w:tc>
          <w:tcPr>
            <w:tcW w:w="960" w:type="dxa"/>
            <w:vAlign w:val="bottom"/>
            <w:gridSpan w:val="2"/>
          </w:tcPr>
          <w:p>
            <w:pPr>
              <w:jc w:val="center"/>
              <w:ind w:right="100"/>
              <w:spacing w:after="0" w:line="144" w:lineRule="exact"/>
              <w:rPr>
                <w:sz w:val="20"/>
                <w:szCs w:val="20"/>
                <w:color w:val="auto"/>
              </w:rPr>
            </w:pPr>
            <w:r>
              <w:rPr>
                <w:rFonts w:ascii="Times New Roman" w:cs="Times New Roman" w:eastAsia="Times New Roman" w:hAnsi="Times New Roman"/>
                <w:sz w:val="14"/>
                <w:szCs w:val="14"/>
                <w:b w:val="1"/>
                <w:bCs w:val="1"/>
                <w:color w:val="auto"/>
                <w:w w:val="99"/>
              </w:rPr>
              <w:t>Awards that</w:t>
            </w:r>
          </w:p>
        </w:tc>
        <w:tc>
          <w:tcPr>
            <w:tcW w:w="1140" w:type="dxa"/>
            <w:vAlign w:val="bottom"/>
            <w:gridSpan w:val="2"/>
          </w:tcPr>
          <w:p>
            <w:pPr>
              <w:jc w:val="center"/>
              <w:ind w:right="80"/>
              <w:spacing w:after="0" w:line="144" w:lineRule="exact"/>
              <w:rPr>
                <w:sz w:val="20"/>
                <w:szCs w:val="20"/>
                <w:color w:val="auto"/>
              </w:rPr>
            </w:pPr>
            <w:r>
              <w:rPr>
                <w:rFonts w:ascii="Times New Roman" w:cs="Times New Roman" w:eastAsia="Times New Roman" w:hAnsi="Times New Roman"/>
                <w:sz w:val="14"/>
                <w:szCs w:val="14"/>
                <w:b w:val="1"/>
                <w:bCs w:val="1"/>
                <w:color w:val="auto"/>
                <w:w w:val="97"/>
              </w:rPr>
              <w:t>Option Awards</w:t>
            </w: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20" w:type="dxa"/>
            <w:vAlign w:val="bottom"/>
            <w:gridSpan w:val="2"/>
          </w:tcPr>
          <w:p>
            <w:pPr>
              <w:jc w:val="center"/>
              <w:ind w:right="80"/>
              <w:spacing w:after="0" w:line="144" w:lineRule="exact"/>
              <w:rPr>
                <w:sz w:val="20"/>
                <w:szCs w:val="20"/>
                <w:color w:val="auto"/>
              </w:rPr>
            </w:pPr>
            <w:r>
              <w:rPr>
                <w:rFonts w:ascii="Times New Roman" w:cs="Times New Roman" w:eastAsia="Times New Roman" w:hAnsi="Times New Roman"/>
                <w:sz w:val="14"/>
                <w:szCs w:val="14"/>
                <w:b w:val="1"/>
                <w:bCs w:val="1"/>
                <w:color w:val="auto"/>
              </w:rPr>
              <w:t>Remained</w:t>
            </w:r>
          </w:p>
        </w:tc>
        <w:tc>
          <w:tcPr>
            <w:tcW w:w="1000" w:type="dxa"/>
            <w:vAlign w:val="bottom"/>
            <w:gridSpan w:val="2"/>
          </w:tcPr>
          <w:p>
            <w:pPr>
              <w:jc w:val="center"/>
              <w:ind w:right="80"/>
              <w:spacing w:after="0" w:line="144" w:lineRule="exact"/>
              <w:rPr>
                <w:sz w:val="20"/>
                <w:szCs w:val="20"/>
                <w:color w:val="auto"/>
              </w:rPr>
            </w:pPr>
            <w:r>
              <w:rPr>
                <w:rFonts w:ascii="Times New Roman" w:cs="Times New Roman" w:eastAsia="Times New Roman" w:hAnsi="Times New Roman"/>
                <w:sz w:val="14"/>
                <w:szCs w:val="14"/>
                <w:b w:val="1"/>
                <w:bCs w:val="1"/>
                <w:color w:val="auto"/>
                <w:w w:val="99"/>
              </w:rPr>
              <w:t>that Remained</w:t>
            </w:r>
          </w:p>
        </w:tc>
        <w:tc>
          <w:tcPr>
            <w:tcW w:w="1080" w:type="dxa"/>
            <w:vAlign w:val="bottom"/>
            <w:gridSpan w:val="2"/>
          </w:tcPr>
          <w:p>
            <w:pPr>
              <w:jc w:val="center"/>
              <w:ind w:right="80"/>
              <w:spacing w:after="0" w:line="144" w:lineRule="exact"/>
              <w:rPr>
                <w:sz w:val="20"/>
                <w:szCs w:val="20"/>
                <w:color w:val="auto"/>
              </w:rPr>
            </w:pPr>
            <w:r>
              <w:rPr>
                <w:rFonts w:ascii="Times New Roman" w:cs="Times New Roman" w:eastAsia="Times New Roman" w:hAnsi="Times New Roman"/>
                <w:sz w:val="14"/>
                <w:szCs w:val="14"/>
                <w:b w:val="1"/>
                <w:bCs w:val="1"/>
                <w:color w:val="auto"/>
                <w:w w:val="99"/>
              </w:rPr>
              <w:t>Awards Granted</w:t>
            </w:r>
          </w:p>
        </w:tc>
        <w:tc>
          <w:tcPr>
            <w:tcW w:w="1080" w:type="dxa"/>
            <w:vAlign w:val="bottom"/>
            <w:gridSpan w:val="2"/>
          </w:tcPr>
          <w:p>
            <w:pPr>
              <w:jc w:val="center"/>
              <w:ind w:right="80"/>
              <w:spacing w:after="0" w:line="144" w:lineRule="exact"/>
              <w:rPr>
                <w:sz w:val="20"/>
                <w:szCs w:val="20"/>
                <w:color w:val="auto"/>
              </w:rPr>
            </w:pPr>
            <w:r>
              <w:rPr>
                <w:rFonts w:ascii="Times New Roman" w:cs="Times New Roman" w:eastAsia="Times New Roman" w:hAnsi="Times New Roman"/>
                <w:sz w:val="14"/>
                <w:szCs w:val="14"/>
                <w:b w:val="1"/>
                <w:bCs w:val="1"/>
                <w:color w:val="auto"/>
                <w:w w:val="97"/>
              </w:rPr>
              <w:t>Granted in</w:t>
            </w:r>
          </w:p>
        </w:tc>
        <w:tc>
          <w:tcPr>
            <w:tcW w:w="960" w:type="dxa"/>
            <w:vAlign w:val="bottom"/>
            <w:gridSpan w:val="2"/>
          </w:tcPr>
          <w:p>
            <w:pPr>
              <w:jc w:val="center"/>
              <w:ind w:right="80"/>
              <w:spacing w:after="0" w:line="144" w:lineRule="exact"/>
              <w:rPr>
                <w:sz w:val="20"/>
                <w:szCs w:val="20"/>
                <w:color w:val="auto"/>
              </w:rPr>
            </w:pPr>
            <w:r>
              <w:rPr>
                <w:rFonts w:ascii="Times New Roman" w:cs="Times New Roman" w:eastAsia="Times New Roman" w:hAnsi="Times New Roman"/>
                <w:sz w:val="14"/>
                <w:szCs w:val="14"/>
                <w:b w:val="1"/>
                <w:bCs w:val="1"/>
                <w:color w:val="auto"/>
                <w:w w:val="98"/>
              </w:rPr>
              <w:t>Failed to</w:t>
            </w:r>
          </w:p>
        </w:tc>
        <w:tc>
          <w:tcPr>
            <w:tcW w:w="1140" w:type="dxa"/>
            <w:vAlign w:val="bottom"/>
            <w:gridSpan w:val="2"/>
          </w:tcPr>
          <w:p>
            <w:pPr>
              <w:jc w:val="center"/>
              <w:ind w:right="100"/>
              <w:spacing w:after="0" w:line="144" w:lineRule="exact"/>
              <w:rPr>
                <w:sz w:val="20"/>
                <w:szCs w:val="20"/>
                <w:color w:val="auto"/>
              </w:rPr>
            </w:pPr>
            <w:r>
              <w:rPr>
                <w:rFonts w:ascii="Times New Roman" w:cs="Times New Roman" w:eastAsia="Times New Roman" w:hAnsi="Times New Roman"/>
                <w:sz w:val="14"/>
                <w:szCs w:val="14"/>
                <w:b w:val="1"/>
                <w:bCs w:val="1"/>
                <w:color w:val="auto"/>
                <w:w w:val="99"/>
              </w:rPr>
              <w:t>not Otherwise</w:t>
            </w:r>
          </w:p>
        </w:tc>
        <w:tc>
          <w:tcPr>
            <w:tcW w:w="980" w:type="dxa"/>
            <w:vAlign w:val="bottom"/>
            <w:vMerge w:val="restart"/>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Total Equity</w:t>
            </w:r>
          </w:p>
        </w:tc>
        <w:tc>
          <w:tcPr>
            <w:tcW w:w="0" w:type="dxa"/>
            <w:vAlign w:val="bottom"/>
          </w:tcPr>
          <w:p>
            <w:pPr>
              <w:spacing w:after="0"/>
              <w:rPr>
                <w:sz w:val="1"/>
                <w:szCs w:val="1"/>
                <w:color w:val="auto"/>
              </w:rPr>
            </w:pPr>
          </w:p>
        </w:tc>
      </w:tr>
      <w:tr>
        <w:trPr>
          <w:trHeight w:val="144"/>
        </w:trPr>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20" w:type="dxa"/>
            <w:vAlign w:val="bottom"/>
            <w:gridSpan w:val="2"/>
          </w:tcPr>
          <w:p>
            <w:pPr>
              <w:jc w:val="center"/>
              <w:ind w:right="80"/>
              <w:spacing w:after="0" w:line="144" w:lineRule="exact"/>
              <w:rPr>
                <w:sz w:val="20"/>
                <w:szCs w:val="20"/>
                <w:color w:val="auto"/>
              </w:rPr>
            </w:pPr>
            <w:r>
              <w:rPr>
                <w:rFonts w:ascii="Times New Roman" w:cs="Times New Roman" w:eastAsia="Times New Roman" w:hAnsi="Times New Roman"/>
                <w:sz w:val="14"/>
                <w:szCs w:val="14"/>
                <w:b w:val="1"/>
                <w:bCs w:val="1"/>
                <w:color w:val="auto"/>
                <w:w w:val="98"/>
              </w:rPr>
              <w:t>Unvested as</w:t>
            </w:r>
          </w:p>
        </w:tc>
        <w:tc>
          <w:tcPr>
            <w:tcW w:w="1000" w:type="dxa"/>
            <w:vAlign w:val="bottom"/>
            <w:gridSpan w:val="2"/>
          </w:tcPr>
          <w:p>
            <w:pPr>
              <w:jc w:val="center"/>
              <w:ind w:right="100"/>
              <w:spacing w:after="0" w:line="144" w:lineRule="exact"/>
              <w:rPr>
                <w:sz w:val="20"/>
                <w:szCs w:val="20"/>
                <w:color w:val="auto"/>
              </w:rPr>
            </w:pPr>
            <w:r>
              <w:rPr>
                <w:rFonts w:ascii="Times New Roman" w:cs="Times New Roman" w:eastAsia="Times New Roman" w:hAnsi="Times New Roman"/>
                <w:sz w:val="14"/>
                <w:szCs w:val="14"/>
                <w:b w:val="1"/>
                <w:bCs w:val="1"/>
                <w:color w:val="auto"/>
                <w:w w:val="99"/>
              </w:rPr>
              <w:t>Unvested as of</w:t>
            </w:r>
          </w:p>
        </w:tc>
        <w:tc>
          <w:tcPr>
            <w:tcW w:w="1080" w:type="dxa"/>
            <w:vAlign w:val="bottom"/>
            <w:gridSpan w:val="2"/>
          </w:tcPr>
          <w:p>
            <w:pPr>
              <w:jc w:val="center"/>
              <w:ind w:right="80"/>
              <w:spacing w:after="0" w:line="144" w:lineRule="exact"/>
              <w:rPr>
                <w:sz w:val="20"/>
                <w:szCs w:val="20"/>
                <w:color w:val="auto"/>
              </w:rPr>
            </w:pPr>
            <w:r>
              <w:rPr>
                <w:rFonts w:ascii="Times New Roman" w:cs="Times New Roman" w:eastAsia="Times New Roman" w:hAnsi="Times New Roman"/>
                <w:sz w:val="14"/>
                <w:szCs w:val="14"/>
                <w:b w:val="1"/>
                <w:bCs w:val="1"/>
                <w:color w:val="auto"/>
                <w:w w:val="98"/>
              </w:rPr>
              <w:t>During Year and</w:t>
            </w:r>
          </w:p>
        </w:tc>
        <w:tc>
          <w:tcPr>
            <w:tcW w:w="1080" w:type="dxa"/>
            <w:vAlign w:val="bottom"/>
            <w:gridSpan w:val="2"/>
          </w:tcPr>
          <w:p>
            <w:pPr>
              <w:jc w:val="center"/>
              <w:ind w:right="80"/>
              <w:spacing w:after="0" w:line="144" w:lineRule="exact"/>
              <w:rPr>
                <w:sz w:val="20"/>
                <w:szCs w:val="20"/>
                <w:color w:val="auto"/>
              </w:rPr>
            </w:pPr>
            <w:r>
              <w:rPr>
                <w:rFonts w:ascii="Times New Roman" w:cs="Times New Roman" w:eastAsia="Times New Roman" w:hAnsi="Times New Roman"/>
                <w:sz w:val="14"/>
                <w:szCs w:val="14"/>
                <w:b w:val="1"/>
                <w:bCs w:val="1"/>
                <w:color w:val="auto"/>
                <w:w w:val="96"/>
              </w:rPr>
              <w:t>Prior Years</w:t>
            </w:r>
          </w:p>
        </w:tc>
        <w:tc>
          <w:tcPr>
            <w:tcW w:w="960" w:type="dxa"/>
            <w:vAlign w:val="bottom"/>
            <w:gridSpan w:val="2"/>
          </w:tcPr>
          <w:p>
            <w:pPr>
              <w:jc w:val="center"/>
              <w:ind w:right="100"/>
              <w:spacing w:after="0" w:line="144" w:lineRule="exact"/>
              <w:rPr>
                <w:sz w:val="20"/>
                <w:szCs w:val="20"/>
                <w:color w:val="auto"/>
              </w:rPr>
            </w:pPr>
            <w:r>
              <w:rPr>
                <w:rFonts w:ascii="Times New Roman" w:cs="Times New Roman" w:eastAsia="Times New Roman" w:hAnsi="Times New Roman"/>
                <w:sz w:val="14"/>
                <w:szCs w:val="14"/>
                <w:b w:val="1"/>
                <w:bCs w:val="1"/>
                <w:color w:val="auto"/>
                <w:w w:val="98"/>
              </w:rPr>
              <w:t>Meet Vesting</w:t>
            </w:r>
          </w:p>
        </w:tc>
        <w:tc>
          <w:tcPr>
            <w:tcW w:w="1140" w:type="dxa"/>
            <w:vAlign w:val="bottom"/>
            <w:gridSpan w:val="2"/>
          </w:tcPr>
          <w:p>
            <w:pPr>
              <w:jc w:val="center"/>
              <w:ind w:right="100"/>
              <w:spacing w:after="0" w:line="144" w:lineRule="exact"/>
              <w:rPr>
                <w:sz w:val="20"/>
                <w:szCs w:val="20"/>
                <w:color w:val="auto"/>
              </w:rPr>
            </w:pPr>
            <w:r>
              <w:rPr>
                <w:rFonts w:ascii="Times New Roman" w:cs="Times New Roman" w:eastAsia="Times New Roman" w:hAnsi="Times New Roman"/>
                <w:sz w:val="14"/>
                <w:szCs w:val="14"/>
                <w:b w:val="1"/>
                <w:bCs w:val="1"/>
                <w:color w:val="auto"/>
                <w:w w:val="99"/>
              </w:rPr>
              <w:t>Reflected in Fair</w:t>
            </w: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Year</w:t>
            </w:r>
          </w:p>
        </w:tc>
        <w:tc>
          <w:tcPr>
            <w:tcW w:w="1220" w:type="dxa"/>
            <w:vAlign w:val="bottom"/>
            <w:gridSpan w:val="2"/>
          </w:tcPr>
          <w:p>
            <w:pPr>
              <w:jc w:val="center"/>
              <w:ind w:right="80"/>
              <w:spacing w:after="0" w:line="144" w:lineRule="exact"/>
              <w:rPr>
                <w:sz w:val="20"/>
                <w:szCs w:val="20"/>
                <w:color w:val="auto"/>
              </w:rPr>
            </w:pPr>
            <w:r>
              <w:rPr>
                <w:rFonts w:ascii="Times New Roman" w:cs="Times New Roman" w:eastAsia="Times New Roman" w:hAnsi="Times New Roman"/>
                <w:sz w:val="14"/>
                <w:szCs w:val="14"/>
                <w:b w:val="1"/>
                <w:bCs w:val="1"/>
                <w:color w:val="auto"/>
              </w:rPr>
              <w:t>of Last Day</w:t>
            </w:r>
          </w:p>
        </w:tc>
        <w:tc>
          <w:tcPr>
            <w:tcW w:w="1000" w:type="dxa"/>
            <w:vAlign w:val="bottom"/>
            <w:gridSpan w:val="2"/>
          </w:tcPr>
          <w:p>
            <w:pPr>
              <w:jc w:val="center"/>
              <w:ind w:right="100"/>
              <w:spacing w:after="0" w:line="144" w:lineRule="exact"/>
              <w:rPr>
                <w:sz w:val="20"/>
                <w:szCs w:val="20"/>
                <w:color w:val="auto"/>
              </w:rPr>
            </w:pPr>
            <w:r>
              <w:rPr>
                <w:rFonts w:ascii="Times New Roman" w:cs="Times New Roman" w:eastAsia="Times New Roman" w:hAnsi="Times New Roman"/>
                <w:sz w:val="14"/>
                <w:szCs w:val="14"/>
                <w:b w:val="1"/>
                <w:bCs w:val="1"/>
                <w:color w:val="auto"/>
              </w:rPr>
              <w:t>Last Day of</w:t>
            </w:r>
          </w:p>
        </w:tc>
        <w:tc>
          <w:tcPr>
            <w:tcW w:w="1080" w:type="dxa"/>
            <w:vAlign w:val="bottom"/>
            <w:gridSpan w:val="2"/>
          </w:tcPr>
          <w:p>
            <w:pPr>
              <w:jc w:val="center"/>
              <w:ind w:right="120"/>
              <w:spacing w:after="0" w:line="144" w:lineRule="exact"/>
              <w:rPr>
                <w:sz w:val="20"/>
                <w:szCs w:val="20"/>
                <w:color w:val="auto"/>
              </w:rPr>
            </w:pPr>
            <w:r>
              <w:rPr>
                <w:rFonts w:ascii="Times New Roman" w:cs="Times New Roman" w:eastAsia="Times New Roman" w:hAnsi="Times New Roman"/>
                <w:sz w:val="14"/>
                <w:szCs w:val="14"/>
                <w:b w:val="1"/>
                <w:bCs w:val="1"/>
                <w:color w:val="auto"/>
                <w:w w:val="97"/>
              </w:rPr>
              <w:t>Vested in the</w:t>
            </w:r>
          </w:p>
        </w:tc>
        <w:tc>
          <w:tcPr>
            <w:tcW w:w="1080" w:type="dxa"/>
            <w:vAlign w:val="bottom"/>
            <w:gridSpan w:val="2"/>
          </w:tcPr>
          <w:p>
            <w:pPr>
              <w:jc w:val="center"/>
              <w:ind w:right="80"/>
              <w:spacing w:after="0" w:line="144" w:lineRule="exact"/>
              <w:rPr>
                <w:sz w:val="20"/>
                <w:szCs w:val="20"/>
                <w:color w:val="auto"/>
              </w:rPr>
            </w:pPr>
            <w:r>
              <w:rPr>
                <w:rFonts w:ascii="Times New Roman" w:cs="Times New Roman" w:eastAsia="Times New Roman" w:hAnsi="Times New Roman"/>
                <w:sz w:val="14"/>
                <w:szCs w:val="14"/>
                <w:b w:val="1"/>
                <w:bCs w:val="1"/>
                <w:color w:val="auto"/>
                <w:w w:val="96"/>
              </w:rPr>
              <w:t>that Vested in</w:t>
            </w:r>
          </w:p>
        </w:tc>
        <w:tc>
          <w:tcPr>
            <w:tcW w:w="960" w:type="dxa"/>
            <w:vAlign w:val="bottom"/>
            <w:gridSpan w:val="2"/>
          </w:tcPr>
          <w:p>
            <w:pPr>
              <w:jc w:val="center"/>
              <w:ind w:right="80"/>
              <w:spacing w:after="0" w:line="144" w:lineRule="exact"/>
              <w:rPr>
                <w:sz w:val="20"/>
                <w:szCs w:val="20"/>
                <w:color w:val="auto"/>
              </w:rPr>
            </w:pPr>
            <w:r>
              <w:rPr>
                <w:rFonts w:ascii="Times New Roman" w:cs="Times New Roman" w:eastAsia="Times New Roman" w:hAnsi="Times New Roman"/>
                <w:sz w:val="14"/>
                <w:szCs w:val="14"/>
                <w:b w:val="1"/>
                <w:bCs w:val="1"/>
                <w:color w:val="auto"/>
                <w:w w:val="99"/>
              </w:rPr>
              <w:t>Conditions in</w:t>
            </w:r>
          </w:p>
        </w:tc>
        <w:tc>
          <w:tcPr>
            <w:tcW w:w="1140" w:type="dxa"/>
            <w:vAlign w:val="bottom"/>
            <w:gridSpan w:val="2"/>
          </w:tcPr>
          <w:p>
            <w:pPr>
              <w:jc w:val="center"/>
              <w:ind w:right="100"/>
              <w:spacing w:after="0" w:line="144" w:lineRule="exact"/>
              <w:rPr>
                <w:sz w:val="20"/>
                <w:szCs w:val="20"/>
                <w:color w:val="auto"/>
              </w:rPr>
            </w:pPr>
            <w:r>
              <w:rPr>
                <w:rFonts w:ascii="Times New Roman" w:cs="Times New Roman" w:eastAsia="Times New Roman" w:hAnsi="Times New Roman"/>
                <w:sz w:val="14"/>
                <w:szCs w:val="14"/>
                <w:b w:val="1"/>
                <w:bCs w:val="1"/>
                <w:color w:val="auto"/>
                <w:w w:val="96"/>
              </w:rPr>
              <w:t>Value or Total</w:t>
            </w:r>
          </w:p>
        </w:tc>
        <w:tc>
          <w:tcPr>
            <w:tcW w:w="980" w:type="dxa"/>
            <w:vAlign w:val="bottom"/>
          </w:tcPr>
          <w:p>
            <w:pPr>
              <w:jc w:val="right"/>
              <w:ind w:right="230"/>
              <w:spacing w:after="0" w:line="144" w:lineRule="exact"/>
              <w:rPr>
                <w:sz w:val="20"/>
                <w:szCs w:val="20"/>
                <w:color w:val="auto"/>
              </w:rPr>
            </w:pPr>
            <w:r>
              <w:rPr>
                <w:rFonts w:ascii="Times New Roman" w:cs="Times New Roman" w:eastAsia="Times New Roman" w:hAnsi="Times New Roman"/>
                <w:sz w:val="14"/>
                <w:szCs w:val="14"/>
                <w:b w:val="1"/>
                <w:bCs w:val="1"/>
                <w:color w:val="auto"/>
              </w:rPr>
              <w:t>Award</w:t>
            </w:r>
          </w:p>
        </w:tc>
        <w:tc>
          <w:tcPr>
            <w:tcW w:w="0" w:type="dxa"/>
            <w:vAlign w:val="bottom"/>
          </w:tcPr>
          <w:p>
            <w:pPr>
              <w:spacing w:after="0"/>
              <w:rPr>
                <w:sz w:val="1"/>
                <w:szCs w:val="1"/>
                <w:color w:val="auto"/>
              </w:rPr>
            </w:pPr>
          </w:p>
        </w:tc>
      </w:tr>
      <w:tr>
        <w:trPr>
          <w:trHeight w:val="184"/>
        </w:trPr>
        <w:tc>
          <w:tcPr>
            <w:tcW w:w="400" w:type="dxa"/>
            <w:vAlign w:val="bottom"/>
            <w:gridSpan w:val="2"/>
            <w:vMerge w:val="continue"/>
          </w:tcPr>
          <w:p>
            <w:pPr>
              <w:spacing w:after="0"/>
              <w:rPr>
                <w:sz w:val="16"/>
                <w:szCs w:val="16"/>
                <w:color w:val="auto"/>
              </w:rPr>
            </w:pPr>
          </w:p>
        </w:tc>
        <w:tc>
          <w:tcPr>
            <w:tcW w:w="12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6"/>
              </w:rPr>
              <w:t>of Year ($)</w:t>
            </w: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7"/>
              </w:rPr>
              <w:t>Year ($)</w:t>
            </w:r>
          </w:p>
        </w:tc>
        <w:tc>
          <w:tcPr>
            <w:tcW w:w="10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7"/>
              </w:rPr>
              <w:t>Year ($)</w:t>
            </w:r>
          </w:p>
        </w:tc>
        <w:tc>
          <w:tcPr>
            <w:tcW w:w="10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4"/>
              </w:rPr>
              <w:t>the Year ($)</w:t>
            </w: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the Year ($)</w:t>
            </w:r>
          </w:p>
        </w:tc>
        <w:tc>
          <w:tcPr>
            <w:tcW w:w="21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Compensation ($) Adjustments ($)</w:t>
            </w:r>
          </w:p>
        </w:tc>
        <w:tc>
          <w:tcPr>
            <w:tcW w:w="0" w:type="dxa"/>
            <w:vAlign w:val="bottom"/>
          </w:tcPr>
          <w:p>
            <w:pPr>
              <w:spacing w:after="0"/>
              <w:rPr>
                <w:sz w:val="1"/>
                <w:szCs w:val="1"/>
                <w:color w:val="auto"/>
              </w:rPr>
            </w:pPr>
          </w:p>
        </w:tc>
      </w:tr>
      <w:tr>
        <w:trPr>
          <w:trHeight w:val="23"/>
        </w:trPr>
        <w:tc>
          <w:tcPr>
            <w:tcW w:w="3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5"/>
        </w:trPr>
        <w:tc>
          <w:tcPr>
            <w:tcW w:w="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w:t>
            </w: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3"/>
              </w:rPr>
              <w:t>(ii)</w:t>
            </w:r>
          </w:p>
        </w:tc>
        <w:tc>
          <w:tcPr>
            <w:tcW w:w="10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5"/>
              </w:rPr>
              <w:t>(iii)</w:t>
            </w:r>
          </w:p>
        </w:tc>
        <w:tc>
          <w:tcPr>
            <w:tcW w:w="10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(iv)</w:t>
            </w:r>
          </w:p>
        </w:tc>
        <w:tc>
          <w:tcPr>
            <w:tcW w:w="9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7"/>
              </w:rPr>
              <w:t>(v)</w:t>
            </w: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(vi)</w:t>
            </w: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5"/>
        </w:trPr>
        <w:tc>
          <w:tcPr>
            <w:tcW w:w="340" w:type="dxa"/>
            <w:vAlign w:val="bottom"/>
            <w:tcBorders>
              <w:bottom w:val="single" w:sz="8" w:color="CDE9F6"/>
            </w:tcBorders>
            <w:shd w:val="clear" w:color="auto" w:fill="CDE9F6"/>
          </w:tcPr>
          <w:p>
            <w:pPr>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Borders>
              <w:bottom w:val="single" w:sz="8" w:color="CDE9F6"/>
            </w:tcBorders>
            <w:shd w:val="clear" w:color="auto" w:fill="CDE9F6"/>
          </w:tcPr>
          <w:p>
            <w:pPr>
              <w:spacing w:after="0"/>
              <w:rPr>
                <w:sz w:val="22"/>
                <w:szCs w:val="22"/>
                <w:color w:val="auto"/>
              </w:rPr>
            </w:pPr>
          </w:p>
        </w:tc>
        <w:tc>
          <w:tcPr>
            <w:tcW w:w="1220" w:type="dxa"/>
            <w:vAlign w:val="bottom"/>
            <w:tcBorders>
              <w:bottom w:val="single" w:sz="8" w:color="CDE9F6"/>
            </w:tcBorders>
            <w:gridSpan w:val="2"/>
            <w:shd w:val="clear" w:color="auto" w:fill="CDE9F6"/>
          </w:tcPr>
          <w:p>
            <w:pPr>
              <w:jc w:val="right"/>
              <w:ind w:right="80"/>
              <w:spacing w:after="0"/>
              <w:rPr>
                <w:sz w:val="20"/>
                <w:szCs w:val="20"/>
                <w:color w:val="auto"/>
              </w:rPr>
            </w:pPr>
            <w:r>
              <w:rPr>
                <w:rFonts w:ascii="Times New Roman" w:cs="Times New Roman" w:eastAsia="Times New Roman" w:hAnsi="Times New Roman"/>
                <w:sz w:val="14"/>
                <w:szCs w:val="14"/>
                <w:color w:val="auto"/>
              </w:rPr>
              <w:t>1,987,524</w:t>
            </w:r>
          </w:p>
        </w:tc>
        <w:tc>
          <w:tcPr>
            <w:tcW w:w="920" w:type="dxa"/>
            <w:vAlign w:val="bottom"/>
            <w:tcBorders>
              <w:bottom w:val="single" w:sz="8" w:color="CDE9F6"/>
            </w:tcBorders>
            <w:shd w:val="clear" w:color="auto" w:fill="CDE9F6"/>
          </w:tcPr>
          <w:p>
            <w:pPr>
              <w:jc w:val="right"/>
              <w:spacing w:after="0"/>
              <w:rPr>
                <w:sz w:val="20"/>
                <w:szCs w:val="20"/>
                <w:color w:val="auto"/>
              </w:rPr>
            </w:pPr>
            <w:r>
              <w:rPr>
                <w:rFonts w:ascii="Times New Roman" w:cs="Times New Roman" w:eastAsia="Times New Roman" w:hAnsi="Times New Roman"/>
                <w:sz w:val="14"/>
                <w:szCs w:val="14"/>
                <w:color w:val="auto"/>
              </w:rPr>
              <w:t>(1,296,907)</w:t>
            </w:r>
          </w:p>
        </w:tc>
        <w:tc>
          <w:tcPr>
            <w:tcW w:w="80" w:type="dxa"/>
            <w:vAlign w:val="bottom"/>
            <w:tcBorders>
              <w:bottom w:val="single" w:sz="8" w:color="CDE9F6"/>
            </w:tcBorders>
            <w:shd w:val="clear" w:color="auto" w:fill="CDE9F6"/>
          </w:tcPr>
          <w:p>
            <w:pPr>
              <w:spacing w:after="0"/>
              <w:rPr>
                <w:sz w:val="22"/>
                <w:szCs w:val="22"/>
                <w:color w:val="auto"/>
              </w:rPr>
            </w:pPr>
          </w:p>
        </w:tc>
        <w:tc>
          <w:tcPr>
            <w:tcW w:w="1080" w:type="dxa"/>
            <w:vAlign w:val="bottom"/>
            <w:tcBorders>
              <w:bottom w:val="single" w:sz="8" w:color="CDE9F6"/>
            </w:tcBorders>
            <w:gridSpan w:val="2"/>
            <w:shd w:val="clear" w:color="auto" w:fill="CDE9F6"/>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DE9F6"/>
            </w:tcBorders>
            <w:shd w:val="clear" w:color="auto" w:fill="CDE9F6"/>
          </w:tcPr>
          <w:p>
            <w:pPr>
              <w:jc w:val="right"/>
              <w:ind w:right="50"/>
              <w:spacing w:after="0"/>
              <w:rPr>
                <w:sz w:val="20"/>
                <w:szCs w:val="20"/>
                <w:color w:val="auto"/>
              </w:rPr>
            </w:pPr>
            <w:r>
              <w:rPr>
                <w:rFonts w:ascii="Times New Roman" w:cs="Times New Roman" w:eastAsia="Times New Roman" w:hAnsi="Times New Roman"/>
                <w:sz w:val="14"/>
                <w:szCs w:val="14"/>
                <w:color w:val="auto"/>
              </w:rPr>
              <w:t>193,619</w:t>
            </w:r>
          </w:p>
        </w:tc>
        <w:tc>
          <w:tcPr>
            <w:tcW w:w="80" w:type="dxa"/>
            <w:vAlign w:val="bottom"/>
            <w:tcBorders>
              <w:bottom w:val="single" w:sz="8" w:color="CDE9F6"/>
            </w:tcBorders>
            <w:shd w:val="clear" w:color="auto" w:fill="CDE9F6"/>
          </w:tcPr>
          <w:p>
            <w:pPr>
              <w:spacing w:after="0"/>
              <w:rPr>
                <w:sz w:val="22"/>
                <w:szCs w:val="22"/>
                <w:color w:val="auto"/>
              </w:rPr>
            </w:pPr>
          </w:p>
        </w:tc>
        <w:tc>
          <w:tcPr>
            <w:tcW w:w="880" w:type="dxa"/>
            <w:vAlign w:val="bottom"/>
            <w:tcBorders>
              <w:bottom w:val="single" w:sz="8" w:color="CDE9F6"/>
            </w:tcBorders>
            <w:shd w:val="clear" w:color="auto" w:fill="CDE9F6"/>
          </w:tcPr>
          <w:p>
            <w:pPr>
              <w:jc w:val="right"/>
              <w:ind w:right="10"/>
              <w:spacing w:after="0"/>
              <w:rPr>
                <w:sz w:val="20"/>
                <w:szCs w:val="20"/>
                <w:color w:val="auto"/>
              </w:rPr>
            </w:pPr>
            <w:r>
              <w:rPr>
                <w:rFonts w:ascii="Times New Roman" w:cs="Times New Roman" w:eastAsia="Times New Roman" w:hAnsi="Times New Roman"/>
                <w:sz w:val="14"/>
                <w:szCs w:val="14"/>
                <w:color w:val="auto"/>
              </w:rPr>
              <w:t>(3,041,781)</w:t>
            </w:r>
          </w:p>
        </w:tc>
        <w:tc>
          <w:tcPr>
            <w:tcW w:w="80" w:type="dxa"/>
            <w:vAlign w:val="bottom"/>
            <w:tcBorders>
              <w:bottom w:val="single" w:sz="8" w:color="CDE9F6"/>
            </w:tcBorders>
            <w:shd w:val="clear" w:color="auto" w:fill="CDE9F6"/>
          </w:tcPr>
          <w:p>
            <w:pPr>
              <w:spacing w:after="0"/>
              <w:rPr>
                <w:sz w:val="22"/>
                <w:szCs w:val="22"/>
                <w:color w:val="auto"/>
              </w:rPr>
            </w:pPr>
          </w:p>
        </w:tc>
        <w:tc>
          <w:tcPr>
            <w:tcW w:w="1140" w:type="dxa"/>
            <w:vAlign w:val="bottom"/>
            <w:tcBorders>
              <w:bottom w:val="single" w:sz="8" w:color="CDE9F6"/>
            </w:tcBorders>
            <w:gridSpan w:val="2"/>
            <w:shd w:val="clear" w:color="auto" w:fill="CDE9F6"/>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CDE9F6"/>
            </w:tcBorders>
            <w:shd w:val="clear" w:color="auto" w:fill="CDE9F6"/>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(2,157,544)</w:t>
            </w:r>
          </w:p>
        </w:tc>
        <w:tc>
          <w:tcPr>
            <w:tcW w:w="0" w:type="dxa"/>
            <w:vAlign w:val="bottom"/>
          </w:tcPr>
          <w:p>
            <w:pPr>
              <w:spacing w:after="0"/>
              <w:rPr>
                <w:sz w:val="1"/>
                <w:szCs w:val="1"/>
                <w:color w:val="auto"/>
              </w:rPr>
            </w:pPr>
          </w:p>
        </w:tc>
      </w:tr>
      <w:tr>
        <w:trPr>
          <w:trHeight w:val="252"/>
        </w:trPr>
        <w:tc>
          <w:tcPr>
            <w:tcW w:w="3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21"/>
                <w:szCs w:val="21"/>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8,346,089</w:t>
            </w: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4,777,411</w:t>
            </w:r>
          </w:p>
        </w:tc>
        <w:tc>
          <w:tcPr>
            <w:tcW w:w="80" w:type="dxa"/>
            <w:vAlign w:val="bottom"/>
          </w:tcPr>
          <w:p>
            <w:pPr>
              <w:spacing w:after="0"/>
              <w:rPr>
                <w:sz w:val="21"/>
                <w:szCs w:val="21"/>
                <w:color w:val="auto"/>
              </w:rPr>
            </w:pPr>
          </w:p>
        </w:tc>
        <w:tc>
          <w:tcPr>
            <w:tcW w:w="108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1,091,111</w:t>
            </w:r>
          </w:p>
        </w:tc>
        <w:tc>
          <w:tcPr>
            <w:tcW w:w="80" w:type="dxa"/>
            <w:vAlign w:val="bottom"/>
          </w:tcPr>
          <w:p>
            <w:pPr>
              <w:spacing w:after="0"/>
              <w:rPr>
                <w:sz w:val="21"/>
                <w:szCs w:val="21"/>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14,214,611</w:t>
            </w:r>
          </w:p>
        </w:tc>
        <w:tc>
          <w:tcPr>
            <w:tcW w:w="0" w:type="dxa"/>
            <w:vAlign w:val="bottom"/>
          </w:tcPr>
          <w:p>
            <w:pPr>
              <w:spacing w:after="0"/>
              <w:rPr>
                <w:sz w:val="1"/>
                <w:szCs w:val="1"/>
                <w:color w:val="auto"/>
              </w:rPr>
            </w:pPr>
          </w:p>
        </w:tc>
      </w:tr>
      <w:tr>
        <w:trPr>
          <w:trHeight w:val="23"/>
        </w:trPr>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5"/>
        </w:trPr>
        <w:tc>
          <w:tcPr>
            <w:tcW w:w="340" w:type="dxa"/>
            <w:vAlign w:val="bottom"/>
            <w:tcBorders>
              <w:bottom w:val="single" w:sz="8" w:color="CDE9F6"/>
            </w:tcBorders>
            <w:shd w:val="clear" w:color="auto" w:fill="CDE9F6"/>
          </w:tcPr>
          <w:p>
            <w:pPr>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Borders>
              <w:bottom w:val="single" w:sz="8" w:color="CDE9F6"/>
            </w:tcBorders>
            <w:shd w:val="clear" w:color="auto" w:fill="CDE9F6"/>
          </w:tcPr>
          <w:p>
            <w:pPr>
              <w:spacing w:after="0"/>
              <w:rPr>
                <w:sz w:val="22"/>
                <w:szCs w:val="22"/>
                <w:color w:val="auto"/>
              </w:rPr>
            </w:pPr>
          </w:p>
        </w:tc>
        <w:tc>
          <w:tcPr>
            <w:tcW w:w="1220" w:type="dxa"/>
            <w:vAlign w:val="bottom"/>
            <w:tcBorders>
              <w:bottom w:val="single" w:sz="8" w:color="CDE9F6"/>
            </w:tcBorders>
            <w:gridSpan w:val="2"/>
            <w:shd w:val="clear" w:color="auto" w:fill="CDE9F6"/>
          </w:tcPr>
          <w:p>
            <w:pPr>
              <w:jc w:val="right"/>
              <w:ind w:right="80"/>
              <w:spacing w:after="0"/>
              <w:rPr>
                <w:sz w:val="20"/>
                <w:szCs w:val="20"/>
                <w:color w:val="auto"/>
              </w:rPr>
            </w:pPr>
            <w:r>
              <w:rPr>
                <w:rFonts w:ascii="Times New Roman" w:cs="Times New Roman" w:eastAsia="Times New Roman" w:hAnsi="Times New Roman"/>
                <w:sz w:val="14"/>
                <w:szCs w:val="14"/>
                <w:color w:val="auto"/>
              </w:rPr>
              <w:t>5,129,449</w:t>
            </w:r>
          </w:p>
        </w:tc>
        <w:tc>
          <w:tcPr>
            <w:tcW w:w="920" w:type="dxa"/>
            <w:vAlign w:val="bottom"/>
            <w:tcBorders>
              <w:bottom w:val="single" w:sz="8" w:color="CDE9F6"/>
            </w:tcBorders>
            <w:shd w:val="clear" w:color="auto" w:fill="CDE9F6"/>
          </w:tcPr>
          <w:p>
            <w:pPr>
              <w:jc w:val="right"/>
              <w:ind w:right="30"/>
              <w:spacing w:after="0"/>
              <w:rPr>
                <w:sz w:val="20"/>
                <w:szCs w:val="20"/>
                <w:color w:val="auto"/>
              </w:rPr>
            </w:pPr>
            <w:r>
              <w:rPr>
                <w:rFonts w:ascii="Times New Roman" w:cs="Times New Roman" w:eastAsia="Times New Roman" w:hAnsi="Times New Roman"/>
                <w:sz w:val="14"/>
                <w:szCs w:val="14"/>
                <w:color w:val="auto"/>
              </w:rPr>
              <w:t>470,718</w:t>
            </w:r>
          </w:p>
        </w:tc>
        <w:tc>
          <w:tcPr>
            <w:tcW w:w="80" w:type="dxa"/>
            <w:vAlign w:val="bottom"/>
            <w:tcBorders>
              <w:bottom w:val="single" w:sz="8" w:color="CDE9F6"/>
            </w:tcBorders>
            <w:shd w:val="clear" w:color="auto" w:fill="CDE9F6"/>
          </w:tcPr>
          <w:p>
            <w:pPr>
              <w:spacing w:after="0"/>
              <w:rPr>
                <w:sz w:val="22"/>
                <w:szCs w:val="22"/>
                <w:color w:val="auto"/>
              </w:rPr>
            </w:pPr>
          </w:p>
        </w:tc>
        <w:tc>
          <w:tcPr>
            <w:tcW w:w="1080" w:type="dxa"/>
            <w:vAlign w:val="bottom"/>
            <w:tcBorders>
              <w:bottom w:val="single" w:sz="8" w:color="CDE9F6"/>
            </w:tcBorders>
            <w:gridSpan w:val="2"/>
            <w:shd w:val="clear" w:color="auto" w:fill="CDE9F6"/>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DE9F6"/>
            </w:tcBorders>
            <w:shd w:val="clear" w:color="auto" w:fill="CDE9F6"/>
          </w:tcPr>
          <w:p>
            <w:pPr>
              <w:jc w:val="right"/>
              <w:ind w:right="50"/>
              <w:spacing w:after="0"/>
              <w:rPr>
                <w:sz w:val="20"/>
                <w:szCs w:val="20"/>
                <w:color w:val="auto"/>
              </w:rPr>
            </w:pPr>
            <w:r>
              <w:rPr>
                <w:rFonts w:ascii="Times New Roman" w:cs="Times New Roman" w:eastAsia="Times New Roman" w:hAnsi="Times New Roman"/>
                <w:sz w:val="14"/>
                <w:szCs w:val="14"/>
                <w:color w:val="auto"/>
              </w:rPr>
              <w:t>1,611,126</w:t>
            </w:r>
          </w:p>
        </w:tc>
        <w:tc>
          <w:tcPr>
            <w:tcW w:w="80" w:type="dxa"/>
            <w:vAlign w:val="bottom"/>
            <w:tcBorders>
              <w:bottom w:val="single" w:sz="8" w:color="CDE9F6"/>
            </w:tcBorders>
            <w:shd w:val="clear" w:color="auto" w:fill="CDE9F6"/>
          </w:tcPr>
          <w:p>
            <w:pPr>
              <w:spacing w:after="0"/>
              <w:rPr>
                <w:sz w:val="22"/>
                <w:szCs w:val="22"/>
                <w:color w:val="auto"/>
              </w:rPr>
            </w:pPr>
          </w:p>
        </w:tc>
        <w:tc>
          <w:tcPr>
            <w:tcW w:w="960" w:type="dxa"/>
            <w:vAlign w:val="bottom"/>
            <w:tcBorders>
              <w:bottom w:val="single" w:sz="8" w:color="CDE9F6"/>
            </w:tcBorders>
            <w:gridSpan w:val="2"/>
            <w:shd w:val="clear" w:color="auto" w:fill="CDE9F6"/>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CDE9F6"/>
            </w:tcBorders>
            <w:gridSpan w:val="2"/>
            <w:shd w:val="clear" w:color="auto" w:fill="CDE9F6"/>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CDE9F6"/>
            </w:tcBorders>
            <w:shd w:val="clear" w:color="auto" w:fill="CDE9F6"/>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7,211,293</w:t>
            </w:r>
          </w:p>
        </w:tc>
        <w:tc>
          <w:tcPr>
            <w:tcW w:w="0" w:type="dxa"/>
            <w:vAlign w:val="bottom"/>
          </w:tcPr>
          <w:p>
            <w:pPr>
              <w:spacing w:after="0"/>
              <w:rPr>
                <w:sz w:val="1"/>
                <w:szCs w:val="1"/>
                <w:color w:val="auto"/>
              </w:rPr>
            </w:pPr>
          </w:p>
        </w:tc>
      </w:tr>
      <w:tr>
        <w:trPr>
          <w:trHeight w:val="252"/>
        </w:trPr>
        <w:tc>
          <w:tcPr>
            <w:tcW w:w="3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Pr>
          <w:p>
            <w:pPr>
              <w:spacing w:after="0"/>
              <w:rPr>
                <w:sz w:val="21"/>
                <w:szCs w:val="21"/>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2,392,897</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(4,807,501)</w:t>
            </w:r>
          </w:p>
        </w:tc>
        <w:tc>
          <w:tcPr>
            <w:tcW w:w="80" w:type="dxa"/>
            <w:vAlign w:val="bottom"/>
          </w:tcPr>
          <w:p>
            <w:pPr>
              <w:spacing w:after="0"/>
              <w:rPr>
                <w:sz w:val="21"/>
                <w:szCs w:val="21"/>
                <w:color w:val="auto"/>
              </w:rPr>
            </w:pPr>
          </w:p>
        </w:tc>
        <w:tc>
          <w:tcPr>
            <w:tcW w:w="108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(3,374,780)</w:t>
            </w:r>
          </w:p>
        </w:tc>
        <w:tc>
          <w:tcPr>
            <w:tcW w:w="80" w:type="dxa"/>
            <w:vAlign w:val="bottom"/>
          </w:tcPr>
          <w:p>
            <w:pPr>
              <w:spacing w:after="0"/>
              <w:rPr>
                <w:sz w:val="21"/>
                <w:szCs w:val="21"/>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(5,789,384</w:t>
            </w: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2"/>
        </w:trPr>
        <w:tc>
          <w:tcPr>
            <w:tcW w:w="340" w:type="dxa"/>
            <w:vAlign w:val="bottom"/>
            <w:shd w:val="clear" w:color="auto" w:fill="CDE9F6"/>
          </w:tcPr>
          <w:p>
            <w:pPr>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shd w:val="clear" w:color="auto" w:fill="CDE9F6"/>
          </w:tcPr>
          <w:p>
            <w:pPr>
              <w:spacing w:after="0"/>
              <w:rPr>
                <w:sz w:val="21"/>
                <w:szCs w:val="21"/>
                <w:color w:val="auto"/>
              </w:rPr>
            </w:pPr>
          </w:p>
        </w:tc>
        <w:tc>
          <w:tcPr>
            <w:tcW w:w="1220" w:type="dxa"/>
            <w:vAlign w:val="bottom"/>
            <w:gridSpan w:val="2"/>
            <w:shd w:val="clear" w:color="auto" w:fill="CDE9F6"/>
          </w:tcPr>
          <w:p>
            <w:pPr>
              <w:jc w:val="right"/>
              <w:ind w:right="80"/>
              <w:spacing w:after="0"/>
              <w:rPr>
                <w:sz w:val="20"/>
                <w:szCs w:val="20"/>
                <w:color w:val="auto"/>
              </w:rPr>
            </w:pPr>
            <w:r>
              <w:rPr>
                <w:rFonts w:ascii="Times New Roman" w:cs="Times New Roman" w:eastAsia="Times New Roman" w:hAnsi="Times New Roman"/>
                <w:sz w:val="14"/>
                <w:szCs w:val="14"/>
                <w:color w:val="auto"/>
              </w:rPr>
              <w:t>11,651,503</w:t>
            </w:r>
          </w:p>
        </w:tc>
        <w:tc>
          <w:tcPr>
            <w:tcW w:w="920" w:type="dxa"/>
            <w:vAlign w:val="bottom"/>
            <w:shd w:val="clear" w:color="auto" w:fill="CDE9F6"/>
          </w:tcPr>
          <w:p>
            <w:pPr>
              <w:jc w:val="right"/>
              <w:ind w:right="30"/>
              <w:spacing w:after="0"/>
              <w:rPr>
                <w:sz w:val="20"/>
                <w:szCs w:val="20"/>
                <w:color w:val="auto"/>
              </w:rPr>
            </w:pPr>
            <w:r>
              <w:rPr>
                <w:rFonts w:ascii="Times New Roman" w:cs="Times New Roman" w:eastAsia="Times New Roman" w:hAnsi="Times New Roman"/>
                <w:sz w:val="14"/>
                <w:szCs w:val="14"/>
                <w:color w:val="auto"/>
              </w:rPr>
              <w:t>10,220,943</w:t>
            </w:r>
          </w:p>
        </w:tc>
        <w:tc>
          <w:tcPr>
            <w:tcW w:w="80" w:type="dxa"/>
            <w:vAlign w:val="bottom"/>
            <w:shd w:val="clear" w:color="auto" w:fill="CDE9F6"/>
          </w:tcPr>
          <w:p>
            <w:pPr>
              <w:spacing w:after="0"/>
              <w:rPr>
                <w:sz w:val="21"/>
                <w:szCs w:val="21"/>
                <w:color w:val="auto"/>
              </w:rPr>
            </w:pPr>
          </w:p>
        </w:tc>
        <w:tc>
          <w:tcPr>
            <w:tcW w:w="1080" w:type="dxa"/>
            <w:vAlign w:val="bottom"/>
            <w:gridSpan w:val="2"/>
            <w:shd w:val="clear" w:color="auto" w:fill="CDE9F6"/>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DE9F6"/>
          </w:tcPr>
          <w:p>
            <w:pPr>
              <w:jc w:val="right"/>
              <w:ind w:right="50"/>
              <w:spacing w:after="0"/>
              <w:rPr>
                <w:sz w:val="20"/>
                <w:szCs w:val="20"/>
                <w:color w:val="auto"/>
              </w:rPr>
            </w:pPr>
            <w:r>
              <w:rPr>
                <w:rFonts w:ascii="Times New Roman" w:cs="Times New Roman" w:eastAsia="Times New Roman" w:hAnsi="Times New Roman"/>
                <w:sz w:val="14"/>
                <w:szCs w:val="14"/>
                <w:color w:val="auto"/>
              </w:rPr>
              <w:t>4,983,963</w:t>
            </w:r>
          </w:p>
        </w:tc>
        <w:tc>
          <w:tcPr>
            <w:tcW w:w="80" w:type="dxa"/>
            <w:vAlign w:val="bottom"/>
            <w:shd w:val="clear" w:color="auto" w:fill="CDE9F6"/>
          </w:tcPr>
          <w:p>
            <w:pPr>
              <w:spacing w:after="0"/>
              <w:rPr>
                <w:sz w:val="21"/>
                <w:szCs w:val="21"/>
                <w:color w:val="auto"/>
              </w:rPr>
            </w:pPr>
          </w:p>
        </w:tc>
        <w:tc>
          <w:tcPr>
            <w:tcW w:w="960" w:type="dxa"/>
            <w:vAlign w:val="bottom"/>
            <w:gridSpan w:val="2"/>
            <w:shd w:val="clear" w:color="auto" w:fill="CDE9F6"/>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shd w:val="clear" w:color="auto" w:fill="CDE9F6"/>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DE9F6"/>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26,856,409</w:t>
            </w:r>
          </w:p>
        </w:tc>
        <w:tc>
          <w:tcPr>
            <w:tcW w:w="0" w:type="dxa"/>
            <w:vAlign w:val="bottom"/>
          </w:tcPr>
          <w:p>
            <w:pPr>
              <w:spacing w:after="0"/>
              <w:rPr>
                <w:sz w:val="1"/>
                <w:szCs w:val="1"/>
                <w:color w:val="auto"/>
              </w:rPr>
            </w:pPr>
          </w:p>
        </w:tc>
      </w:tr>
      <w:tr>
        <w:trPr>
          <w:trHeight w:val="23"/>
        </w:trPr>
        <w:tc>
          <w:tcPr>
            <w:tcW w:w="340" w:type="dxa"/>
            <w:vAlign w:val="bottom"/>
            <w:shd w:val="clear" w:color="auto" w:fill="CDE9F6"/>
          </w:tcPr>
          <w:p>
            <w:pPr>
              <w:spacing w:after="0"/>
              <w:rPr>
                <w:sz w:val="2"/>
                <w:szCs w:val="2"/>
                <w:color w:val="auto"/>
              </w:rPr>
            </w:pPr>
          </w:p>
        </w:tc>
        <w:tc>
          <w:tcPr>
            <w:tcW w:w="60" w:type="dxa"/>
            <w:vAlign w:val="bottom"/>
            <w:shd w:val="clear" w:color="auto" w:fill="CDE9F6"/>
          </w:tcPr>
          <w:p>
            <w:pPr>
              <w:spacing w:after="0"/>
              <w:rPr>
                <w:sz w:val="2"/>
                <w:szCs w:val="2"/>
                <w:color w:val="auto"/>
              </w:rPr>
            </w:pPr>
          </w:p>
        </w:tc>
        <w:tc>
          <w:tcPr>
            <w:tcW w:w="1140" w:type="dxa"/>
            <w:vAlign w:val="bottom"/>
            <w:shd w:val="clear" w:color="auto" w:fill="CDE9F6"/>
          </w:tcPr>
          <w:p>
            <w:pPr>
              <w:spacing w:after="0"/>
              <w:rPr>
                <w:sz w:val="2"/>
                <w:szCs w:val="2"/>
                <w:color w:val="auto"/>
              </w:rPr>
            </w:pPr>
          </w:p>
        </w:tc>
        <w:tc>
          <w:tcPr>
            <w:tcW w:w="80" w:type="dxa"/>
            <w:vAlign w:val="bottom"/>
            <w:shd w:val="clear" w:color="auto" w:fill="CDE9F6"/>
          </w:tcPr>
          <w:p>
            <w:pPr>
              <w:spacing w:after="0"/>
              <w:rPr>
                <w:sz w:val="2"/>
                <w:szCs w:val="2"/>
                <w:color w:val="auto"/>
              </w:rPr>
            </w:pPr>
          </w:p>
        </w:tc>
        <w:tc>
          <w:tcPr>
            <w:tcW w:w="920" w:type="dxa"/>
            <w:vAlign w:val="bottom"/>
            <w:shd w:val="clear" w:color="auto" w:fill="CDE9F6"/>
          </w:tcPr>
          <w:p>
            <w:pPr>
              <w:spacing w:after="0"/>
              <w:rPr>
                <w:sz w:val="2"/>
                <w:szCs w:val="2"/>
                <w:color w:val="auto"/>
              </w:rPr>
            </w:pPr>
          </w:p>
        </w:tc>
        <w:tc>
          <w:tcPr>
            <w:tcW w:w="80" w:type="dxa"/>
            <w:vAlign w:val="bottom"/>
            <w:shd w:val="clear" w:color="auto" w:fill="CDE9F6"/>
          </w:tcPr>
          <w:p>
            <w:pPr>
              <w:spacing w:after="0"/>
              <w:rPr>
                <w:sz w:val="2"/>
                <w:szCs w:val="2"/>
                <w:color w:val="auto"/>
              </w:rPr>
            </w:pPr>
          </w:p>
        </w:tc>
        <w:tc>
          <w:tcPr>
            <w:tcW w:w="1000" w:type="dxa"/>
            <w:vAlign w:val="bottom"/>
            <w:shd w:val="clear" w:color="auto" w:fill="CDE9F6"/>
          </w:tcPr>
          <w:p>
            <w:pPr>
              <w:spacing w:after="0"/>
              <w:rPr>
                <w:sz w:val="2"/>
                <w:szCs w:val="2"/>
                <w:color w:val="auto"/>
              </w:rPr>
            </w:pPr>
          </w:p>
        </w:tc>
        <w:tc>
          <w:tcPr>
            <w:tcW w:w="80" w:type="dxa"/>
            <w:vAlign w:val="bottom"/>
            <w:shd w:val="clear" w:color="auto" w:fill="CDE9F6"/>
          </w:tcPr>
          <w:p>
            <w:pPr>
              <w:spacing w:after="0"/>
              <w:rPr>
                <w:sz w:val="2"/>
                <w:szCs w:val="2"/>
                <w:color w:val="auto"/>
              </w:rPr>
            </w:pPr>
          </w:p>
        </w:tc>
        <w:tc>
          <w:tcPr>
            <w:tcW w:w="1000" w:type="dxa"/>
            <w:vAlign w:val="bottom"/>
            <w:shd w:val="clear" w:color="auto" w:fill="CDE9F6"/>
          </w:tcPr>
          <w:p>
            <w:pPr>
              <w:spacing w:after="0"/>
              <w:rPr>
                <w:sz w:val="2"/>
                <w:szCs w:val="2"/>
                <w:color w:val="auto"/>
              </w:rPr>
            </w:pPr>
          </w:p>
        </w:tc>
        <w:tc>
          <w:tcPr>
            <w:tcW w:w="80" w:type="dxa"/>
            <w:vAlign w:val="bottom"/>
            <w:shd w:val="clear" w:color="auto" w:fill="CDE9F6"/>
          </w:tcPr>
          <w:p>
            <w:pPr>
              <w:spacing w:after="0"/>
              <w:rPr>
                <w:sz w:val="2"/>
                <w:szCs w:val="2"/>
                <w:color w:val="auto"/>
              </w:rPr>
            </w:pPr>
          </w:p>
        </w:tc>
        <w:tc>
          <w:tcPr>
            <w:tcW w:w="880" w:type="dxa"/>
            <w:vAlign w:val="bottom"/>
            <w:shd w:val="clear" w:color="auto" w:fill="CDE9F6"/>
          </w:tcPr>
          <w:p>
            <w:pPr>
              <w:spacing w:after="0"/>
              <w:rPr>
                <w:sz w:val="2"/>
                <w:szCs w:val="2"/>
                <w:color w:val="auto"/>
              </w:rPr>
            </w:pPr>
          </w:p>
        </w:tc>
        <w:tc>
          <w:tcPr>
            <w:tcW w:w="80" w:type="dxa"/>
            <w:vAlign w:val="bottom"/>
            <w:shd w:val="clear" w:color="auto" w:fill="CDE9F6"/>
          </w:tcPr>
          <w:p>
            <w:pPr>
              <w:spacing w:after="0"/>
              <w:rPr>
                <w:sz w:val="2"/>
                <w:szCs w:val="2"/>
                <w:color w:val="auto"/>
              </w:rPr>
            </w:pPr>
          </w:p>
        </w:tc>
        <w:tc>
          <w:tcPr>
            <w:tcW w:w="1060" w:type="dxa"/>
            <w:vAlign w:val="bottom"/>
            <w:shd w:val="clear" w:color="auto" w:fill="CDE9F6"/>
          </w:tcPr>
          <w:p>
            <w:pPr>
              <w:spacing w:after="0"/>
              <w:rPr>
                <w:sz w:val="2"/>
                <w:szCs w:val="2"/>
                <w:color w:val="auto"/>
              </w:rPr>
            </w:pPr>
          </w:p>
        </w:tc>
        <w:tc>
          <w:tcPr>
            <w:tcW w:w="80" w:type="dxa"/>
            <w:vAlign w:val="bottom"/>
            <w:shd w:val="clear" w:color="auto" w:fill="CDE9F6"/>
          </w:tcPr>
          <w:p>
            <w:pPr>
              <w:spacing w:after="0"/>
              <w:rPr>
                <w:sz w:val="2"/>
                <w:szCs w:val="2"/>
                <w:color w:val="auto"/>
              </w:rPr>
            </w:pPr>
          </w:p>
        </w:tc>
        <w:tc>
          <w:tcPr>
            <w:tcW w:w="980" w:type="dxa"/>
            <w:vAlign w:val="bottom"/>
            <w:shd w:val="clear" w:color="auto" w:fill="CDE9F6"/>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52" w:lineRule="exact"/>
        <w:rPr>
          <w:sz w:val="20"/>
          <w:szCs w:val="20"/>
          <w:color w:val="auto"/>
        </w:rPr>
      </w:pPr>
    </w:p>
    <w:p>
      <w:pPr>
        <w:ind w:left="920" w:right="619" w:hanging="346"/>
        <w:spacing w:after="0" w:line="265" w:lineRule="auto"/>
        <w:tabs>
          <w:tab w:leader="none" w:pos="905"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Amounts represent the cumulative total stockholder return of our common stock for the period beginning on the market close on December 31, 2020, the last trading day before the earliest fiscal year in the table, through and including December 31, 2025, the end of the last fiscal year in the table for which cumulative total stockholder return is being calculated. Amount assumes that $100 was invested for the period starting December 31, 2020. The amount included in the table is the value of such fixed investment based on the cumulative total stockholder return as of the end of each year, including reinvestment of dividends (if any).</w:t>
      </w:r>
    </w:p>
    <w:p>
      <w:pPr>
        <w:spacing w:after="0" w:line="27" w:lineRule="exact"/>
        <w:rPr>
          <w:rFonts w:ascii="Times New Roman" w:cs="Times New Roman" w:eastAsia="Times New Roman" w:hAnsi="Times New Roman"/>
          <w:sz w:val="17"/>
          <w:szCs w:val="17"/>
          <w:color w:val="auto"/>
        </w:rPr>
      </w:pPr>
    </w:p>
    <w:p>
      <w:pPr>
        <w:ind w:left="920" w:right="619" w:hanging="346"/>
        <w:spacing w:after="0" w:line="270" w:lineRule="auto"/>
        <w:tabs>
          <w:tab w:leader="none" w:pos="905"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peer group used for this purpose is NASDAQ Computer Index, which we also use in the stock performance graph required by Item 201(e) of Regulation S-K included in our Annual Report for the year ended December 31, 2025. Amount assumes $100 was invested for the period starting December 31, 2020, through the end of the listed year in our common stock and in the NASDAQ Computer Index, respectively.</w:t>
      </w:r>
    </w:p>
    <w:p>
      <w:pPr>
        <w:spacing w:after="0" w:line="11" w:lineRule="exact"/>
        <w:rPr>
          <w:rFonts w:ascii="Times New Roman" w:cs="Times New Roman" w:eastAsia="Times New Roman" w:hAnsi="Times New Roman"/>
          <w:sz w:val="17"/>
          <w:szCs w:val="17"/>
          <w:color w:val="auto"/>
        </w:rPr>
      </w:pPr>
    </w:p>
    <w:p>
      <w:pPr>
        <w:ind w:left="920" w:right="679" w:hanging="346"/>
        <w:spacing w:after="0" w:line="296" w:lineRule="auto"/>
        <w:tabs>
          <w:tab w:leader="none" w:pos="905"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dollar amounts are our net income as reflected in our audited consolidated financial statements for the applicable year.</w:t>
      </w:r>
    </w:p>
    <w:p>
      <w:pPr>
        <w:spacing w:after="0" w:line="2" w:lineRule="exact"/>
        <w:rPr>
          <w:rFonts w:ascii="Times New Roman" w:cs="Times New Roman" w:eastAsia="Times New Roman" w:hAnsi="Times New Roman"/>
          <w:sz w:val="17"/>
          <w:szCs w:val="17"/>
          <w:color w:val="auto"/>
        </w:rPr>
      </w:pPr>
    </w:p>
    <w:p>
      <w:pPr>
        <w:ind w:left="920" w:right="1119" w:hanging="346"/>
        <w:spacing w:after="0" w:line="296" w:lineRule="auto"/>
        <w:tabs>
          <w:tab w:leader="none" w:pos="905"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determined Revenue to be the most important financial measure used to link our performance to Compensation Actually Paid for our PEO and Non-PEO NEOs for fiscal year 2025.</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9" w:name="page60"/>
    <w:bookmarkEnd w:id="59"/>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0" w:lineRule="exact"/>
        <w:rPr>
          <w:sz w:val="20"/>
          <w:szCs w:val="20"/>
          <w:color w:val="auto"/>
        </w:rPr>
      </w:pPr>
    </w:p>
    <w:p>
      <w:pPr>
        <w:ind w:left="920" w:right="1159"/>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Description of Relationship Between PEO and Non-PEO NEO Compensation Actually Paid and Company TSR &amp; NASDAQ Computer Index TSR</w:t>
      </w:r>
    </w:p>
    <w:p>
      <w:pPr>
        <w:spacing w:after="0" w:line="64" w:lineRule="exact"/>
        <w:rPr>
          <w:sz w:val="20"/>
          <w:szCs w:val="20"/>
          <w:color w:val="auto"/>
        </w:rPr>
      </w:pPr>
    </w:p>
    <w:p>
      <w:pPr>
        <w:ind w:left="580" w:right="799" w:firstLine="349"/>
        <w:spacing w:after="0" w:line="276" w:lineRule="auto"/>
        <w:rPr>
          <w:sz w:val="20"/>
          <w:szCs w:val="20"/>
          <w:color w:val="auto"/>
        </w:rPr>
      </w:pPr>
      <w:r>
        <w:rPr>
          <w:rFonts w:ascii="Times New Roman" w:cs="Times New Roman" w:eastAsia="Times New Roman" w:hAnsi="Times New Roman"/>
          <w:sz w:val="17"/>
          <w:szCs w:val="17"/>
          <w:color w:val="auto"/>
        </w:rPr>
        <w:t>The following chart sets forth the relationship between Compensation Actually Paid to our PEOs, the average of Compensation Actually Paid to our Non-PEO NEOs, our cumulative TSR and the index TSR over the four most recently completed fiscal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863600</wp:posOffset>
            </wp:positionH>
            <wp:positionV relativeFrom="paragraph">
              <wp:posOffset>74295</wp:posOffset>
            </wp:positionV>
            <wp:extent cx="3992245" cy="267017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992245" cy="2670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920" w:right="879"/>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Description of Relationship Between PEO and Non-PEO NEO Compensation Actually Paid and Net Income</w:t>
      </w:r>
    </w:p>
    <w:p>
      <w:pPr>
        <w:spacing w:after="0" w:line="64" w:lineRule="exact"/>
        <w:rPr>
          <w:sz w:val="20"/>
          <w:szCs w:val="20"/>
          <w:color w:val="auto"/>
        </w:rPr>
      </w:pPr>
    </w:p>
    <w:p>
      <w:pPr>
        <w:ind w:left="580" w:right="1019" w:firstLine="349"/>
        <w:spacing w:after="0" w:line="276" w:lineRule="auto"/>
        <w:rPr>
          <w:sz w:val="20"/>
          <w:szCs w:val="20"/>
          <w:color w:val="auto"/>
        </w:rPr>
      </w:pPr>
      <w:r>
        <w:rPr>
          <w:rFonts w:ascii="Times New Roman" w:cs="Times New Roman" w:eastAsia="Times New Roman" w:hAnsi="Times New Roman"/>
          <w:sz w:val="17"/>
          <w:szCs w:val="17"/>
          <w:color w:val="auto"/>
        </w:rPr>
        <w:t>The following chart sets forth the relationship between Compensation Actually Paid to our PEOs, the average of Compensation Actually Paid to our Non-PEO NEOs and our net income during the four most recently completed fiscal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863600</wp:posOffset>
            </wp:positionH>
            <wp:positionV relativeFrom="paragraph">
              <wp:posOffset>74295</wp:posOffset>
            </wp:positionV>
            <wp:extent cx="3992245" cy="267017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992245" cy="2670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0" w:name="page61"/>
    <w:bookmarkEnd w:id="60"/>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0" w:lineRule="exact"/>
        <w:rPr>
          <w:sz w:val="20"/>
          <w:szCs w:val="20"/>
          <w:color w:val="auto"/>
        </w:rPr>
      </w:pPr>
    </w:p>
    <w:p>
      <w:pPr>
        <w:ind w:left="920" w:right="1159"/>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Description of Relationship Between PEO and Non-PEO NEO Compensation Actually Paid and Revenue</w:t>
      </w:r>
    </w:p>
    <w:p>
      <w:pPr>
        <w:spacing w:after="0" w:line="64" w:lineRule="exact"/>
        <w:rPr>
          <w:sz w:val="20"/>
          <w:szCs w:val="20"/>
          <w:color w:val="auto"/>
        </w:rPr>
      </w:pPr>
    </w:p>
    <w:p>
      <w:pPr>
        <w:ind w:left="580" w:right="759" w:firstLine="349"/>
        <w:spacing w:after="0" w:line="276" w:lineRule="auto"/>
        <w:rPr>
          <w:sz w:val="20"/>
          <w:szCs w:val="20"/>
          <w:color w:val="auto"/>
        </w:rPr>
      </w:pPr>
      <w:r>
        <w:rPr>
          <w:rFonts w:ascii="Times New Roman" w:cs="Times New Roman" w:eastAsia="Times New Roman" w:hAnsi="Times New Roman"/>
          <w:sz w:val="17"/>
          <w:szCs w:val="17"/>
          <w:color w:val="auto"/>
        </w:rPr>
        <w:t>The following chart sets forth the relationship between Compensation Actually Paid to our PEO, the average of Compensation Actually Paid to our Non-PEO NEOs and our revenue during the four most recently completed fiscal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972185</wp:posOffset>
            </wp:positionH>
            <wp:positionV relativeFrom="paragraph">
              <wp:posOffset>74295</wp:posOffset>
            </wp:positionV>
            <wp:extent cx="3776345" cy="25203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776345" cy="2520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7"/>
          <w:szCs w:val="17"/>
          <w:b w:val="1"/>
          <w:bCs w:val="1"/>
          <w:i w:val="1"/>
          <w:iCs w:val="1"/>
          <w:color w:val="auto"/>
        </w:rPr>
        <w:t>List of Most Important Performance Measures to Determine 2025 CAP</w:t>
      </w:r>
    </w:p>
    <w:p>
      <w:pPr>
        <w:spacing w:after="0" w:line="160" w:lineRule="exact"/>
        <w:rPr>
          <w:sz w:val="20"/>
          <w:szCs w:val="20"/>
          <w:color w:val="auto"/>
        </w:rPr>
      </w:pPr>
    </w:p>
    <w:p>
      <w:pPr>
        <w:ind w:left="580" w:right="719" w:firstLine="349"/>
        <w:spacing w:after="0" w:line="267" w:lineRule="auto"/>
        <w:rPr>
          <w:sz w:val="20"/>
          <w:szCs w:val="20"/>
          <w:color w:val="auto"/>
        </w:rPr>
      </w:pPr>
      <w:r>
        <w:rPr>
          <w:rFonts w:ascii="Times New Roman" w:cs="Times New Roman" w:eastAsia="Times New Roman" w:hAnsi="Times New Roman"/>
          <w:sz w:val="17"/>
          <w:szCs w:val="17"/>
          <w:color w:val="auto"/>
        </w:rPr>
        <w:t>As described in more detail in “</w:t>
      </w:r>
      <w:r>
        <w:rPr>
          <w:rFonts w:ascii="Times New Roman" w:cs="Times New Roman" w:eastAsia="Times New Roman" w:hAnsi="Times New Roman"/>
          <w:sz w:val="17"/>
          <w:szCs w:val="17"/>
          <w:i w:val="1"/>
          <w:iCs w:val="1"/>
          <w:color w:val="auto"/>
        </w:rPr>
        <w:t>Executive Compensation — Compensation Discussion and Analysis,</w:t>
      </w:r>
      <w:r>
        <w:rPr>
          <w:rFonts w:ascii="Times New Roman" w:cs="Times New Roman" w:eastAsia="Times New Roman" w:hAnsi="Times New Roman"/>
          <w:sz w:val="17"/>
          <w:szCs w:val="17"/>
          <w:color w:val="auto"/>
        </w:rPr>
        <w:t>” our executive compensation program reflects a pay-for-performance philosophy and includes performance metrics that are intended to incentivize our NEOs and align our NEOs’ interests with those of our stockholders. The most important performance measures used to link executive compensation actually paid, for the 2025 fiscal year, to our performance overall are as follows:</w:t>
      </w:r>
    </w:p>
    <w:p>
      <w:pPr>
        <w:spacing w:after="0" w:line="218"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4"/>
          <w:szCs w:val="14"/>
          <w:b w:val="1"/>
          <w:bCs w:val="1"/>
          <w:color w:val="auto"/>
        </w:rPr>
        <w:t>Most Important Performance Measures</w:t>
      </w:r>
    </w:p>
    <w:p>
      <w:pPr>
        <w:spacing w:after="0" w:line="42"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7"/>
          <w:szCs w:val="17"/>
          <w:color w:val="auto"/>
        </w:rPr>
        <w:t>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1986915</wp:posOffset>
            </wp:positionH>
            <wp:positionV relativeFrom="paragraph">
              <wp:posOffset>-120015</wp:posOffset>
            </wp:positionV>
            <wp:extent cx="168846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688465" cy="8255"/>
                    </a:xfrm>
                    <a:prstGeom prst="rect">
                      <a:avLst/>
                    </a:prstGeom>
                    <a:noFill/>
                  </pic:spPr>
                </pic:pic>
              </a:graphicData>
            </a:graphic>
          </wp:anchor>
        </w:drawing>
      </w:r>
    </w:p>
    <w:p>
      <w:pPr>
        <w:spacing w:after="0" w:line="46"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7"/>
          <w:szCs w:val="17"/>
          <w:color w:val="auto"/>
        </w:rPr>
        <w:t>Operating Income</w:t>
      </w:r>
    </w:p>
    <w:p>
      <w:pPr>
        <w:spacing w:after="0" w:line="80"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7"/>
          <w:szCs w:val="17"/>
          <w:color w:val="auto"/>
        </w:rPr>
        <w:t>Relative TSR</w:t>
      </w:r>
    </w:p>
    <w:p>
      <w:pPr>
        <w:spacing w:after="0" w:line="28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CEO Pay Ratio Disclosure</w:t>
      </w:r>
    </w:p>
    <w:p>
      <w:pPr>
        <w:spacing w:after="0" w:line="160" w:lineRule="exact"/>
        <w:rPr>
          <w:sz w:val="20"/>
          <w:szCs w:val="20"/>
          <w:color w:val="auto"/>
        </w:rPr>
      </w:pPr>
    </w:p>
    <w:p>
      <w:pPr>
        <w:ind w:left="580" w:right="819" w:firstLine="349"/>
        <w:spacing w:after="0" w:line="276" w:lineRule="auto"/>
        <w:rPr>
          <w:sz w:val="20"/>
          <w:szCs w:val="20"/>
          <w:color w:val="auto"/>
        </w:rPr>
      </w:pPr>
      <w:r>
        <w:rPr>
          <w:rFonts w:ascii="Times New Roman" w:cs="Times New Roman" w:eastAsia="Times New Roman" w:hAnsi="Times New Roman"/>
          <w:sz w:val="17"/>
          <w:szCs w:val="17"/>
          <w:color w:val="auto"/>
        </w:rPr>
        <w:t>As required by Item 402(u) of Regulation S-K, we are providing the following information about the relationship of the annual total compensation our Chief Executive Officer, Mr. Ken Xie (our “CEO”), and the median of the annual total compensation of all our employees, excluding our CEO. For 2025:</w:t>
      </w:r>
    </w:p>
    <w:p>
      <w:pPr>
        <w:spacing w:after="0" w:line="85" w:lineRule="exact"/>
        <w:rPr>
          <w:sz w:val="20"/>
          <w:szCs w:val="20"/>
          <w:color w:val="auto"/>
        </w:rPr>
      </w:pPr>
    </w:p>
    <w:p>
      <w:pPr>
        <w:ind w:left="1120" w:hanging="196"/>
        <w:spacing w:after="0"/>
        <w:tabs>
          <w:tab w:leader="none" w:pos="1120"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annual total compensation of our median employee was $152,084;</w:t>
      </w:r>
    </w:p>
    <w:p>
      <w:pPr>
        <w:spacing w:after="0" w:line="158" w:lineRule="exact"/>
        <w:rPr>
          <w:rFonts w:ascii="Times New Roman" w:cs="Times New Roman" w:eastAsia="Times New Roman" w:hAnsi="Times New Roman"/>
          <w:sz w:val="17"/>
          <w:szCs w:val="17"/>
          <w:color w:val="auto"/>
        </w:rPr>
      </w:pPr>
    </w:p>
    <w:p>
      <w:pPr>
        <w:ind w:left="1100" w:right="759" w:hanging="176"/>
        <w:spacing w:after="0" w:line="296" w:lineRule="auto"/>
        <w:tabs>
          <w:tab w:leader="none" w:pos="1074"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annual total compensation of our CEO as disclosed in the 2025 Summary Compensation Table was $11,458,039; and</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1" w:name="page62"/>
    <w:bookmarkEnd w:id="61"/>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1100" w:right="679" w:hanging="176"/>
        <w:spacing w:after="0" w:line="267" w:lineRule="auto"/>
        <w:tabs>
          <w:tab w:leader="none" w:pos="1074"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ratio of the annual total compensation of our CEO to the median of the annual total compensation of our employees was 75.34 to 1. We believe this ratio is a reasonable estimate calculated in a manner consistent with SEC rules. We were required to reidentify our median employee for 2025. For 2025, we identified the employee with compensation at the median of the annual total compensation of all our employees, using the following methodology.</w:t>
      </w:r>
    </w:p>
    <w:p>
      <w:pPr>
        <w:spacing w:after="0" w:line="105" w:lineRule="exact"/>
        <w:rPr>
          <w:sz w:val="20"/>
          <w:szCs w:val="20"/>
          <w:color w:val="auto"/>
        </w:rPr>
      </w:pPr>
    </w:p>
    <w:p>
      <w:pPr>
        <w:ind w:left="580" w:right="619" w:firstLine="349"/>
        <w:spacing w:after="0" w:line="263" w:lineRule="auto"/>
        <w:rPr>
          <w:sz w:val="20"/>
          <w:szCs w:val="20"/>
          <w:color w:val="auto"/>
        </w:rPr>
      </w:pPr>
      <w:r>
        <w:rPr>
          <w:rFonts w:ascii="Times New Roman" w:cs="Times New Roman" w:eastAsia="Times New Roman" w:hAnsi="Times New Roman"/>
          <w:sz w:val="17"/>
          <w:szCs w:val="17"/>
          <w:color w:val="auto"/>
        </w:rPr>
        <w:t>For 2025, we identified the employee with compensation at the median of the annual total compensation of all our employees using as our consistently applied compensation measure each employee’s base salary, allowances, bonuses, sales commissions and the grant date fair value of equity awards granted during the 12-month period from January 1, 2025 through December 31, 2025. We calculated annual base salary by annualizing this amount using a reasonable estimate of the hours worked during 2025 for hourly employees and the actual annual salary rate on December 31, 2025 for our remaining employees. We calculated annual target variable pay (bonus and/or commissions) using the target amount as of December 31, 2025.</w:t>
      </w:r>
    </w:p>
    <w:p>
      <w:pPr>
        <w:spacing w:after="0" w:line="112" w:lineRule="exact"/>
        <w:rPr>
          <w:sz w:val="20"/>
          <w:szCs w:val="20"/>
          <w:color w:val="auto"/>
        </w:rPr>
      </w:pPr>
    </w:p>
    <w:p>
      <w:pPr>
        <w:ind w:left="580" w:right="739" w:firstLine="349"/>
        <w:spacing w:after="0" w:line="270" w:lineRule="auto"/>
        <w:rPr>
          <w:sz w:val="20"/>
          <w:szCs w:val="20"/>
          <w:color w:val="auto"/>
        </w:rPr>
      </w:pPr>
      <w:r>
        <w:rPr>
          <w:rFonts w:ascii="Times New Roman" w:cs="Times New Roman" w:eastAsia="Times New Roman" w:hAnsi="Times New Roman"/>
          <w:sz w:val="17"/>
          <w:szCs w:val="17"/>
          <w:color w:val="auto"/>
        </w:rPr>
        <w:t>With respect to annual equity awards for 2025, we computed the value in accordance with FASB ASC Topic 718. The assumptions used in the valuation of these awards are set forth in note 13 to our consolidated financial statements, which are included in our Annual Report on Form 10-K for the year ended December 31, 2025, filed with the SEC on February 25, 2026.</w:t>
      </w:r>
    </w:p>
    <w:p>
      <w:pPr>
        <w:spacing w:after="0" w:line="90" w:lineRule="exact"/>
        <w:rPr>
          <w:sz w:val="20"/>
          <w:szCs w:val="20"/>
          <w:color w:val="auto"/>
        </w:rPr>
      </w:pPr>
    </w:p>
    <w:p>
      <w:pPr>
        <w:ind w:left="580" w:right="699" w:firstLine="349"/>
        <w:spacing w:after="0" w:line="265" w:lineRule="auto"/>
        <w:rPr>
          <w:sz w:val="20"/>
          <w:szCs w:val="20"/>
          <w:color w:val="auto"/>
        </w:rPr>
      </w:pPr>
      <w:r>
        <w:rPr>
          <w:rFonts w:ascii="Times New Roman" w:cs="Times New Roman" w:eastAsia="Times New Roman" w:hAnsi="Times New Roman"/>
          <w:sz w:val="17"/>
          <w:szCs w:val="17"/>
          <w:color w:val="auto"/>
        </w:rPr>
        <w:t>In determining our employee population, we considered the individuals, excluding our CEO, who were employed by us and our consolidated subsidiaries on December 31, 2025, whether employed on a full-time, part-time, seasonal or temporary basis. We did not include any contractors or other non-employee workers in our employee population. For employees paid other than in U.S. dollars, we converted their compensation to U.S. dollars using the applicable exchange rates in effect on December 31, 2025. We did not make any cost-of-living adjustment.</w:t>
      </w:r>
    </w:p>
    <w:p>
      <w:pPr>
        <w:spacing w:after="0" w:line="106" w:lineRule="exact"/>
        <w:rPr>
          <w:sz w:val="20"/>
          <w:szCs w:val="20"/>
          <w:color w:val="auto"/>
        </w:rPr>
      </w:pPr>
    </w:p>
    <w:p>
      <w:pPr>
        <w:ind w:left="580" w:right="639" w:firstLine="349"/>
        <w:spacing w:after="0" w:line="270" w:lineRule="auto"/>
        <w:rPr>
          <w:sz w:val="20"/>
          <w:szCs w:val="20"/>
          <w:color w:val="auto"/>
        </w:rPr>
      </w:pPr>
      <w:r>
        <w:rPr>
          <w:rFonts w:ascii="Times New Roman" w:cs="Times New Roman" w:eastAsia="Times New Roman" w:hAnsi="Times New Roman"/>
          <w:sz w:val="17"/>
          <w:szCs w:val="17"/>
          <w:color w:val="auto"/>
        </w:rPr>
        <w:t>Using this methodology, we identified the individual at the median of our employee population. We then calculated the annual total compensation for this individual using the same methodology we use to calculate the amount reported for our CEO in the “Total” column of the 2025 Summary Compensation Table as set forth in this Proxy Statement.</w:t>
      </w:r>
    </w:p>
    <w:p>
      <w:pPr>
        <w:spacing w:after="0" w:line="103" w:lineRule="exact"/>
        <w:rPr>
          <w:sz w:val="20"/>
          <w:szCs w:val="20"/>
          <w:color w:val="auto"/>
        </w:rPr>
      </w:pPr>
    </w:p>
    <w:p>
      <w:pPr>
        <w:ind w:left="580" w:right="599" w:firstLine="349"/>
        <w:spacing w:after="0" w:line="262" w:lineRule="auto"/>
        <w:rPr>
          <w:sz w:val="20"/>
          <w:szCs w:val="20"/>
          <w:color w:val="auto"/>
        </w:rPr>
      </w:pPr>
      <w:r>
        <w:rPr>
          <w:rFonts w:ascii="Times New Roman" w:cs="Times New Roman" w:eastAsia="Times New Roman" w:hAnsi="Times New Roman"/>
          <w:sz w:val="17"/>
          <w:szCs w:val="17"/>
          <w:color w:val="auto"/>
        </w:rPr>
        <w:t>Because SEC rules for identifying the median of the annual total compensation of all employees allow companies to adopt a variety of methodologies, apply certain exclusions, and make reasonable estimates and assumptions that reflect their employee population and compensation practices, the pay ratio reported by other companies may not be comparable to our pay ratio, as other companies have different employee populations and compensation practices and may have used different methodologies, exclusions, estimates and assumptions in calculating their pay ratios. As explained by the SEC when it adopted these rules, the rule was not designed to facilitate comparisons of pay ratios among different companies, even companies within the same industry, but rather to allow stockholders to better understand and assess each particular company’s compensation practices and pay ratio disclosures.</w:t>
      </w:r>
    </w:p>
    <w:p>
      <w:pPr>
        <w:spacing w:after="0" w:line="17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Compensation of Directors</w:t>
      </w:r>
    </w:p>
    <w:p>
      <w:pPr>
        <w:spacing w:after="0" w:line="22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7"/>
          <w:szCs w:val="17"/>
          <w:b w:val="1"/>
          <w:bCs w:val="1"/>
          <w:i w:val="1"/>
          <w:iCs w:val="1"/>
          <w:color w:val="auto"/>
        </w:rPr>
        <w:t>Director Compensation Table for 2025</w:t>
      </w:r>
    </w:p>
    <w:p>
      <w:pPr>
        <w:spacing w:after="0" w:line="149" w:lineRule="exact"/>
        <w:rPr>
          <w:sz w:val="20"/>
          <w:szCs w:val="20"/>
          <w:color w:val="auto"/>
        </w:rPr>
      </w:pPr>
    </w:p>
    <w:p>
      <w:pPr>
        <w:ind w:left="580" w:right="819" w:firstLine="349"/>
        <w:spacing w:after="0" w:line="276" w:lineRule="auto"/>
        <w:rPr>
          <w:sz w:val="20"/>
          <w:szCs w:val="20"/>
          <w:color w:val="auto"/>
        </w:rPr>
      </w:pPr>
      <w:r>
        <w:rPr>
          <w:rFonts w:ascii="Times New Roman" w:cs="Times New Roman" w:eastAsia="Times New Roman" w:hAnsi="Times New Roman"/>
          <w:sz w:val="17"/>
          <w:szCs w:val="17"/>
          <w:color w:val="auto"/>
        </w:rPr>
        <w:t>The following table provides information concerning the compensation earned by each of our non-employee directors for service on the Board of Directors in 2025. Messrs. Ken Xie and Michael Xie, who are employees of Fortinet, do not receive additional compensation for their services as directors.</w:t>
      </w:r>
    </w:p>
    <w:p>
      <w:pPr>
        <w:spacing w:after="0" w:line="132" w:lineRule="exact"/>
        <w:rPr>
          <w:sz w:val="20"/>
          <w:szCs w:val="20"/>
          <w:color w:val="auto"/>
        </w:rPr>
      </w:pPr>
    </w:p>
    <w:tbl>
      <w:tblPr>
        <w:tblLayout w:type="fixed"/>
        <w:tblInd w:w="580" w:type="dxa"/>
        <w:tblCellMar>
          <w:top w:w="0" w:type="dxa"/>
          <w:left w:w="0" w:type="dxa"/>
          <w:bottom w:w="0" w:type="dxa"/>
          <w:right w:w="0" w:type="dxa"/>
        </w:tblCellMar>
      </w:tblPr>
      <w:tr>
        <w:trPr>
          <w:trHeight w:val="169"/>
        </w:trPr>
        <w:tc>
          <w:tcPr>
            <w:tcW w:w="4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Fees Earned or</w:t>
            </w:r>
          </w:p>
        </w:tc>
        <w:tc>
          <w:tcPr>
            <w:tcW w:w="12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Stock Awards ($)</w:t>
            </w:r>
          </w:p>
        </w:tc>
        <w:tc>
          <w:tcPr>
            <w:tcW w:w="1240" w:type="dxa"/>
            <w:vAlign w:val="bottom"/>
          </w:tcPr>
          <w:p>
            <w:pPr>
              <w:spacing w:after="0"/>
              <w:rPr>
                <w:sz w:val="14"/>
                <w:szCs w:val="14"/>
                <w:color w:val="auto"/>
              </w:rPr>
            </w:pPr>
          </w:p>
        </w:tc>
      </w:tr>
      <w:tr>
        <w:trPr>
          <w:trHeight w:val="223"/>
        </w:trPr>
        <w:tc>
          <w:tcPr>
            <w:tcW w:w="41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60" w:type="dxa"/>
            <w:vAlign w:val="bottom"/>
            <w:gridSpan w:val="2"/>
          </w:tcPr>
          <w:p>
            <w:pPr>
              <w:jc w:val="right"/>
              <w:ind w:right="160"/>
              <w:spacing w:after="0" w:line="223" w:lineRule="exact"/>
              <w:rPr>
                <w:sz w:val="20"/>
                <w:szCs w:val="20"/>
                <w:color w:val="auto"/>
              </w:rPr>
            </w:pPr>
            <w:r>
              <w:rPr>
                <w:rFonts w:ascii="Times New Roman" w:cs="Times New Roman" w:eastAsia="Times New Roman" w:hAnsi="Times New Roman"/>
                <w:sz w:val="14"/>
                <w:szCs w:val="14"/>
                <w:b w:val="1"/>
                <w:bCs w:val="1"/>
                <w:color w:val="auto"/>
                <w:w w:val="96"/>
              </w:rPr>
              <w:t>Paid in Cash ($)</w:t>
            </w:r>
            <w:r>
              <w:rPr>
                <w:rFonts w:ascii="Times New Roman" w:cs="Times New Roman" w:eastAsia="Times New Roman" w:hAnsi="Times New Roman"/>
                <w:sz w:val="20"/>
                <w:szCs w:val="20"/>
                <w:b w:val="1"/>
                <w:bCs w:val="1"/>
                <w:color w:val="auto"/>
                <w:w w:val="96"/>
                <w:vertAlign w:val="superscript"/>
              </w:rPr>
              <w:t>(1)</w:t>
            </w:r>
          </w:p>
        </w:tc>
        <w:tc>
          <w:tcPr>
            <w:tcW w:w="1140" w:type="dxa"/>
            <w:vAlign w:val="bottom"/>
          </w:tcPr>
          <w:p>
            <w:pPr>
              <w:jc w:val="right"/>
              <w:ind w:right="439"/>
              <w:spacing w:after="0"/>
              <w:rPr>
                <w:sz w:val="20"/>
                <w:szCs w:val="20"/>
                <w:color w:val="auto"/>
              </w:rPr>
            </w:pPr>
            <w:r>
              <w:rPr>
                <w:rFonts w:ascii="Times New Roman" w:cs="Times New Roman" w:eastAsia="Times New Roman" w:hAnsi="Times New Roman"/>
                <w:sz w:val="10"/>
                <w:szCs w:val="10"/>
                <w:b w:val="1"/>
                <w:bCs w:val="1"/>
                <w:color w:val="auto"/>
              </w:rPr>
              <w:t>(2)</w:t>
            </w:r>
          </w:p>
        </w:tc>
        <w:tc>
          <w:tcPr>
            <w:tcW w:w="80" w:type="dxa"/>
            <w:vAlign w:val="bottom"/>
          </w:tcPr>
          <w:p>
            <w:pPr>
              <w:spacing w:after="0"/>
              <w:rPr>
                <w:sz w:val="19"/>
                <w:szCs w:val="19"/>
                <w:color w:val="auto"/>
              </w:rPr>
            </w:pPr>
          </w:p>
        </w:tc>
        <w:tc>
          <w:tcPr>
            <w:tcW w:w="124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Total ($)</w:t>
            </w:r>
          </w:p>
        </w:tc>
      </w:tr>
      <w:tr>
        <w:trPr>
          <w:trHeight w:val="255"/>
        </w:trPr>
        <w:tc>
          <w:tcPr>
            <w:tcW w:w="4020" w:type="dxa"/>
            <w:vAlign w:val="bottom"/>
            <w:tcBorders>
              <w:top w:val="single" w:sz="8" w:color="auto"/>
            </w:tcBorders>
            <w:shd w:val="clear" w:color="auto" w:fill="CDE9F6"/>
          </w:tcPr>
          <w:p>
            <w:pPr>
              <w:spacing w:after="0"/>
              <w:rPr>
                <w:sz w:val="20"/>
                <w:szCs w:val="20"/>
                <w:color w:val="auto"/>
              </w:rPr>
            </w:pPr>
            <w:r>
              <w:rPr>
                <w:rFonts w:ascii="Times New Roman" w:cs="Times New Roman" w:eastAsia="Times New Roman" w:hAnsi="Times New Roman"/>
                <w:sz w:val="17"/>
                <w:szCs w:val="17"/>
                <w:color w:val="auto"/>
              </w:rPr>
              <w:t>Kenneth A. Goldman</w:t>
            </w:r>
            <w:r>
              <w:rPr>
                <w:rFonts w:ascii="Times New Roman" w:cs="Times New Roman" w:eastAsia="Times New Roman" w:hAnsi="Times New Roman"/>
                <w:sz w:val="20"/>
                <w:szCs w:val="20"/>
                <w:color w:val="auto"/>
                <w:vertAlign w:val="superscript"/>
              </w:rPr>
              <w:t>(4)</w:t>
            </w:r>
          </w:p>
        </w:tc>
        <w:tc>
          <w:tcPr>
            <w:tcW w:w="120" w:type="dxa"/>
            <w:vAlign w:val="bottom"/>
            <w:tcBorders>
              <w:top w:val="single" w:sz="8" w:color="CDE9F6"/>
            </w:tcBorders>
            <w:shd w:val="clear" w:color="auto" w:fill="CDE9F6"/>
          </w:tcPr>
          <w:p>
            <w:pPr>
              <w:spacing w:after="0"/>
              <w:rPr>
                <w:sz w:val="22"/>
                <w:szCs w:val="22"/>
                <w:color w:val="auto"/>
              </w:rPr>
            </w:pPr>
          </w:p>
        </w:tc>
        <w:tc>
          <w:tcPr>
            <w:tcW w:w="1140" w:type="dxa"/>
            <w:vAlign w:val="bottom"/>
            <w:tcBorders>
              <w:top w:val="single" w:sz="8" w:color="auto"/>
            </w:tcBorders>
            <w:shd w:val="clear" w:color="auto" w:fill="CDE9F6"/>
          </w:tcPr>
          <w:p>
            <w:pPr>
              <w:jc w:val="right"/>
              <w:spacing w:after="0"/>
              <w:rPr>
                <w:sz w:val="20"/>
                <w:szCs w:val="20"/>
                <w:color w:val="auto"/>
              </w:rPr>
            </w:pPr>
            <w:r>
              <w:rPr>
                <w:rFonts w:ascii="Times New Roman" w:cs="Times New Roman" w:eastAsia="Times New Roman" w:hAnsi="Times New Roman"/>
                <w:sz w:val="17"/>
                <w:szCs w:val="17"/>
                <w:color w:val="auto"/>
              </w:rPr>
              <w:t>100,000</w:t>
            </w:r>
          </w:p>
        </w:tc>
        <w:tc>
          <w:tcPr>
            <w:tcW w:w="120" w:type="dxa"/>
            <w:vAlign w:val="bottom"/>
            <w:tcBorders>
              <w:top w:val="single" w:sz="8" w:color="CDE9F6"/>
            </w:tcBorders>
            <w:shd w:val="clear" w:color="auto" w:fill="CDE9F6"/>
          </w:tcPr>
          <w:p>
            <w:pPr>
              <w:spacing w:after="0"/>
              <w:rPr>
                <w:sz w:val="22"/>
                <w:szCs w:val="22"/>
                <w:color w:val="auto"/>
              </w:rPr>
            </w:pPr>
          </w:p>
        </w:tc>
        <w:tc>
          <w:tcPr>
            <w:tcW w:w="1140" w:type="dxa"/>
            <w:vAlign w:val="bottom"/>
            <w:tcBorders>
              <w:top w:val="single" w:sz="8" w:color="auto"/>
            </w:tcBorders>
            <w:shd w:val="clear" w:color="auto" w:fill="CDE9F6"/>
          </w:tcPr>
          <w:p>
            <w:pPr>
              <w:jc w:val="right"/>
              <w:spacing w:after="0"/>
              <w:rPr>
                <w:sz w:val="20"/>
                <w:szCs w:val="20"/>
                <w:color w:val="auto"/>
              </w:rPr>
            </w:pPr>
            <w:r>
              <w:rPr>
                <w:rFonts w:ascii="Times New Roman" w:cs="Times New Roman" w:eastAsia="Times New Roman" w:hAnsi="Times New Roman"/>
                <w:sz w:val="17"/>
                <w:szCs w:val="17"/>
                <w:color w:val="auto"/>
              </w:rPr>
              <w:t>206,747</w:t>
            </w:r>
          </w:p>
        </w:tc>
        <w:tc>
          <w:tcPr>
            <w:tcW w:w="80" w:type="dxa"/>
            <w:vAlign w:val="bottom"/>
            <w:tcBorders>
              <w:top w:val="single" w:sz="8" w:color="CDE9F6"/>
            </w:tcBorders>
            <w:shd w:val="clear" w:color="auto" w:fill="CDE9F6"/>
          </w:tcPr>
          <w:p>
            <w:pPr>
              <w:spacing w:after="0"/>
              <w:rPr>
                <w:sz w:val="22"/>
                <w:szCs w:val="22"/>
                <w:color w:val="auto"/>
              </w:rPr>
            </w:pPr>
          </w:p>
        </w:tc>
        <w:tc>
          <w:tcPr>
            <w:tcW w:w="1240" w:type="dxa"/>
            <w:vAlign w:val="bottom"/>
            <w:tcBorders>
              <w:top w:val="single" w:sz="8" w:color="auto"/>
            </w:tcBorders>
            <w:shd w:val="clear" w:color="auto" w:fill="CDE9F6"/>
          </w:tcPr>
          <w:p>
            <w:pPr>
              <w:jc w:val="right"/>
              <w:spacing w:after="0"/>
              <w:rPr>
                <w:sz w:val="20"/>
                <w:szCs w:val="20"/>
                <w:color w:val="auto"/>
              </w:rPr>
            </w:pPr>
            <w:r>
              <w:rPr>
                <w:rFonts w:ascii="Times New Roman" w:cs="Times New Roman" w:eastAsia="Times New Roman" w:hAnsi="Times New Roman"/>
                <w:sz w:val="17"/>
                <w:szCs w:val="17"/>
                <w:color w:val="auto"/>
              </w:rPr>
              <w:t>306,747</w:t>
            </w:r>
          </w:p>
        </w:tc>
      </w:tr>
      <w:tr>
        <w:trPr>
          <w:trHeight w:val="275"/>
        </w:trPr>
        <w:tc>
          <w:tcPr>
            <w:tcW w:w="41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Ming Hsieh</w:t>
            </w:r>
            <w:r>
              <w:rPr>
                <w:rFonts w:ascii="Times New Roman" w:cs="Times New Roman" w:eastAsia="Times New Roman" w:hAnsi="Times New Roman"/>
                <w:sz w:val="20"/>
                <w:szCs w:val="20"/>
                <w:color w:val="auto"/>
                <w:vertAlign w:val="superscript"/>
              </w:rPr>
              <w:t>(5)</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83,772</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206,747</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290,519</w:t>
            </w:r>
          </w:p>
        </w:tc>
      </w:tr>
      <w:tr>
        <w:trPr>
          <w:trHeight w:val="275"/>
        </w:trPr>
        <w:tc>
          <w:tcPr>
            <w:tcW w:w="4140" w:type="dxa"/>
            <w:vAlign w:val="bottom"/>
            <w:gridSpan w:val="2"/>
            <w:shd w:val="clear" w:color="auto" w:fill="CDE9F6"/>
          </w:tcPr>
          <w:p>
            <w:pPr>
              <w:spacing w:after="0"/>
              <w:rPr>
                <w:sz w:val="20"/>
                <w:szCs w:val="20"/>
                <w:color w:val="auto"/>
              </w:rPr>
            </w:pPr>
            <w:r>
              <w:rPr>
                <w:rFonts w:ascii="Times New Roman" w:cs="Times New Roman" w:eastAsia="Times New Roman" w:hAnsi="Times New Roman"/>
                <w:sz w:val="17"/>
                <w:szCs w:val="17"/>
                <w:color w:val="auto"/>
              </w:rPr>
              <w:t>Jean Hu</w:t>
            </w:r>
            <w:r>
              <w:rPr>
                <w:rFonts w:ascii="Times New Roman" w:cs="Times New Roman" w:eastAsia="Times New Roman" w:hAnsi="Times New Roman"/>
                <w:sz w:val="20"/>
                <w:szCs w:val="20"/>
                <w:color w:val="auto"/>
                <w:vertAlign w:val="superscript"/>
              </w:rPr>
              <w:t>(6)</w:t>
            </w:r>
          </w:p>
        </w:tc>
        <w:tc>
          <w:tcPr>
            <w:tcW w:w="1260" w:type="dxa"/>
            <w:vAlign w:val="bottom"/>
            <w:gridSpan w:val="2"/>
            <w:shd w:val="clear" w:color="auto" w:fill="CDE9F6"/>
          </w:tcPr>
          <w:p>
            <w:pPr>
              <w:jc w:val="right"/>
              <w:ind w:right="120"/>
              <w:spacing w:after="0"/>
              <w:rPr>
                <w:sz w:val="20"/>
                <w:szCs w:val="20"/>
                <w:color w:val="auto"/>
              </w:rPr>
            </w:pPr>
            <w:r>
              <w:rPr>
                <w:rFonts w:ascii="Times New Roman" w:cs="Times New Roman" w:eastAsia="Times New Roman" w:hAnsi="Times New Roman"/>
                <w:sz w:val="17"/>
                <w:szCs w:val="17"/>
                <w:color w:val="auto"/>
              </w:rPr>
              <w:t>72,407</w:t>
            </w:r>
          </w:p>
        </w:tc>
        <w:tc>
          <w:tcPr>
            <w:tcW w:w="1220" w:type="dxa"/>
            <w:vAlign w:val="bottom"/>
            <w:gridSpan w:val="2"/>
            <w:shd w:val="clear" w:color="auto" w:fill="CDE9F6"/>
          </w:tcPr>
          <w:p>
            <w:pPr>
              <w:jc w:val="right"/>
              <w:ind w:right="80"/>
              <w:spacing w:after="0"/>
              <w:rPr>
                <w:sz w:val="20"/>
                <w:szCs w:val="20"/>
                <w:color w:val="auto"/>
              </w:rPr>
            </w:pPr>
            <w:r>
              <w:rPr>
                <w:rFonts w:ascii="Times New Roman" w:cs="Times New Roman" w:eastAsia="Times New Roman" w:hAnsi="Times New Roman"/>
                <w:sz w:val="17"/>
                <w:szCs w:val="17"/>
                <w:color w:val="auto"/>
              </w:rPr>
              <w:t>206,747</w:t>
            </w:r>
          </w:p>
        </w:tc>
        <w:tc>
          <w:tcPr>
            <w:tcW w:w="1240" w:type="dxa"/>
            <w:vAlign w:val="bottom"/>
            <w:shd w:val="clear" w:color="auto" w:fill="CDE9F6"/>
          </w:tcPr>
          <w:p>
            <w:pPr>
              <w:jc w:val="right"/>
              <w:spacing w:after="0"/>
              <w:rPr>
                <w:sz w:val="20"/>
                <w:szCs w:val="20"/>
                <w:color w:val="auto"/>
              </w:rPr>
            </w:pPr>
            <w:r>
              <w:rPr>
                <w:rFonts w:ascii="Times New Roman" w:cs="Times New Roman" w:eastAsia="Times New Roman" w:hAnsi="Times New Roman"/>
                <w:sz w:val="17"/>
                <w:szCs w:val="17"/>
                <w:color w:val="auto"/>
              </w:rPr>
              <w:t>279,154</w:t>
            </w:r>
          </w:p>
        </w:tc>
      </w:tr>
      <w:tr>
        <w:trPr>
          <w:trHeight w:val="275"/>
        </w:trPr>
        <w:tc>
          <w:tcPr>
            <w:tcW w:w="41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Janet Napolitano</w:t>
            </w:r>
            <w:r>
              <w:rPr>
                <w:rFonts w:ascii="Times New Roman" w:cs="Times New Roman" w:eastAsia="Times New Roman" w:hAnsi="Times New Roman"/>
                <w:sz w:val="20"/>
                <w:szCs w:val="20"/>
                <w:color w:val="auto"/>
                <w:vertAlign w:val="superscript"/>
              </w:rPr>
              <w:t>(7)</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66,376</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391,251</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457,627</w:t>
            </w:r>
          </w:p>
        </w:tc>
      </w:tr>
      <w:tr>
        <w:trPr>
          <w:trHeight w:val="275"/>
        </w:trPr>
        <w:tc>
          <w:tcPr>
            <w:tcW w:w="4140" w:type="dxa"/>
            <w:vAlign w:val="bottom"/>
            <w:gridSpan w:val="2"/>
            <w:shd w:val="clear" w:color="auto" w:fill="CDE9F6"/>
          </w:tcPr>
          <w:p>
            <w:pPr>
              <w:spacing w:after="0"/>
              <w:rPr>
                <w:sz w:val="20"/>
                <w:szCs w:val="20"/>
                <w:color w:val="auto"/>
              </w:rPr>
            </w:pPr>
            <w:r>
              <w:rPr>
                <w:rFonts w:ascii="Times New Roman" w:cs="Times New Roman" w:eastAsia="Times New Roman" w:hAnsi="Times New Roman"/>
                <w:sz w:val="17"/>
                <w:szCs w:val="17"/>
                <w:color w:val="auto"/>
              </w:rPr>
              <w:t>William H. Neukom</w:t>
            </w:r>
            <w:r>
              <w:rPr>
                <w:rFonts w:ascii="Times New Roman" w:cs="Times New Roman" w:eastAsia="Times New Roman" w:hAnsi="Times New Roman"/>
                <w:sz w:val="20"/>
                <w:szCs w:val="20"/>
                <w:color w:val="auto"/>
                <w:vertAlign w:val="superscript"/>
              </w:rPr>
              <w:t>(8)</w:t>
            </w:r>
          </w:p>
        </w:tc>
        <w:tc>
          <w:tcPr>
            <w:tcW w:w="1260" w:type="dxa"/>
            <w:vAlign w:val="bottom"/>
            <w:gridSpan w:val="2"/>
            <w:shd w:val="clear" w:color="auto" w:fill="CDE9F6"/>
          </w:tcPr>
          <w:p>
            <w:pPr>
              <w:jc w:val="right"/>
              <w:ind w:right="120"/>
              <w:spacing w:after="0"/>
              <w:rPr>
                <w:sz w:val="20"/>
                <w:szCs w:val="20"/>
                <w:color w:val="auto"/>
              </w:rPr>
            </w:pPr>
            <w:r>
              <w:rPr>
                <w:rFonts w:ascii="Times New Roman" w:cs="Times New Roman" w:eastAsia="Times New Roman" w:hAnsi="Times New Roman"/>
                <w:sz w:val="17"/>
                <w:szCs w:val="17"/>
                <w:color w:val="auto"/>
              </w:rPr>
              <w:t>38,750</w:t>
            </w:r>
          </w:p>
        </w:tc>
        <w:tc>
          <w:tcPr>
            <w:tcW w:w="1220" w:type="dxa"/>
            <w:vAlign w:val="bottom"/>
            <w:gridSpan w:val="2"/>
            <w:shd w:val="clear" w:color="auto" w:fill="CDE9F6"/>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shd w:val="clear" w:color="auto" w:fill="CDE9F6"/>
          </w:tcPr>
          <w:p>
            <w:pPr>
              <w:jc w:val="right"/>
              <w:spacing w:after="0"/>
              <w:rPr>
                <w:sz w:val="20"/>
                <w:szCs w:val="20"/>
                <w:color w:val="auto"/>
              </w:rPr>
            </w:pPr>
            <w:r>
              <w:rPr>
                <w:rFonts w:ascii="Times New Roman" w:cs="Times New Roman" w:eastAsia="Times New Roman" w:hAnsi="Times New Roman"/>
                <w:sz w:val="17"/>
                <w:szCs w:val="17"/>
                <w:color w:val="auto"/>
              </w:rPr>
              <w:t>38,750</w:t>
            </w:r>
          </w:p>
        </w:tc>
      </w:tr>
      <w:tr>
        <w:trPr>
          <w:trHeight w:val="275"/>
        </w:trPr>
        <w:tc>
          <w:tcPr>
            <w:tcW w:w="41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Judith Sim</w:t>
            </w:r>
            <w:r>
              <w:rPr>
                <w:rFonts w:ascii="Times New Roman" w:cs="Times New Roman" w:eastAsia="Times New Roman" w:hAnsi="Times New Roman"/>
                <w:sz w:val="20"/>
                <w:szCs w:val="20"/>
                <w:color w:val="auto"/>
                <w:vertAlign w:val="superscript"/>
              </w:rPr>
              <w:t>(9)</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122,500</w:t>
            </w:r>
          </w:p>
        </w:tc>
        <w:tc>
          <w:tcPr>
            <w:tcW w:w="120" w:type="dxa"/>
            <w:vAlign w:val="bottom"/>
          </w:tcPr>
          <w:p>
            <w:pPr>
              <w:spacing w:after="0"/>
              <w:rPr>
                <w:sz w:val="23"/>
                <w:szCs w:val="23"/>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206,747</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329,247</w:t>
            </w:r>
          </w:p>
        </w:tc>
      </w:tr>
      <w:tr>
        <w:trPr>
          <w:trHeight w:val="275"/>
        </w:trPr>
        <w:tc>
          <w:tcPr>
            <w:tcW w:w="4140" w:type="dxa"/>
            <w:vAlign w:val="bottom"/>
            <w:gridSpan w:val="2"/>
            <w:shd w:val="clear" w:color="auto" w:fill="CDE9F6"/>
          </w:tcPr>
          <w:p>
            <w:pPr>
              <w:spacing w:after="0"/>
              <w:rPr>
                <w:sz w:val="20"/>
                <w:szCs w:val="20"/>
                <w:color w:val="auto"/>
              </w:rPr>
            </w:pPr>
            <w:r>
              <w:rPr>
                <w:rFonts w:ascii="Times New Roman" w:cs="Times New Roman" w:eastAsia="Times New Roman" w:hAnsi="Times New Roman"/>
                <w:sz w:val="17"/>
                <w:szCs w:val="17"/>
                <w:color w:val="auto"/>
              </w:rPr>
              <w:t>Admiral James Stavridis (Ret)</w:t>
            </w:r>
            <w:r>
              <w:rPr>
                <w:rFonts w:ascii="Times New Roman" w:cs="Times New Roman" w:eastAsia="Times New Roman" w:hAnsi="Times New Roman"/>
                <w:sz w:val="20"/>
                <w:szCs w:val="20"/>
                <w:color w:val="auto"/>
                <w:vertAlign w:val="superscript"/>
              </w:rPr>
              <w:t>(10)</w:t>
            </w:r>
          </w:p>
        </w:tc>
        <w:tc>
          <w:tcPr>
            <w:tcW w:w="1260" w:type="dxa"/>
            <w:vAlign w:val="bottom"/>
            <w:gridSpan w:val="2"/>
            <w:shd w:val="clear" w:color="auto" w:fill="CDE9F6"/>
          </w:tcPr>
          <w:p>
            <w:pPr>
              <w:jc w:val="right"/>
              <w:ind w:right="120"/>
              <w:spacing w:after="0"/>
              <w:rPr>
                <w:sz w:val="20"/>
                <w:szCs w:val="20"/>
                <w:color w:val="auto"/>
              </w:rPr>
            </w:pPr>
            <w:r>
              <w:rPr>
                <w:rFonts w:ascii="Times New Roman" w:cs="Times New Roman" w:eastAsia="Times New Roman" w:hAnsi="Times New Roman"/>
                <w:sz w:val="17"/>
                <w:szCs w:val="17"/>
                <w:color w:val="auto"/>
              </w:rPr>
              <w:t>77,500</w:t>
            </w:r>
          </w:p>
        </w:tc>
        <w:tc>
          <w:tcPr>
            <w:tcW w:w="1220" w:type="dxa"/>
            <w:vAlign w:val="bottom"/>
            <w:gridSpan w:val="2"/>
            <w:shd w:val="clear" w:color="auto" w:fill="CDE9F6"/>
          </w:tcPr>
          <w:p>
            <w:pPr>
              <w:jc w:val="right"/>
              <w:ind w:right="80"/>
              <w:spacing w:after="0"/>
              <w:rPr>
                <w:sz w:val="20"/>
                <w:szCs w:val="20"/>
                <w:color w:val="auto"/>
              </w:rPr>
            </w:pPr>
            <w:r>
              <w:rPr>
                <w:rFonts w:ascii="Times New Roman" w:cs="Times New Roman" w:eastAsia="Times New Roman" w:hAnsi="Times New Roman"/>
                <w:sz w:val="17"/>
                <w:szCs w:val="17"/>
                <w:color w:val="auto"/>
              </w:rPr>
              <w:t>206,747</w:t>
            </w:r>
          </w:p>
        </w:tc>
        <w:tc>
          <w:tcPr>
            <w:tcW w:w="1240" w:type="dxa"/>
            <w:vAlign w:val="bottom"/>
            <w:shd w:val="clear" w:color="auto" w:fill="CDE9F6"/>
          </w:tcPr>
          <w:p>
            <w:pPr>
              <w:jc w:val="right"/>
              <w:spacing w:after="0"/>
              <w:rPr>
                <w:sz w:val="20"/>
                <w:szCs w:val="20"/>
                <w:color w:val="auto"/>
              </w:rPr>
            </w:pPr>
            <w:r>
              <w:rPr>
                <w:rFonts w:ascii="Times New Roman" w:cs="Times New Roman" w:eastAsia="Times New Roman" w:hAnsi="Times New Roman"/>
                <w:sz w:val="17"/>
                <w:szCs w:val="17"/>
                <w:color w:val="auto"/>
              </w:rPr>
              <w:t>284,247</w:t>
            </w:r>
          </w:p>
        </w:tc>
      </w:tr>
    </w:tbl>
    <w:p>
      <w:pPr>
        <w:spacing w:after="0" w:line="3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________________________</w:t>
      </w:r>
    </w:p>
    <w:p>
      <w:pPr>
        <w:spacing w:after="0" w:line="8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(1)  Reflects fees earned or paid in cash for services rendered in the last fiscal year.</w:t>
      </w:r>
    </w:p>
    <w:p>
      <w:pPr>
        <w:sectPr>
          <w:pgSz w:w="11900" w:h="16838" w:orient="portrait"/>
          <w:cols w:equalWidth="0" w:num="1">
            <w:col w:w="9019"/>
          </w:cols>
          <w:pgMar w:left="1440" w:top="265" w:right="1440"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62" w:name="page63"/>
    <w:bookmarkEnd w:id="62"/>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66" w:lineRule="exact"/>
        <w:rPr>
          <w:sz w:val="20"/>
          <w:szCs w:val="20"/>
          <w:color w:val="auto"/>
        </w:rPr>
      </w:pPr>
    </w:p>
    <w:p>
      <w:pPr>
        <w:ind w:left="1000" w:right="699" w:hanging="426"/>
        <w:spacing w:after="0" w:line="264" w:lineRule="auto"/>
        <w:tabs>
          <w:tab w:leader="none" w:pos="955"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amounts shown represent the aggregate grant date fair value of the RSU award made to each director during the year, computed in accordance with FASB ASC Topic 718. The assumptions used in the valuation of these awards are set forth in note 13 to our consolidated financial statements, which are included in our Annual Report on Form 10-K for the year ended December 31, 2025, filed with the SEC on February 25, 2026. The grant date fair value of these awards is determined for financial statement reporting purposes and does not correspond to the actual value that the directors will receive from the awards.</w:t>
      </w:r>
    </w:p>
    <w:p>
      <w:pPr>
        <w:spacing w:after="0" w:line="242" w:lineRule="exact"/>
        <w:rPr>
          <w:sz w:val="20"/>
          <w:szCs w:val="20"/>
          <w:color w:val="auto"/>
        </w:rPr>
      </w:pPr>
    </w:p>
    <w:p>
      <w:pPr>
        <w:jc w:val="both"/>
        <w:ind w:left="1000" w:right="659" w:hanging="426"/>
        <w:spacing w:after="0" w:line="276" w:lineRule="auto"/>
        <w:tabs>
          <w:tab w:leader="none" w:pos="955"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of December 31, 2025, Mr. Goldman held 1,299 RSUs, 649 of which had vested as of March 31, 2026 and the remainder of which will vest in full on June 11, 2026, so long as Mr. Goldman is a member of the Board of Directors on such date.</w:t>
      </w:r>
    </w:p>
    <w:p>
      <w:pPr>
        <w:spacing w:after="0" w:line="19" w:lineRule="exact"/>
        <w:rPr>
          <w:rFonts w:ascii="Times New Roman" w:cs="Times New Roman" w:eastAsia="Times New Roman" w:hAnsi="Times New Roman"/>
          <w:sz w:val="17"/>
          <w:szCs w:val="17"/>
          <w:color w:val="auto"/>
        </w:rPr>
      </w:pPr>
    </w:p>
    <w:p>
      <w:pPr>
        <w:ind w:left="1000" w:right="639" w:hanging="426"/>
        <w:spacing w:after="0" w:line="276" w:lineRule="auto"/>
        <w:tabs>
          <w:tab w:leader="none" w:pos="955"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of December 31, 2025, Mr. Hsieh held 1,299 RSUs, 649 of which had vested as of March 31, 2026 and the remainder of which will vest in full on June 11, 2026, so long as Mr. Hsieh is a member of the Board of Directors on such date.</w:t>
      </w:r>
    </w:p>
    <w:p>
      <w:pPr>
        <w:spacing w:after="0" w:line="6" w:lineRule="exact"/>
        <w:rPr>
          <w:rFonts w:ascii="Times New Roman" w:cs="Times New Roman" w:eastAsia="Times New Roman" w:hAnsi="Times New Roman"/>
          <w:sz w:val="17"/>
          <w:szCs w:val="17"/>
          <w:color w:val="auto"/>
        </w:rPr>
      </w:pPr>
    </w:p>
    <w:p>
      <w:pPr>
        <w:ind w:left="1000" w:right="719" w:hanging="426"/>
        <w:spacing w:after="0" w:line="276" w:lineRule="auto"/>
        <w:tabs>
          <w:tab w:leader="none" w:pos="955"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of December 31, 2025, Ms. Hu held 1,299 RSUs, 649 of which had vested as of March 31, 2026 and the remainder of which will vest in full on June 11, 2026, so long as Ms. Hu is a member of the Board of Directors on such date.</w:t>
      </w:r>
    </w:p>
    <w:p>
      <w:pPr>
        <w:spacing w:after="0" w:line="19" w:lineRule="exact"/>
        <w:rPr>
          <w:rFonts w:ascii="Times New Roman" w:cs="Times New Roman" w:eastAsia="Times New Roman" w:hAnsi="Times New Roman"/>
          <w:sz w:val="17"/>
          <w:szCs w:val="17"/>
          <w:color w:val="auto"/>
        </w:rPr>
      </w:pPr>
    </w:p>
    <w:p>
      <w:pPr>
        <w:ind w:left="1000" w:right="939" w:hanging="426"/>
        <w:spacing w:after="0" w:line="276" w:lineRule="auto"/>
        <w:tabs>
          <w:tab w:leader="none" w:pos="955"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of December 31, 2025, Ms. Napolitano held 1,299 RSUs, 649 of which had vested as of March 31, 2026 and the remainder of which will vest in full on June 11, 2026, so long as Ms. Napolitano is a member of the Board of Directors on such date.</w:t>
      </w:r>
    </w:p>
    <w:p>
      <w:pPr>
        <w:spacing w:after="0" w:line="19" w:lineRule="exact"/>
        <w:rPr>
          <w:rFonts w:ascii="Times New Roman" w:cs="Times New Roman" w:eastAsia="Times New Roman" w:hAnsi="Times New Roman"/>
          <w:sz w:val="17"/>
          <w:szCs w:val="17"/>
          <w:color w:val="auto"/>
        </w:rPr>
      </w:pPr>
    </w:p>
    <w:p>
      <w:pPr>
        <w:ind w:left="940" w:hanging="366"/>
        <w:spacing w:after="0"/>
        <w:tabs>
          <w:tab w:leader="none" w:pos="940"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Mr. Neukom passed away in July 2025, at which time all equity grants ceased to vest.</w:t>
      </w:r>
    </w:p>
    <w:p>
      <w:pPr>
        <w:spacing w:after="0" w:line="66" w:lineRule="exact"/>
        <w:rPr>
          <w:rFonts w:ascii="Times New Roman" w:cs="Times New Roman" w:eastAsia="Times New Roman" w:hAnsi="Times New Roman"/>
          <w:sz w:val="17"/>
          <w:szCs w:val="17"/>
          <w:color w:val="auto"/>
        </w:rPr>
      </w:pPr>
    </w:p>
    <w:p>
      <w:pPr>
        <w:ind w:left="1000" w:right="639" w:hanging="426"/>
        <w:spacing w:after="0" w:line="276" w:lineRule="auto"/>
        <w:tabs>
          <w:tab w:leader="none" w:pos="955"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of December 31, 2025, Ms. Sim held 1,299 RSUs, 649 of which had vested as of March 31, 2026 and the remainder of which will vest in full on June 11, 2026, so long as Ms. Sim is a member of the Board of Directors on such date.</w:t>
      </w:r>
    </w:p>
    <w:p>
      <w:pPr>
        <w:spacing w:after="0" w:line="19" w:lineRule="exact"/>
        <w:rPr>
          <w:rFonts w:ascii="Times New Roman" w:cs="Times New Roman" w:eastAsia="Times New Roman" w:hAnsi="Times New Roman"/>
          <w:sz w:val="17"/>
          <w:szCs w:val="17"/>
          <w:color w:val="auto"/>
        </w:rPr>
      </w:pPr>
    </w:p>
    <w:p>
      <w:pPr>
        <w:ind w:left="1000" w:right="1139" w:hanging="426"/>
        <w:spacing w:after="0" w:line="276" w:lineRule="auto"/>
        <w:tabs>
          <w:tab w:leader="none" w:pos="949"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of December 31, 2025, Admiral Stavridis (Ret) held 1,299 RSUs, 649 of which had vested as of March 31, 2026 and the remainder of which will vest in full on June 11, 2026, so long as Admiral Stavridis (Ret) is a member of the Board of Directors on such date.</w:t>
      </w:r>
    </w:p>
    <w:p>
      <w:pPr>
        <w:spacing w:after="0" w:line="16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7"/>
          <w:szCs w:val="17"/>
          <w:b w:val="1"/>
          <w:bCs w:val="1"/>
          <w:i w:val="1"/>
          <w:iCs w:val="1"/>
          <w:color w:val="auto"/>
        </w:rPr>
        <w:t>Standard Director Compensation Arrangements</w:t>
      </w:r>
    </w:p>
    <w:p>
      <w:pPr>
        <w:spacing w:after="0" w:line="162" w:lineRule="exact"/>
        <w:rPr>
          <w:sz w:val="20"/>
          <w:szCs w:val="20"/>
          <w:color w:val="auto"/>
        </w:rPr>
      </w:pPr>
    </w:p>
    <w:p>
      <w:pPr>
        <w:ind w:left="580" w:right="619" w:firstLine="349"/>
        <w:spacing w:after="0" w:line="265" w:lineRule="auto"/>
        <w:rPr>
          <w:sz w:val="20"/>
          <w:szCs w:val="20"/>
          <w:color w:val="auto"/>
        </w:rPr>
      </w:pPr>
      <w:r>
        <w:rPr>
          <w:rFonts w:ascii="Times New Roman" w:cs="Times New Roman" w:eastAsia="Times New Roman" w:hAnsi="Times New Roman"/>
          <w:sz w:val="17"/>
          <w:szCs w:val="17"/>
          <w:color w:val="auto"/>
        </w:rPr>
        <w:t>Following a review by Compensia of our annual cash retainer policy and equity award grant policy for non-employee directors, in July 2025, the Human Resources Committee recommended, and the Board of Directors approved, that no changes be made to our cash retainer policy and equity award grant policy for non-employee directors. In accordance with our annual cash retainer policy and equity award grant policy applicable to non-employee directors, each non-employee director is entitled to receive the following compensation for service on the Board of Directors:</w:t>
      </w:r>
    </w:p>
    <w:p>
      <w:pPr>
        <w:spacing w:after="0" w:line="93" w:lineRule="exact"/>
        <w:rPr>
          <w:sz w:val="20"/>
          <w:szCs w:val="20"/>
          <w:color w:val="auto"/>
        </w:rPr>
      </w:pPr>
    </w:p>
    <w:p>
      <w:pPr>
        <w:ind w:left="1100" w:right="799" w:hanging="176"/>
        <w:spacing w:after="0" w:line="296" w:lineRule="auto"/>
        <w:tabs>
          <w:tab w:leader="none" w:pos="1117"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annual cash retainer for serving on the Board of Directors of $55,000, paid quarterly, in addition to the annual cash retainer for service on the committees of the Board of Directors as discussed below;</w:t>
      </w:r>
    </w:p>
    <w:p>
      <w:pPr>
        <w:spacing w:after="0" w:line="81" w:lineRule="exact"/>
        <w:rPr>
          <w:rFonts w:ascii="Times New Roman" w:cs="Times New Roman" w:eastAsia="Times New Roman" w:hAnsi="Times New Roman"/>
          <w:sz w:val="17"/>
          <w:szCs w:val="17"/>
          <w:color w:val="auto"/>
        </w:rPr>
      </w:pPr>
    </w:p>
    <w:p>
      <w:pPr>
        <w:ind w:left="1100" w:right="739" w:hanging="176"/>
        <w:spacing w:after="0" w:line="296" w:lineRule="auto"/>
        <w:tabs>
          <w:tab w:leader="none" w:pos="1117"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annual cash retainer for serving as Lead Independent Director of the Board of Directors of $35,000, paid quarterly;</w:t>
      </w:r>
    </w:p>
    <w:p>
      <w:pPr>
        <w:spacing w:after="0" w:line="81" w:lineRule="exact"/>
        <w:rPr>
          <w:rFonts w:ascii="Times New Roman" w:cs="Times New Roman" w:eastAsia="Times New Roman" w:hAnsi="Times New Roman"/>
          <w:sz w:val="17"/>
          <w:szCs w:val="17"/>
          <w:color w:val="auto"/>
        </w:rPr>
      </w:pPr>
    </w:p>
    <w:p>
      <w:pPr>
        <w:ind w:left="1120" w:hanging="196"/>
        <w:spacing w:after="0"/>
        <w:tabs>
          <w:tab w:leader="none" w:pos="1120"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annual cash retainer for serving in a non-chairperson position on the (i) Audit Committee of $14,000,</w:t>
      </w:r>
    </w:p>
    <w:p>
      <w:pPr>
        <w:spacing w:after="0" w:line="32" w:lineRule="exact"/>
        <w:rPr>
          <w:rFonts w:ascii="Times New Roman" w:cs="Times New Roman" w:eastAsia="Times New Roman" w:hAnsi="Times New Roman"/>
          <w:sz w:val="17"/>
          <w:szCs w:val="17"/>
          <w:color w:val="auto"/>
        </w:rPr>
      </w:pPr>
    </w:p>
    <w:p>
      <w:pPr>
        <w:ind w:left="1100" w:right="699" w:hanging="2"/>
        <w:spacing w:after="0" w:line="274" w:lineRule="auto"/>
        <w:tabs>
          <w:tab w:leader="none" w:pos="1357" w:val="left"/>
        </w:tabs>
        <w:numPr>
          <w:ilvl w:val="1"/>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Human Resources Committee of $10,000, (iii) Governance and Social Responsibility Committee of $7,500 and (iv) Cybersecurity Committee of $7,500;</w:t>
      </w:r>
    </w:p>
    <w:p>
      <w:pPr>
        <w:spacing w:after="0" w:line="85" w:lineRule="exact"/>
        <w:rPr>
          <w:rFonts w:ascii="Times New Roman" w:cs="Times New Roman" w:eastAsia="Times New Roman" w:hAnsi="Times New Roman"/>
          <w:sz w:val="17"/>
          <w:szCs w:val="17"/>
          <w:color w:val="auto"/>
        </w:rPr>
      </w:pPr>
    </w:p>
    <w:p>
      <w:pPr>
        <w:ind w:left="1120" w:hanging="196"/>
        <w:spacing w:after="0"/>
        <w:tabs>
          <w:tab w:leader="none" w:pos="1120"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annual cash retainer of (i) $35,000 for serving as the chairperson of the Audit Committee,</w:t>
      </w:r>
    </w:p>
    <w:p>
      <w:pPr>
        <w:spacing w:after="0" w:line="32" w:lineRule="exact"/>
        <w:rPr>
          <w:rFonts w:ascii="Times New Roman" w:cs="Times New Roman" w:eastAsia="Times New Roman" w:hAnsi="Times New Roman"/>
          <w:sz w:val="17"/>
          <w:szCs w:val="17"/>
          <w:color w:val="auto"/>
        </w:rPr>
      </w:pPr>
    </w:p>
    <w:p>
      <w:pPr>
        <w:jc w:val="both"/>
        <w:ind w:left="1100" w:right="619" w:hanging="2"/>
        <w:spacing w:after="0" w:line="265" w:lineRule="auto"/>
        <w:tabs>
          <w:tab w:leader="none" w:pos="1357" w:val="left"/>
        </w:tabs>
        <w:numPr>
          <w:ilvl w:val="1"/>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$25,000 for serving as the chairperson of the Human Resources Committee, (iii) $15,000 for serving as the chairperson of the Governance and Social Responsibility Committee, and (iv) $15,000 for serving as the chairperson of the Cybersecurity Committee;</w:t>
      </w:r>
    </w:p>
    <w:p>
      <w:pPr>
        <w:spacing w:after="0" w:line="107" w:lineRule="exact"/>
        <w:rPr>
          <w:rFonts w:ascii="Times New Roman" w:cs="Times New Roman" w:eastAsia="Times New Roman" w:hAnsi="Times New Roman"/>
          <w:sz w:val="17"/>
          <w:szCs w:val="17"/>
          <w:color w:val="auto"/>
        </w:rPr>
      </w:pPr>
    </w:p>
    <w:p>
      <w:pPr>
        <w:ind w:left="1100" w:right="619" w:hanging="176"/>
        <w:spacing w:after="0" w:line="255" w:lineRule="auto"/>
        <w:tabs>
          <w:tab w:leader="none" w:pos="1074"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after completion of each full year of service, an annual grant of a number of RSUs based on a total grant value equal to the peer 50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7"/>
          <w:szCs w:val="17"/>
          <w:color w:val="auto"/>
        </w:rPr>
        <w:t xml:space="preserve"> percentile per Compensia’s director compensation analysis, vesting quarterly on the last day of each quarter and with the final installment vesting on the earlier of the last day of the second quarter and the day prior to the next annual meeting of stockholders; and</w:t>
      </w:r>
    </w:p>
    <w:p>
      <w:pPr>
        <w:spacing w:after="0" w:line="1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3" w:name="page64"/>
    <w:bookmarkEnd w:id="63"/>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1100" w:right="679" w:hanging="176"/>
        <w:spacing w:after="0" w:line="270" w:lineRule="auto"/>
        <w:tabs>
          <w:tab w:leader="none" w:pos="1074"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newly appointed non-employee directors, an initial grant of a number of RSUs based on a total grant value equal to the then-applicable grant amount, pro-rated based on the projected days from the directors’ appointment date through the next annual meeting of stockholders, vesting in full on the day prior to the next annual meeting of stockholders.</w:t>
      </w:r>
    </w:p>
    <w:p>
      <w:pPr>
        <w:spacing w:after="0" w:line="16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7"/>
          <w:szCs w:val="17"/>
          <w:b w:val="1"/>
          <w:bCs w:val="1"/>
          <w:i w:val="1"/>
          <w:iCs w:val="1"/>
          <w:color w:val="auto"/>
        </w:rPr>
        <w:t>Non-Employee Director Stock Ownership Guidelines</w:t>
      </w:r>
    </w:p>
    <w:p>
      <w:pPr>
        <w:spacing w:after="0" w:line="162" w:lineRule="exact"/>
        <w:rPr>
          <w:sz w:val="20"/>
          <w:szCs w:val="20"/>
          <w:color w:val="auto"/>
        </w:rPr>
      </w:pPr>
    </w:p>
    <w:p>
      <w:pPr>
        <w:ind w:left="580" w:right="659" w:firstLine="349"/>
        <w:spacing w:after="0" w:line="270" w:lineRule="auto"/>
        <w:rPr>
          <w:sz w:val="20"/>
          <w:szCs w:val="20"/>
          <w:color w:val="auto"/>
        </w:rPr>
      </w:pPr>
      <w:r>
        <w:rPr>
          <w:rFonts w:ascii="Times New Roman" w:cs="Times New Roman" w:eastAsia="Times New Roman" w:hAnsi="Times New Roman"/>
          <w:sz w:val="17"/>
          <w:szCs w:val="17"/>
          <w:color w:val="auto"/>
        </w:rPr>
        <w:t>We have adopted Stock Ownership Guidelines for our non-employee directors (the “Stock Ownership Guidelines”). The Stock Ownership Guidelines are designed to further align the interests of our non-employee directors with those of our stockholders by requiring each non-employee director to maintain a certain financial stake in our company.</w:t>
      </w:r>
    </w:p>
    <w:p>
      <w:pPr>
        <w:spacing w:after="0" w:line="103" w:lineRule="exact"/>
        <w:rPr>
          <w:sz w:val="20"/>
          <w:szCs w:val="20"/>
          <w:color w:val="auto"/>
        </w:rPr>
      </w:pPr>
    </w:p>
    <w:p>
      <w:pPr>
        <w:ind w:left="580" w:right="599" w:firstLine="349"/>
        <w:spacing w:after="0" w:line="263" w:lineRule="auto"/>
        <w:rPr>
          <w:sz w:val="20"/>
          <w:szCs w:val="20"/>
          <w:color w:val="auto"/>
        </w:rPr>
      </w:pPr>
      <w:r>
        <w:rPr>
          <w:rFonts w:ascii="Times New Roman" w:cs="Times New Roman" w:eastAsia="Times New Roman" w:hAnsi="Times New Roman"/>
          <w:sz w:val="17"/>
          <w:szCs w:val="17"/>
          <w:color w:val="auto"/>
        </w:rPr>
        <w:t>Under the Stock Ownership Guidelines, each non-employee director is required to hold a number of shares of our common stock having a market value equal to at least five times such non-employee director’s annual base retainer (excluding fees paid for serving as the Lead Independent Director, Chairperson of the Board of Director or Chairperson or a member of a committee of the Board of Directors). Each non-employee director is required to acquire, and thereafter maintain, this minimum level of ownership by the end of the calendar year following such non-employee director’s fourth anniversary (or, if later, four years following the effective date of the Stock Ownership Guidelines).</w:t>
      </w:r>
    </w:p>
    <w:p>
      <w:pPr>
        <w:spacing w:after="0" w:line="98" w:lineRule="exact"/>
        <w:rPr>
          <w:sz w:val="20"/>
          <w:szCs w:val="20"/>
          <w:color w:val="auto"/>
        </w:rPr>
      </w:pPr>
    </w:p>
    <w:p>
      <w:pPr>
        <w:ind w:left="580" w:right="679" w:firstLine="349"/>
        <w:spacing w:after="0" w:line="262" w:lineRule="auto"/>
        <w:rPr>
          <w:sz w:val="20"/>
          <w:szCs w:val="20"/>
          <w:color w:val="auto"/>
        </w:rPr>
      </w:pPr>
      <w:r>
        <w:rPr>
          <w:rFonts w:ascii="Times New Roman" w:cs="Times New Roman" w:eastAsia="Times New Roman" w:hAnsi="Times New Roman"/>
          <w:sz w:val="17"/>
          <w:szCs w:val="17"/>
          <w:color w:val="auto"/>
        </w:rPr>
        <w:t>Shares of our common stock that are beneficially owned by a non-employee director in the following forms are including in determining compliance with the Stock Ownership Guidelines: (i) shares owned by a non-employee director or their immediate family members residing in the same household; (ii) shares held in trust for the benefit of a non-employee director or their immediate family members residing in the same household; (iii) shares owned by a partnership, limited liability company or other entity to the extent of a non-employee director’s interest therein (or the interest therein of their immediate family members residing in the same household) and to the extent the non-employee director has or shares power to vote or dispose of the shares; (iv) vested and unexercised stock options; (v) vested RSUs; (vi) other shares acquired through the 2009 Plan or other equity-based compensation plans; and (vii) shares owned in a 401(k) accounts.</w:t>
      </w:r>
    </w:p>
    <w:p>
      <w:pPr>
        <w:spacing w:after="0" w:line="110" w:lineRule="exact"/>
        <w:rPr>
          <w:sz w:val="20"/>
          <w:szCs w:val="20"/>
          <w:color w:val="auto"/>
        </w:rPr>
      </w:pPr>
    </w:p>
    <w:p>
      <w:pPr>
        <w:ind w:left="580" w:right="699" w:firstLine="349"/>
        <w:spacing w:after="0" w:line="267" w:lineRule="auto"/>
        <w:rPr>
          <w:sz w:val="20"/>
          <w:szCs w:val="20"/>
          <w:color w:val="auto"/>
        </w:rPr>
      </w:pPr>
      <w:r>
        <w:rPr>
          <w:rFonts w:ascii="Times New Roman" w:cs="Times New Roman" w:eastAsia="Times New Roman" w:hAnsi="Times New Roman"/>
          <w:sz w:val="17"/>
          <w:szCs w:val="17"/>
          <w:color w:val="auto"/>
        </w:rPr>
        <w:t>Exceptions to the Stock Ownership Guidelines may be made for a particular non-employee director if the Human Resources Committee determines that the non-employee director would incur a hardship by complying with the Stock Ownership Guidelines. Failure to meet, or in unique circumstances, to show sustained progress toward meeting the Stock Ownership Guidelines may be a factor considered by the Human Resources Committee in determining future long-term incentive equity grants and/or appropriate levels of compensation.</w:t>
      </w:r>
    </w:p>
    <w:p>
      <w:pPr>
        <w:spacing w:after="0" w:line="16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7"/>
          <w:szCs w:val="17"/>
          <w:b w:val="1"/>
          <w:bCs w:val="1"/>
          <w:i w:val="1"/>
          <w:iCs w:val="1"/>
          <w:color w:val="auto"/>
        </w:rPr>
        <w:t>Termination or Change of Control Arrangements</w:t>
      </w:r>
    </w:p>
    <w:p>
      <w:pPr>
        <w:spacing w:after="0" w:line="162" w:lineRule="exact"/>
        <w:rPr>
          <w:sz w:val="20"/>
          <w:szCs w:val="20"/>
          <w:color w:val="auto"/>
        </w:rPr>
      </w:pPr>
    </w:p>
    <w:p>
      <w:pPr>
        <w:ind w:left="580" w:right="599" w:firstLine="349"/>
        <w:spacing w:after="0" w:line="270" w:lineRule="auto"/>
        <w:rPr>
          <w:sz w:val="20"/>
          <w:szCs w:val="20"/>
          <w:color w:val="auto"/>
        </w:rPr>
      </w:pPr>
      <w:r>
        <w:rPr>
          <w:rFonts w:ascii="Times New Roman" w:cs="Times New Roman" w:eastAsia="Times New Roman" w:hAnsi="Times New Roman"/>
          <w:sz w:val="17"/>
          <w:szCs w:val="17"/>
          <w:color w:val="auto"/>
        </w:rPr>
        <w:t>We have entered into change of control agreements with each of our non-employee directors, and will enter into a change of control agreement with Mr. Kan if he is elected to the Board of Directors. These agreements provide that, upon a Change of Control, 100% of the outstanding and unvested equity awards held by such directors will immediately vest in full.</w:t>
      </w:r>
    </w:p>
    <w:p>
      <w:pPr>
        <w:spacing w:after="0" w:line="90" w:lineRule="exact"/>
        <w:rPr>
          <w:sz w:val="20"/>
          <w:szCs w:val="20"/>
          <w:color w:val="auto"/>
        </w:rPr>
      </w:pPr>
    </w:p>
    <w:p>
      <w:pPr>
        <w:jc w:val="both"/>
        <w:ind w:left="580" w:right="739" w:firstLine="349"/>
        <w:spacing w:after="0" w:line="276" w:lineRule="auto"/>
        <w:rPr>
          <w:sz w:val="20"/>
          <w:szCs w:val="20"/>
          <w:color w:val="auto"/>
        </w:rPr>
      </w:pPr>
      <w:r>
        <w:rPr>
          <w:rFonts w:ascii="Times New Roman" w:cs="Times New Roman" w:eastAsia="Times New Roman" w:hAnsi="Times New Roman"/>
          <w:sz w:val="17"/>
          <w:szCs w:val="17"/>
          <w:color w:val="auto"/>
        </w:rPr>
        <w:t>“Change of Control” in our change of control agreements with our non-employee directors has the same meaning as used in our Change of Control Severance Agreements with the NEOs. See “</w:t>
      </w:r>
      <w:r>
        <w:rPr>
          <w:rFonts w:ascii="Times New Roman" w:cs="Times New Roman" w:eastAsia="Times New Roman" w:hAnsi="Times New Roman"/>
          <w:sz w:val="17"/>
          <w:szCs w:val="17"/>
          <w:i w:val="1"/>
          <w:iCs w:val="1"/>
          <w:color w:val="auto"/>
        </w:rPr>
        <w:t>— Potential Payments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Upon Termination or Change of Control — Termination or Change of Control Arrangements</w:t>
      </w:r>
      <w:r>
        <w:rPr>
          <w:rFonts w:ascii="Times New Roman" w:cs="Times New Roman" w:eastAsia="Times New Roman" w:hAnsi="Times New Roman"/>
          <w:sz w:val="17"/>
          <w:szCs w:val="17"/>
          <w:color w:val="auto"/>
        </w:rPr>
        <w:t>.”</w:t>
      </w:r>
    </w:p>
    <w:p>
      <w:pPr>
        <w:spacing w:after="0" w:line="16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7"/>
          <w:szCs w:val="17"/>
          <w:b w:val="1"/>
          <w:bCs w:val="1"/>
          <w:i w:val="1"/>
          <w:iCs w:val="1"/>
          <w:color w:val="auto"/>
        </w:rPr>
        <w:t>Other Arrangements</w:t>
      </w:r>
    </w:p>
    <w:p>
      <w:pPr>
        <w:spacing w:after="0" w:line="162" w:lineRule="exact"/>
        <w:rPr>
          <w:sz w:val="20"/>
          <w:szCs w:val="20"/>
          <w:color w:val="auto"/>
        </w:rPr>
      </w:pPr>
    </w:p>
    <w:p>
      <w:pPr>
        <w:ind w:left="580" w:right="599" w:firstLine="349"/>
        <w:spacing w:after="0" w:line="267" w:lineRule="auto"/>
        <w:rPr>
          <w:sz w:val="20"/>
          <w:szCs w:val="20"/>
          <w:color w:val="auto"/>
        </w:rPr>
      </w:pPr>
      <w:r>
        <w:rPr>
          <w:rFonts w:ascii="Times New Roman" w:cs="Times New Roman" w:eastAsia="Times New Roman" w:hAnsi="Times New Roman"/>
          <w:sz w:val="17"/>
          <w:szCs w:val="17"/>
          <w:color w:val="auto"/>
        </w:rPr>
        <w:t>While our non-employee directors are not typically paid or reimbursed for travel, lodging and related expenses associated with attending meetings of the Board of Directors or committees of the Board of Directors and for participating in activities related to service on the Board of Directors, we have from time-to-time paid or reimbursed our non-employee directors for reasonable expenses associated with attendance at meetings of the Board of Directors or committees of the Board of Directors.</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4" w:name="page65"/>
    <w:bookmarkEnd w:id="64"/>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Equity Compensation Plan Information</w:t>
      </w:r>
    </w:p>
    <w:p>
      <w:pPr>
        <w:spacing w:after="0" w:line="147" w:lineRule="exact"/>
        <w:rPr>
          <w:sz w:val="20"/>
          <w:szCs w:val="20"/>
          <w:color w:val="auto"/>
        </w:rPr>
      </w:pPr>
    </w:p>
    <w:p>
      <w:pPr>
        <w:ind w:left="580" w:right="759" w:firstLine="349"/>
        <w:spacing w:after="0" w:line="296" w:lineRule="auto"/>
        <w:rPr>
          <w:sz w:val="20"/>
          <w:szCs w:val="20"/>
          <w:color w:val="auto"/>
        </w:rPr>
      </w:pPr>
      <w:r>
        <w:rPr>
          <w:rFonts w:ascii="Times New Roman" w:cs="Times New Roman" w:eastAsia="Times New Roman" w:hAnsi="Times New Roman"/>
          <w:sz w:val="17"/>
          <w:szCs w:val="17"/>
          <w:color w:val="auto"/>
        </w:rPr>
        <w:t>We currently maintain the 2009 Plan, which provides for the issuance of shares of our common stock to our officers and other employees, directors and consultants and which has been approved by our stockholders.</w:t>
      </w:r>
    </w:p>
    <w:p>
      <w:pPr>
        <w:spacing w:after="0" w:line="81" w:lineRule="exact"/>
        <w:rPr>
          <w:sz w:val="20"/>
          <w:szCs w:val="20"/>
          <w:color w:val="auto"/>
        </w:rPr>
      </w:pPr>
    </w:p>
    <w:p>
      <w:pPr>
        <w:ind w:left="580" w:right="899" w:firstLine="349"/>
        <w:spacing w:after="0" w:line="296" w:lineRule="auto"/>
        <w:rPr>
          <w:sz w:val="20"/>
          <w:szCs w:val="20"/>
          <w:color w:val="auto"/>
        </w:rPr>
      </w:pPr>
      <w:r>
        <w:rPr>
          <w:rFonts w:ascii="Times New Roman" w:cs="Times New Roman" w:eastAsia="Times New Roman" w:hAnsi="Times New Roman"/>
          <w:sz w:val="17"/>
          <w:szCs w:val="17"/>
          <w:color w:val="auto"/>
        </w:rPr>
        <w:t>The following table summarizes the number of outstanding options and rights and number of securities remaining available for future issuance under our equity compensation plans as of December 31, 2025.</w:t>
      </w:r>
    </w:p>
    <w:p>
      <w:pPr>
        <w:spacing w:after="0" w:line="193" w:lineRule="exact"/>
        <w:rPr>
          <w:sz w:val="20"/>
          <w:szCs w:val="20"/>
          <w:color w:val="auto"/>
        </w:rPr>
      </w:pPr>
    </w:p>
    <w:tbl>
      <w:tblPr>
        <w:tblLayout w:type="fixed"/>
        <w:tblInd w:w="580" w:type="dxa"/>
        <w:tblCellMar>
          <w:top w:w="0" w:type="dxa"/>
          <w:left w:w="0" w:type="dxa"/>
          <w:bottom w:w="0" w:type="dxa"/>
          <w:right w:w="0" w:type="dxa"/>
        </w:tblCellMar>
      </w:tblPr>
      <w:tr>
        <w:trPr>
          <w:trHeight w:val="184"/>
        </w:trPr>
        <w:tc>
          <w:tcPr>
            <w:tcW w:w="3040" w:type="dxa"/>
            <w:vAlign w:val="bottom"/>
          </w:tcPr>
          <w:p>
            <w:pPr>
              <w:spacing w:after="0"/>
              <w:rPr>
                <w:sz w:val="16"/>
                <w:szCs w:val="16"/>
                <w:color w:val="auto"/>
              </w:rPr>
            </w:pP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(a)</w:t>
            </w: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3"/>
              </w:rPr>
              <w:t>(b)</w:t>
            </w:r>
          </w:p>
        </w:tc>
        <w:tc>
          <w:tcPr>
            <w:tcW w:w="1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w:t>
            </w:r>
          </w:p>
        </w:tc>
        <w:tc>
          <w:tcPr>
            <w:tcW w:w="0" w:type="dxa"/>
            <w:vAlign w:val="bottom"/>
          </w:tcPr>
          <w:p>
            <w:pPr>
              <w:spacing w:after="0"/>
              <w:rPr>
                <w:sz w:val="1"/>
                <w:szCs w:val="1"/>
                <w:color w:val="auto"/>
              </w:rPr>
            </w:pPr>
          </w:p>
        </w:tc>
      </w:tr>
      <w:tr>
        <w:trPr>
          <w:trHeight w:val="23"/>
        </w:trPr>
        <w:tc>
          <w:tcPr>
            <w:tcW w:w="304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3"/>
        </w:trPr>
        <w:tc>
          <w:tcPr>
            <w:tcW w:w="3040" w:type="dxa"/>
            <w:vAlign w:val="bottom"/>
          </w:tcPr>
          <w:p>
            <w:pPr>
              <w:spacing w:after="0"/>
              <w:rPr>
                <w:sz w:val="9"/>
                <w:szCs w:val="9"/>
                <w:color w:val="auto"/>
              </w:rPr>
            </w:pPr>
          </w:p>
        </w:tc>
        <w:tc>
          <w:tcPr>
            <w:tcW w:w="1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60" w:type="dxa"/>
            <w:vAlign w:val="bottom"/>
          </w:tcPr>
          <w:p>
            <w:pPr>
              <w:jc w:val="center"/>
              <w:spacing w:after="0" w:line="113" w:lineRule="exact"/>
              <w:rPr>
                <w:sz w:val="20"/>
                <w:szCs w:val="20"/>
                <w:color w:val="auto"/>
              </w:rPr>
            </w:pPr>
            <w:r>
              <w:rPr>
                <w:rFonts w:ascii="Times New Roman" w:cs="Times New Roman" w:eastAsia="Times New Roman" w:hAnsi="Times New Roman"/>
                <w:sz w:val="13"/>
                <w:szCs w:val="13"/>
                <w:b w:val="1"/>
                <w:bCs w:val="1"/>
                <w:color w:val="auto"/>
              </w:rPr>
              <w:t>Number of securities</w:t>
            </w:r>
          </w:p>
        </w:tc>
        <w:tc>
          <w:tcPr>
            <w:tcW w:w="0" w:type="dxa"/>
            <w:vAlign w:val="bottom"/>
          </w:tcPr>
          <w:p>
            <w:pPr>
              <w:spacing w:after="0"/>
              <w:rPr>
                <w:sz w:val="1"/>
                <w:szCs w:val="1"/>
                <w:color w:val="auto"/>
              </w:rPr>
            </w:pPr>
          </w:p>
        </w:tc>
      </w:tr>
      <w:tr>
        <w:trPr>
          <w:trHeight w:val="144"/>
        </w:trPr>
        <w:tc>
          <w:tcPr>
            <w:tcW w:w="3040" w:type="dxa"/>
            <w:vAlign w:val="bottom"/>
          </w:tcPr>
          <w:p>
            <w:pPr>
              <w:spacing w:after="0"/>
              <w:rPr>
                <w:sz w:val="12"/>
                <w:szCs w:val="12"/>
                <w:color w:val="auto"/>
              </w:rPr>
            </w:pPr>
          </w:p>
        </w:tc>
        <w:tc>
          <w:tcPr>
            <w:tcW w:w="16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 securities to</w:t>
            </w:r>
          </w:p>
        </w:tc>
        <w:tc>
          <w:tcPr>
            <w:tcW w:w="15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166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w w:val="99"/>
              </w:rPr>
              <w:t>remaining available for</w:t>
            </w:r>
          </w:p>
        </w:tc>
        <w:tc>
          <w:tcPr>
            <w:tcW w:w="0" w:type="dxa"/>
            <w:vAlign w:val="bottom"/>
          </w:tcPr>
          <w:p>
            <w:pPr>
              <w:spacing w:after="0"/>
              <w:rPr>
                <w:sz w:val="1"/>
                <w:szCs w:val="1"/>
                <w:color w:val="auto"/>
              </w:rPr>
            </w:pPr>
          </w:p>
        </w:tc>
      </w:tr>
      <w:tr>
        <w:trPr>
          <w:trHeight w:val="144"/>
        </w:trPr>
        <w:tc>
          <w:tcPr>
            <w:tcW w:w="304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166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w w:val="98"/>
              </w:rPr>
              <w:t>future issuance under</w:t>
            </w:r>
          </w:p>
        </w:tc>
        <w:tc>
          <w:tcPr>
            <w:tcW w:w="0" w:type="dxa"/>
            <w:vAlign w:val="bottom"/>
          </w:tcPr>
          <w:p>
            <w:pPr>
              <w:spacing w:after="0"/>
              <w:rPr>
                <w:sz w:val="1"/>
                <w:szCs w:val="1"/>
                <w:color w:val="auto"/>
              </w:rPr>
            </w:pPr>
          </w:p>
        </w:tc>
      </w:tr>
      <w:tr>
        <w:trPr>
          <w:trHeight w:val="144"/>
        </w:trPr>
        <w:tc>
          <w:tcPr>
            <w:tcW w:w="3040" w:type="dxa"/>
            <w:vAlign w:val="bottom"/>
          </w:tcPr>
          <w:p>
            <w:pPr>
              <w:spacing w:after="0"/>
              <w:rPr>
                <w:sz w:val="12"/>
                <w:szCs w:val="12"/>
                <w:color w:val="auto"/>
              </w:rPr>
            </w:pPr>
          </w:p>
        </w:tc>
        <w:tc>
          <w:tcPr>
            <w:tcW w:w="1620" w:type="dxa"/>
            <w:vAlign w:val="bottom"/>
            <w:gridSpan w:val="2"/>
          </w:tcPr>
          <w:p>
            <w:pPr>
              <w:jc w:val="center"/>
              <w:ind w:right="100"/>
              <w:spacing w:after="0" w:line="144" w:lineRule="exact"/>
              <w:rPr>
                <w:sz w:val="20"/>
                <w:szCs w:val="20"/>
                <w:color w:val="auto"/>
              </w:rPr>
            </w:pPr>
            <w:r>
              <w:rPr>
                <w:rFonts w:ascii="Times New Roman" w:cs="Times New Roman" w:eastAsia="Times New Roman" w:hAnsi="Times New Roman"/>
                <w:sz w:val="14"/>
                <w:szCs w:val="14"/>
                <w:b w:val="1"/>
                <w:bCs w:val="1"/>
                <w:color w:val="auto"/>
              </w:rPr>
              <w:t>be issued upon exercise</w:t>
            </w:r>
          </w:p>
        </w:tc>
        <w:tc>
          <w:tcPr>
            <w:tcW w:w="1540" w:type="dxa"/>
            <w:vAlign w:val="bottom"/>
            <w:gridSpan w:val="2"/>
          </w:tcPr>
          <w:p>
            <w:pPr>
              <w:jc w:val="center"/>
              <w:ind w:right="100"/>
              <w:spacing w:after="0" w:line="144" w:lineRule="exact"/>
              <w:rPr>
                <w:sz w:val="20"/>
                <w:szCs w:val="20"/>
                <w:color w:val="auto"/>
              </w:rPr>
            </w:pPr>
            <w:r>
              <w:rPr>
                <w:rFonts w:ascii="Times New Roman" w:cs="Times New Roman" w:eastAsia="Times New Roman" w:hAnsi="Times New Roman"/>
                <w:sz w:val="14"/>
                <w:szCs w:val="14"/>
                <w:b w:val="1"/>
                <w:bCs w:val="1"/>
                <w:color w:val="auto"/>
                <w:w w:val="99"/>
              </w:rPr>
              <w:t>exercise price per share</w:t>
            </w:r>
          </w:p>
        </w:tc>
        <w:tc>
          <w:tcPr>
            <w:tcW w:w="166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rPr>
              <w:t>equity compensation</w:t>
            </w:r>
          </w:p>
        </w:tc>
        <w:tc>
          <w:tcPr>
            <w:tcW w:w="0" w:type="dxa"/>
            <w:vAlign w:val="bottom"/>
          </w:tcPr>
          <w:p>
            <w:pPr>
              <w:spacing w:after="0"/>
              <w:rPr>
                <w:sz w:val="1"/>
                <w:szCs w:val="1"/>
                <w:color w:val="auto"/>
              </w:rPr>
            </w:pPr>
          </w:p>
        </w:tc>
      </w:tr>
      <w:tr>
        <w:trPr>
          <w:trHeight w:val="144"/>
        </w:trPr>
        <w:tc>
          <w:tcPr>
            <w:tcW w:w="30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1620" w:type="dxa"/>
            <w:vAlign w:val="bottom"/>
            <w:gridSpan w:val="2"/>
          </w:tcPr>
          <w:p>
            <w:pPr>
              <w:jc w:val="center"/>
              <w:ind w:right="100"/>
              <w:spacing w:after="0" w:line="144" w:lineRule="exact"/>
              <w:rPr>
                <w:sz w:val="20"/>
                <w:szCs w:val="20"/>
                <w:color w:val="auto"/>
              </w:rPr>
            </w:pPr>
            <w:r>
              <w:rPr>
                <w:rFonts w:ascii="Times New Roman" w:cs="Times New Roman" w:eastAsia="Times New Roman" w:hAnsi="Times New Roman"/>
                <w:sz w:val="14"/>
                <w:szCs w:val="14"/>
                <w:b w:val="1"/>
                <w:bCs w:val="1"/>
                <w:color w:val="auto"/>
                <w:w w:val="99"/>
              </w:rPr>
              <w:t>of outstanding options,</w:t>
            </w:r>
          </w:p>
        </w:tc>
        <w:tc>
          <w:tcPr>
            <w:tcW w:w="1540" w:type="dxa"/>
            <w:vAlign w:val="bottom"/>
            <w:gridSpan w:val="2"/>
          </w:tcPr>
          <w:p>
            <w:pPr>
              <w:jc w:val="center"/>
              <w:ind w:right="100"/>
              <w:spacing w:after="0" w:line="144" w:lineRule="exact"/>
              <w:rPr>
                <w:sz w:val="20"/>
                <w:szCs w:val="20"/>
                <w:color w:val="auto"/>
              </w:rPr>
            </w:pPr>
            <w:r>
              <w:rPr>
                <w:rFonts w:ascii="Times New Roman" w:cs="Times New Roman" w:eastAsia="Times New Roman" w:hAnsi="Times New Roman"/>
                <w:sz w:val="14"/>
                <w:szCs w:val="14"/>
                <w:b w:val="1"/>
                <w:bCs w:val="1"/>
                <w:color w:val="auto"/>
                <w:w w:val="99"/>
              </w:rPr>
              <w:t>of outstanding options,</w:t>
            </w:r>
          </w:p>
        </w:tc>
        <w:tc>
          <w:tcPr>
            <w:tcW w:w="166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w w:val="99"/>
              </w:rPr>
              <w:t>plans (excluding securities</w:t>
            </w:r>
          </w:p>
        </w:tc>
        <w:tc>
          <w:tcPr>
            <w:tcW w:w="0" w:type="dxa"/>
            <w:vAlign w:val="bottom"/>
          </w:tcPr>
          <w:p>
            <w:pPr>
              <w:spacing w:after="0"/>
              <w:rPr>
                <w:sz w:val="1"/>
                <w:szCs w:val="1"/>
                <w:color w:val="auto"/>
              </w:rPr>
            </w:pPr>
          </w:p>
        </w:tc>
      </w:tr>
      <w:tr>
        <w:trPr>
          <w:trHeight w:val="184"/>
        </w:trPr>
        <w:tc>
          <w:tcPr>
            <w:tcW w:w="3040" w:type="dxa"/>
            <w:vAlign w:val="bottom"/>
            <w:vMerge w:val="continue"/>
          </w:tcPr>
          <w:p>
            <w:pPr>
              <w:spacing w:after="0"/>
              <w:rPr>
                <w:sz w:val="16"/>
                <w:szCs w:val="16"/>
                <w:color w:val="auto"/>
              </w:rPr>
            </w:pP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warrants and rights (#)</w:t>
            </w: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warrants and rights ($)</w:t>
            </w:r>
          </w:p>
        </w:tc>
        <w:tc>
          <w:tcPr>
            <w:tcW w:w="1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reflected in column (a)) (#)</w:t>
            </w:r>
          </w:p>
        </w:tc>
        <w:tc>
          <w:tcPr>
            <w:tcW w:w="0" w:type="dxa"/>
            <w:vAlign w:val="bottom"/>
          </w:tcPr>
          <w:p>
            <w:pPr>
              <w:spacing w:after="0"/>
              <w:rPr>
                <w:sz w:val="1"/>
                <w:szCs w:val="1"/>
                <w:color w:val="auto"/>
              </w:rPr>
            </w:pPr>
          </w:p>
        </w:tc>
      </w:tr>
    </w:tbl>
    <w:p>
      <w:pPr>
        <w:spacing w:after="0" w:line="18" w:lineRule="exact"/>
        <w:rPr>
          <w:sz w:val="20"/>
          <w:szCs w:val="20"/>
          <w:color w:val="auto"/>
        </w:rPr>
      </w:pPr>
    </w:p>
    <w:p>
      <w:pPr>
        <w:sectPr>
          <w:pgSz w:w="11900" w:h="16838" w:orient="portrait"/>
          <w:cols w:equalWidth="0" w:num="1">
            <w:col w:w="9019"/>
          </w:cols>
          <w:pgMar w:left="1440" w:top="265" w:right="1440" w:bottom="1440" w:gutter="0" w:footer="0" w:header="0"/>
        </w:sectPr>
      </w:pPr>
    </w:p>
    <w:p>
      <w:pPr>
        <w:ind w:left="740" w:right="40" w:hanging="174"/>
        <w:spacing w:after="0" w:line="281" w:lineRule="auto"/>
        <w:rPr>
          <w:sz w:val="20"/>
          <w:szCs w:val="20"/>
          <w:color w:val="auto"/>
        </w:rPr>
      </w:pPr>
      <w:r>
        <w:rPr>
          <w:rFonts w:ascii="Times New Roman" w:cs="Times New Roman" w:eastAsia="Times New Roman" w:hAnsi="Times New Roman"/>
          <w:sz w:val="17"/>
          <w:szCs w:val="17"/>
          <w:color w:val="auto"/>
        </w:rPr>
        <w:t>Equity compensation plans approved by security holders</w:t>
      </w:r>
    </w:p>
    <w:p>
      <w:pPr>
        <w:spacing w:after="0" w:line="1" w:lineRule="exact"/>
        <w:rPr>
          <w:sz w:val="20"/>
          <w:szCs w:val="20"/>
          <w:color w:val="auto"/>
        </w:rPr>
      </w:pPr>
    </w:p>
    <w:p>
      <w:pPr>
        <w:ind w:left="740" w:hanging="174"/>
        <w:spacing w:after="0" w:line="296" w:lineRule="auto"/>
        <w:rPr>
          <w:sz w:val="20"/>
          <w:szCs w:val="20"/>
          <w:color w:val="auto"/>
        </w:rPr>
      </w:pPr>
      <w:r>
        <w:rPr>
          <w:rFonts w:ascii="Times New Roman" w:cs="Times New Roman" w:eastAsia="Times New Roman" w:hAnsi="Times New Roman"/>
          <w:sz w:val="17"/>
          <w:szCs w:val="17"/>
          <w:color w:val="auto"/>
        </w:rPr>
        <w:t>Equity compensation plans not approved by security holders</w:t>
      </w:r>
    </w:p>
    <w:p>
      <w:pPr>
        <w:spacing w:after="0" w:line="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Total</w:t>
      </w:r>
    </w:p>
    <w:p>
      <w:pPr>
        <w:spacing w:after="0" w:line="13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________________________</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16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15,420,982</w:t>
            </w:r>
          </w:p>
        </w:tc>
        <w:tc>
          <w:tcPr>
            <w:tcW w:w="500" w:type="dxa"/>
            <w:vAlign w:val="bottom"/>
          </w:tcPr>
          <w:p>
            <w:pPr>
              <w:jc w:val="right"/>
              <w:ind w:right="333"/>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49.39</w:t>
            </w:r>
            <w:r>
              <w:rPr>
                <w:rFonts w:ascii="Times New Roman" w:cs="Times New Roman" w:eastAsia="Times New Roman" w:hAnsi="Times New Roman"/>
                <w:sz w:val="20"/>
                <w:szCs w:val="20"/>
                <w:color w:val="auto"/>
                <w:vertAlign w:val="superscript"/>
              </w:rPr>
              <w:t>(1)</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48,105,176</w:t>
            </w:r>
            <w:r>
              <w:rPr>
                <w:rFonts w:ascii="Times New Roman" w:cs="Times New Roman" w:eastAsia="Times New Roman" w:hAnsi="Times New Roman"/>
                <w:sz w:val="20"/>
                <w:szCs w:val="20"/>
                <w:color w:val="auto"/>
                <w:vertAlign w:val="superscript"/>
              </w:rPr>
              <w:t>(2)</w:t>
            </w:r>
          </w:p>
        </w:tc>
      </w:tr>
      <w:tr>
        <w:trPr>
          <w:trHeight w:val="424"/>
        </w:trPr>
        <w:tc>
          <w:tcPr>
            <w:tcW w:w="16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tcPr>
          <w:p>
            <w:pPr>
              <w:spacing w:after="0"/>
              <w:rPr>
                <w:sz w:val="24"/>
                <w:szCs w:val="24"/>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6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r>
      <w:tr>
        <w:trPr>
          <w:trHeight w:val="27"/>
        </w:trPr>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235"/>
        </w:trPr>
        <w:tc>
          <w:tcPr>
            <w:tcW w:w="16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15,420,982</w:t>
            </w:r>
          </w:p>
        </w:tc>
        <w:tc>
          <w:tcPr>
            <w:tcW w:w="500" w:type="dxa"/>
            <w:vAlign w:val="bottom"/>
          </w:tcPr>
          <w:p>
            <w:pPr>
              <w:jc w:val="right"/>
              <w:ind w:right="333"/>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49.39</w:t>
            </w: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48,105,176</w:t>
            </w:r>
          </w:p>
        </w:tc>
        <w:tc>
          <w:tcPr>
            <w:tcW w:w="120" w:type="dxa"/>
            <w:vAlign w:val="bottom"/>
          </w:tcPr>
          <w:p>
            <w:pPr>
              <w:spacing w:after="0"/>
              <w:rPr>
                <w:sz w:val="20"/>
                <w:szCs w:val="20"/>
                <w:color w:val="auto"/>
              </w:rPr>
            </w:pPr>
          </w:p>
        </w:tc>
      </w:tr>
      <w:tr>
        <w:trPr>
          <w:trHeight w:val="20"/>
        </w:trPr>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-1933575</wp:posOffset>
            </wp:positionH>
            <wp:positionV relativeFrom="paragraph">
              <wp:posOffset>-190500</wp:posOffset>
            </wp:positionV>
            <wp:extent cx="4990465" cy="17462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4990465" cy="174625"/>
                    </a:xfrm>
                    <a:prstGeom prst="rect">
                      <a:avLst/>
                    </a:prstGeom>
                    <a:noFill/>
                  </pic:spPr>
                </pic:pic>
              </a:graphicData>
            </a:graphic>
          </wp:anchor>
        </w:drawing>
        <w:drawing>
          <wp:anchor simplePos="0" relativeHeight="251657728" behindDoc="1" locked="0" layoutInCell="0" allowOverlap="1">
            <wp:simplePos x="0" y="0"/>
            <wp:positionH relativeFrom="column">
              <wp:posOffset>-1933575</wp:posOffset>
            </wp:positionH>
            <wp:positionV relativeFrom="paragraph">
              <wp:posOffset>-781050</wp:posOffset>
            </wp:positionV>
            <wp:extent cx="4990465" cy="29972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4990465" cy="299720"/>
                    </a:xfrm>
                    <a:prstGeom prst="rect">
                      <a:avLst/>
                    </a:prstGeom>
                    <a:noFill/>
                  </pic:spPr>
                </pic:pic>
              </a:graphicData>
            </a:graphic>
          </wp:anchor>
        </w:drawing>
      </w:r>
    </w:p>
    <w:p>
      <w:pPr>
        <w:spacing w:after="0" w:line="322" w:lineRule="exact"/>
        <w:rPr>
          <w:sz w:val="20"/>
          <w:szCs w:val="20"/>
          <w:color w:val="auto"/>
        </w:rPr>
      </w:pPr>
    </w:p>
    <w:p>
      <w:pPr>
        <w:sectPr>
          <w:pgSz w:w="11900" w:h="16838" w:orient="portrait"/>
          <w:cols w:equalWidth="0" w:num="2">
            <w:col w:w="3420" w:space="200"/>
            <w:col w:w="5399"/>
          </w:cols>
          <w:pgMar w:left="1440" w:top="265" w:right="1440" w:bottom="1440" w:gutter="0" w:footer="0" w:header="0"/>
          <w:type w:val="continuous"/>
        </w:sectPr>
      </w:pPr>
    </w:p>
    <w:p>
      <w:pPr>
        <w:ind w:left="920" w:right="779" w:hanging="346"/>
        <w:spacing w:after="0" w:line="296" w:lineRule="auto"/>
        <w:tabs>
          <w:tab w:leader="none" w:pos="905"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weighted-average exercise price does not reflect the shares that will be issued in connection with the settlement of RSUs or PSUs, which have no exercise price.</w:t>
      </w:r>
    </w:p>
    <w:p>
      <w:pPr>
        <w:spacing w:after="0" w:line="2" w:lineRule="exact"/>
        <w:rPr>
          <w:rFonts w:ascii="Times New Roman" w:cs="Times New Roman" w:eastAsia="Times New Roman" w:hAnsi="Times New Roman"/>
          <w:sz w:val="17"/>
          <w:szCs w:val="17"/>
          <w:color w:val="auto"/>
        </w:rPr>
      </w:pPr>
    </w:p>
    <w:p>
      <w:pPr>
        <w:ind w:left="920" w:right="859" w:hanging="346"/>
        <w:spacing w:after="0" w:line="296" w:lineRule="auto"/>
        <w:tabs>
          <w:tab w:leader="none" w:pos="905"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48,105,176 shares of common stock available for issuance under the 2009 Plan, which was the only equity compensation plan that we maintained as of December 31, 2025.</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65" w:name="page66"/>
    <w:bookmarkEnd w:id="65"/>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7"/>
          <w:szCs w:val="17"/>
          <w:b w:val="1"/>
          <w:bCs w:val="1"/>
          <w:color w:val="auto"/>
        </w:rPr>
        <w:t>CERTAIN RELATIONSHIPS AND RELATED TRANSACTIONS</w:t>
      </w:r>
    </w:p>
    <w:p>
      <w:pPr>
        <w:spacing w:after="0" w:line="22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Related-Person Transactions</w:t>
      </w:r>
    </w:p>
    <w:p>
      <w:pPr>
        <w:spacing w:after="0" w:line="22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7"/>
          <w:szCs w:val="17"/>
          <w:b w:val="1"/>
          <w:bCs w:val="1"/>
          <w:i w:val="1"/>
          <w:iCs w:val="1"/>
          <w:color w:val="auto"/>
        </w:rPr>
        <w:t>Indemnification of Officers and Directors</w:t>
      </w:r>
    </w:p>
    <w:p>
      <w:pPr>
        <w:spacing w:after="0" w:line="149" w:lineRule="exact"/>
        <w:rPr>
          <w:sz w:val="20"/>
          <w:szCs w:val="20"/>
          <w:color w:val="auto"/>
        </w:rPr>
      </w:pPr>
    </w:p>
    <w:p>
      <w:pPr>
        <w:ind w:left="580" w:right="619" w:firstLine="349"/>
        <w:spacing w:after="0" w:line="276" w:lineRule="auto"/>
        <w:rPr>
          <w:sz w:val="20"/>
          <w:szCs w:val="20"/>
          <w:color w:val="auto"/>
        </w:rPr>
      </w:pPr>
      <w:r>
        <w:rPr>
          <w:rFonts w:ascii="Times New Roman" w:cs="Times New Roman" w:eastAsia="Times New Roman" w:hAnsi="Times New Roman"/>
          <w:sz w:val="17"/>
          <w:szCs w:val="17"/>
          <w:color w:val="auto"/>
        </w:rPr>
        <w:t>Our Restated Certificate and Bylaws provide that we will indemnify each of our directors and officers to the fullest extent permitted by Delaware law. In addition, we have entered into indemnification agreements with each of our directors and executive officers.</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Review of Related-Person Transactions</w:t>
      </w:r>
    </w:p>
    <w:p>
      <w:pPr>
        <w:spacing w:after="0" w:line="160" w:lineRule="exact"/>
        <w:rPr>
          <w:sz w:val="20"/>
          <w:szCs w:val="20"/>
          <w:color w:val="auto"/>
        </w:rPr>
      </w:pPr>
    </w:p>
    <w:p>
      <w:pPr>
        <w:ind w:left="580" w:right="639" w:firstLine="349"/>
        <w:spacing w:after="0" w:line="270" w:lineRule="auto"/>
        <w:rPr>
          <w:sz w:val="20"/>
          <w:szCs w:val="20"/>
          <w:color w:val="auto"/>
        </w:rPr>
      </w:pPr>
      <w:r>
        <w:rPr>
          <w:rFonts w:ascii="Times New Roman" w:cs="Times New Roman" w:eastAsia="Times New Roman" w:hAnsi="Times New Roman"/>
          <w:sz w:val="17"/>
          <w:szCs w:val="17"/>
          <w:color w:val="auto"/>
        </w:rPr>
        <w:t>In accordance with its charter, the Audit Committee is responsible for approving and overseeing any related-person transaction. We intend to ensure that all future transactions between us and our officers, directors and principal stockholders and their affiliates are approved by the Audit Committee on terms no less favorable to us than those that we could obtain from unaffiliated third parties.</w:t>
      </w:r>
    </w:p>
    <w:p>
      <w:pPr>
        <w:spacing w:after="0" w:line="103" w:lineRule="exact"/>
        <w:rPr>
          <w:sz w:val="20"/>
          <w:szCs w:val="20"/>
          <w:color w:val="auto"/>
        </w:rPr>
      </w:pPr>
    </w:p>
    <w:p>
      <w:pPr>
        <w:ind w:left="580" w:right="1279" w:firstLine="349"/>
        <w:spacing w:after="0" w:line="296" w:lineRule="auto"/>
        <w:rPr>
          <w:sz w:val="20"/>
          <w:szCs w:val="20"/>
          <w:color w:val="auto"/>
        </w:rPr>
      </w:pPr>
      <w:r>
        <w:rPr>
          <w:rFonts w:ascii="Times New Roman" w:cs="Times New Roman" w:eastAsia="Times New Roman" w:hAnsi="Times New Roman"/>
          <w:sz w:val="17"/>
          <w:szCs w:val="17"/>
          <w:color w:val="auto"/>
        </w:rPr>
        <w:t>For purposes of these procedures, the terms “related person” and “transaction” have the meanings contained in Item 404 of Regulation S-K.</w:t>
      </w:r>
    </w:p>
    <w:p>
      <w:pPr>
        <w:spacing w:after="0" w:line="6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7"/>
          <w:szCs w:val="17"/>
          <w:color w:val="auto"/>
        </w:rPr>
        <w:t>The individuals and entities that are considered “related persons” include:</w:t>
      </w:r>
    </w:p>
    <w:p>
      <w:pPr>
        <w:spacing w:after="0" w:line="158" w:lineRule="exact"/>
        <w:rPr>
          <w:sz w:val="20"/>
          <w:szCs w:val="20"/>
          <w:color w:val="auto"/>
        </w:rPr>
      </w:pPr>
    </w:p>
    <w:p>
      <w:pPr>
        <w:ind w:left="1120" w:hanging="196"/>
        <w:spacing w:after="0"/>
        <w:tabs>
          <w:tab w:leader="none" w:pos="1120"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Directors, nominees for director and executive officers of Fortinet;</w:t>
      </w:r>
    </w:p>
    <w:p>
      <w:pPr>
        <w:spacing w:after="0" w:line="158" w:lineRule="exact"/>
        <w:rPr>
          <w:rFonts w:ascii="Times New Roman" w:cs="Times New Roman" w:eastAsia="Times New Roman" w:hAnsi="Times New Roman"/>
          <w:sz w:val="17"/>
          <w:szCs w:val="17"/>
          <w:color w:val="auto"/>
        </w:rPr>
      </w:pPr>
    </w:p>
    <w:p>
      <w:pPr>
        <w:ind w:left="1100" w:right="939" w:hanging="176"/>
        <w:spacing w:after="0" w:line="296" w:lineRule="auto"/>
        <w:tabs>
          <w:tab w:leader="none" w:pos="1117"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person known to be the beneficial owner of more than five percent of Fortinet’s common stock (a “5% Stockholder”); and</w:t>
      </w:r>
    </w:p>
    <w:p>
      <w:pPr>
        <w:spacing w:after="0" w:line="67" w:lineRule="exact"/>
        <w:rPr>
          <w:rFonts w:ascii="Times New Roman" w:cs="Times New Roman" w:eastAsia="Times New Roman" w:hAnsi="Times New Roman"/>
          <w:sz w:val="17"/>
          <w:szCs w:val="17"/>
          <w:color w:val="auto"/>
        </w:rPr>
      </w:pPr>
    </w:p>
    <w:p>
      <w:pPr>
        <w:ind w:left="1100" w:right="719" w:hanging="176"/>
        <w:spacing w:after="0" w:line="296" w:lineRule="auto"/>
        <w:tabs>
          <w:tab w:leader="none" w:pos="1074"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immediate family member, as defined in Item 404(a) of Regulation S-K, of a director, nominee for director, executive officer and 5% Stockholder.</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6" w:name="page67"/>
    <w:bookmarkEnd w:id="66"/>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DELINQUENT SECTION 16(A) REPORTS</w:t>
      </w:r>
    </w:p>
    <w:p>
      <w:pPr>
        <w:spacing w:after="0" w:line="147" w:lineRule="exact"/>
        <w:rPr>
          <w:sz w:val="20"/>
          <w:szCs w:val="20"/>
          <w:color w:val="auto"/>
        </w:rPr>
      </w:pPr>
    </w:p>
    <w:p>
      <w:pPr>
        <w:ind w:left="580" w:right="619" w:firstLine="349"/>
        <w:spacing w:after="0" w:line="262" w:lineRule="auto"/>
        <w:rPr>
          <w:sz w:val="20"/>
          <w:szCs w:val="20"/>
          <w:color w:val="auto"/>
        </w:rPr>
      </w:pPr>
      <w:r>
        <w:rPr>
          <w:rFonts w:ascii="Times New Roman" w:cs="Times New Roman" w:eastAsia="Times New Roman" w:hAnsi="Times New Roman"/>
          <w:sz w:val="17"/>
          <w:szCs w:val="17"/>
          <w:color w:val="auto"/>
        </w:rPr>
        <w:t>Under Section 16 of the Exchange Act, Fortinet’s directors, certain officers and any persons holding more than ten percent of Fortinet’s common stock are required to report initial ownership of Fortinet common stock and any subsequent changes in ownership to the SEC. Specific due dates have been established by the SEC, and Fortinet is required to disclose in this proxy statement any failure to file required ownership reports by these dates. Based solely on a review of the reports furnished to Fortinet, or written representations from reporting persons that all reportable transaction were reported, Fortinet believes that during the fiscal year ended December 31, 2025, Fortinet’s directors, certain officers and greater than ten percent owners timely filed all reports they were required to file under Section 16(a).</w:t>
      </w:r>
    </w:p>
    <w:p>
      <w:pPr>
        <w:spacing w:after="0" w:line="113" w:lineRule="exact"/>
        <w:rPr>
          <w:sz w:val="20"/>
          <w:szCs w:val="20"/>
          <w:color w:val="auto"/>
        </w:rPr>
      </w:pPr>
    </w:p>
    <w:p>
      <w:pPr>
        <w:ind w:left="580" w:right="579" w:firstLine="349"/>
        <w:spacing w:after="0" w:line="266" w:lineRule="auto"/>
        <w:rPr>
          <w:sz w:val="20"/>
          <w:szCs w:val="20"/>
          <w:color w:val="auto"/>
        </w:rPr>
      </w:pPr>
      <w:r>
        <w:rPr>
          <w:rFonts w:ascii="Times New Roman" w:cs="Times New Roman" w:eastAsia="Times New Roman" w:hAnsi="Times New Roman"/>
          <w:sz w:val="17"/>
          <w:szCs w:val="17"/>
          <w:color w:val="auto"/>
        </w:rPr>
        <w:t>In addition, Fortinet has become aware of the following delinquencies from prior years: late Forms 5 were filed on February 17, 2026 (i) by Ming Hsieh to report two purchases by two trusts for which Ming Hsieh is a trustee of 80 shares of Fortinet’s common stock each on September 9, 2020, (ii) by Ming Hsieh to report two sales by two trusts for which Ming Hsieh is a trustee of 55 shares of Fortinet’s common stock each on March 11, 2022, and (iii) by Michael Xie to report a gift of 40,000 shares of Fortinet’s common stock made on December 4, 2024.</w:t>
      </w: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7" w:name="page68"/>
    <w:bookmarkEnd w:id="67"/>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OWNERSHIP OF SECURITIES</w:t>
      </w:r>
    </w:p>
    <w:p>
      <w:pPr>
        <w:spacing w:after="0" w:line="160" w:lineRule="exact"/>
        <w:rPr>
          <w:sz w:val="20"/>
          <w:szCs w:val="20"/>
          <w:color w:val="auto"/>
        </w:rPr>
      </w:pPr>
    </w:p>
    <w:p>
      <w:pPr>
        <w:ind w:left="580" w:right="619" w:firstLine="349"/>
        <w:spacing w:after="0" w:line="296" w:lineRule="auto"/>
        <w:rPr>
          <w:sz w:val="20"/>
          <w:szCs w:val="20"/>
          <w:color w:val="auto"/>
        </w:rPr>
      </w:pPr>
      <w:r>
        <w:rPr>
          <w:rFonts w:ascii="Times New Roman" w:cs="Times New Roman" w:eastAsia="Times New Roman" w:hAnsi="Times New Roman"/>
          <w:sz w:val="17"/>
          <w:szCs w:val="17"/>
          <w:color w:val="auto"/>
        </w:rPr>
        <w:t>The following table sets forth certain information regarding the beneficial ownership of Fortinet’s common stock, as of March 31, 2026, for the following:</w:t>
      </w:r>
    </w:p>
    <w:p>
      <w:pPr>
        <w:spacing w:after="0" w:line="81" w:lineRule="exact"/>
        <w:rPr>
          <w:sz w:val="20"/>
          <w:szCs w:val="20"/>
          <w:color w:val="auto"/>
        </w:rPr>
      </w:pPr>
    </w:p>
    <w:p>
      <w:pPr>
        <w:ind w:left="1100" w:right="839" w:hanging="176"/>
        <w:spacing w:after="0" w:line="296" w:lineRule="auto"/>
        <w:tabs>
          <w:tab w:leader="none" w:pos="1117"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person (or group of affiliated persons) who is known by us to beneficially own more than 5% of the outstanding shares of our common stock;</w:t>
      </w:r>
    </w:p>
    <w:p>
      <w:pPr>
        <w:spacing w:after="0" w:line="67" w:lineRule="exact"/>
        <w:rPr>
          <w:rFonts w:ascii="Times New Roman" w:cs="Times New Roman" w:eastAsia="Times New Roman" w:hAnsi="Times New Roman"/>
          <w:sz w:val="17"/>
          <w:szCs w:val="17"/>
          <w:color w:val="auto"/>
        </w:rPr>
      </w:pPr>
    </w:p>
    <w:p>
      <w:pPr>
        <w:ind w:left="1120" w:hanging="196"/>
        <w:spacing w:after="0"/>
        <w:tabs>
          <w:tab w:leader="none" w:pos="1120"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of our non-employee directors and nominees;</w:t>
      </w:r>
    </w:p>
    <w:p>
      <w:pPr>
        <w:spacing w:after="0" w:line="158" w:lineRule="exact"/>
        <w:rPr>
          <w:rFonts w:ascii="Times New Roman" w:cs="Times New Roman" w:eastAsia="Times New Roman" w:hAnsi="Times New Roman"/>
          <w:sz w:val="17"/>
          <w:szCs w:val="17"/>
          <w:color w:val="auto"/>
        </w:rPr>
      </w:pPr>
    </w:p>
    <w:p>
      <w:pPr>
        <w:ind w:left="1120" w:hanging="196"/>
        <w:spacing w:after="0"/>
        <w:tabs>
          <w:tab w:leader="none" w:pos="1120"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of our executive officers named in the Summary Compensation Table of this Proxy Statement; and</w:t>
      </w:r>
    </w:p>
    <w:p>
      <w:pPr>
        <w:spacing w:after="0" w:line="158" w:lineRule="exact"/>
        <w:rPr>
          <w:rFonts w:ascii="Times New Roman" w:cs="Times New Roman" w:eastAsia="Times New Roman" w:hAnsi="Times New Roman"/>
          <w:sz w:val="17"/>
          <w:szCs w:val="17"/>
          <w:color w:val="auto"/>
        </w:rPr>
      </w:pPr>
    </w:p>
    <w:p>
      <w:pPr>
        <w:ind w:left="1120" w:hanging="196"/>
        <w:spacing w:after="0"/>
        <w:tabs>
          <w:tab w:leader="none" w:pos="1120"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directors and current executive officers of Fortinet as a group.</w:t>
      </w:r>
    </w:p>
    <w:p>
      <w:pPr>
        <w:spacing w:after="0" w:line="174"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Shares Beneficially</w:t>
            </w:r>
          </w:p>
        </w:tc>
        <w:tc>
          <w:tcPr>
            <w:tcW w:w="1600" w:type="dxa"/>
            <w:vAlign w:val="bottom"/>
          </w:tcPr>
          <w:p>
            <w:pPr>
              <w:jc w:val="right"/>
              <w:ind w:right="43"/>
              <w:spacing w:after="0"/>
              <w:rPr>
                <w:sz w:val="20"/>
                <w:szCs w:val="20"/>
                <w:color w:val="auto"/>
              </w:rPr>
            </w:pPr>
            <w:r>
              <w:rPr>
                <w:rFonts w:ascii="Times New Roman" w:cs="Times New Roman" w:eastAsia="Times New Roman" w:hAnsi="Times New Roman"/>
                <w:sz w:val="14"/>
                <w:szCs w:val="14"/>
                <w:b w:val="1"/>
                <w:bCs w:val="1"/>
                <w:color w:val="auto"/>
              </w:rPr>
              <w:t>Percentage Beneficially</w:t>
            </w:r>
          </w:p>
        </w:tc>
      </w:tr>
      <w:tr>
        <w:trPr>
          <w:trHeight w:val="208"/>
        </w:trPr>
        <w:tc>
          <w:tcPr>
            <w:tcW w:w="4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5% Stockholders, Directors, Director Nominees and Officers</w:t>
            </w:r>
            <w:r>
              <w:rPr>
                <w:rFonts w:ascii="Times New Roman" w:cs="Times New Roman" w:eastAsia="Times New Roman" w:hAnsi="Times New Roman"/>
                <w:sz w:val="16"/>
                <w:szCs w:val="16"/>
                <w:b w:val="1"/>
                <w:bCs w:val="1"/>
                <w:color w:val="auto"/>
                <w:vertAlign w:val="superscript"/>
              </w:rPr>
              <w:t>(1)</w:t>
            </w:r>
          </w:p>
        </w:tc>
        <w:tc>
          <w:tcPr>
            <w:tcW w:w="100" w:type="dxa"/>
            <w:vAlign w:val="bottom"/>
            <w:tcBorders>
              <w:bottom w:val="single" w:sz="8" w:color="CDE9F6"/>
            </w:tcBorders>
          </w:tcPr>
          <w:p>
            <w:pPr>
              <w:spacing w:after="0"/>
              <w:rPr>
                <w:sz w:val="18"/>
                <w:szCs w:val="18"/>
                <w:color w:val="auto"/>
              </w:rPr>
            </w:pPr>
          </w:p>
        </w:tc>
        <w:tc>
          <w:tcPr>
            <w:tcW w:w="124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4"/>
                <w:szCs w:val="14"/>
                <w:b w:val="1"/>
                <w:bCs w:val="1"/>
                <w:color w:val="auto"/>
              </w:rPr>
              <w:t>Owned (#)</w:t>
            </w:r>
            <w:r>
              <w:rPr>
                <w:rFonts w:ascii="Times New Roman" w:cs="Times New Roman" w:eastAsia="Times New Roman" w:hAnsi="Times New Roman"/>
                <w:sz w:val="16"/>
                <w:szCs w:val="16"/>
                <w:b w:val="1"/>
                <w:bCs w:val="1"/>
                <w:color w:val="auto"/>
                <w:vertAlign w:val="superscript"/>
              </w:rPr>
              <w:t>(2)</w:t>
            </w:r>
          </w:p>
        </w:tc>
        <w:tc>
          <w:tcPr>
            <w:tcW w:w="80" w:type="dxa"/>
            <w:vAlign w:val="bottom"/>
            <w:tcBorders>
              <w:bottom w:val="single" w:sz="8" w:color="CDE9F6"/>
            </w:tcBorders>
          </w:tcPr>
          <w:p>
            <w:pPr>
              <w:spacing w:after="0"/>
              <w:rPr>
                <w:sz w:val="18"/>
                <w:szCs w:val="18"/>
                <w:color w:val="auto"/>
              </w:rPr>
            </w:pPr>
          </w:p>
        </w:tc>
        <w:tc>
          <w:tcPr>
            <w:tcW w:w="1600" w:type="dxa"/>
            <w:vAlign w:val="bottom"/>
            <w:tcBorders>
              <w:bottom w:val="single" w:sz="8" w:color="auto"/>
            </w:tcBorders>
          </w:tcPr>
          <w:p>
            <w:pPr>
              <w:jc w:val="right"/>
              <w:ind w:right="323"/>
              <w:spacing w:after="0"/>
              <w:rPr>
                <w:sz w:val="20"/>
                <w:szCs w:val="20"/>
                <w:color w:val="auto"/>
              </w:rPr>
            </w:pPr>
            <w:r>
              <w:rPr>
                <w:rFonts w:ascii="Times New Roman" w:cs="Times New Roman" w:eastAsia="Times New Roman" w:hAnsi="Times New Roman"/>
                <w:sz w:val="14"/>
                <w:szCs w:val="14"/>
                <w:b w:val="1"/>
                <w:bCs w:val="1"/>
                <w:color w:val="auto"/>
              </w:rPr>
              <w:t>Owned (%)</w:t>
            </w:r>
            <w:r>
              <w:rPr>
                <w:rFonts w:ascii="Times New Roman" w:cs="Times New Roman" w:eastAsia="Times New Roman" w:hAnsi="Times New Roman"/>
                <w:sz w:val="16"/>
                <w:szCs w:val="16"/>
                <w:b w:val="1"/>
                <w:bCs w:val="1"/>
                <w:color w:val="auto"/>
                <w:vertAlign w:val="superscript"/>
              </w:rPr>
              <w:t>(2)</w:t>
            </w:r>
          </w:p>
        </w:tc>
      </w:tr>
      <w:tr>
        <w:trPr>
          <w:trHeight w:val="248"/>
        </w:trPr>
        <w:tc>
          <w:tcPr>
            <w:tcW w:w="4940" w:type="dxa"/>
            <w:vAlign w:val="bottom"/>
            <w:tcBorders>
              <w:bottom w:val="single" w:sz="8" w:color="CDE9F6"/>
            </w:tcBorders>
            <w:gridSpan w:val="2"/>
            <w:shd w:val="clear" w:color="auto" w:fill="CDE9F6"/>
          </w:tcPr>
          <w:p>
            <w:pPr>
              <w:spacing w:after="0"/>
              <w:rPr>
                <w:sz w:val="20"/>
                <w:szCs w:val="20"/>
                <w:color w:val="auto"/>
              </w:rPr>
            </w:pPr>
            <w:r>
              <w:rPr>
                <w:rFonts w:ascii="Times New Roman" w:cs="Times New Roman" w:eastAsia="Times New Roman" w:hAnsi="Times New Roman"/>
                <w:sz w:val="16"/>
                <w:szCs w:val="16"/>
                <w:b w:val="1"/>
                <w:bCs w:val="1"/>
                <w:color w:val="auto"/>
              </w:rPr>
              <w:t>5% Stockholders:</w:t>
            </w:r>
          </w:p>
        </w:tc>
        <w:tc>
          <w:tcPr>
            <w:tcW w:w="1240" w:type="dxa"/>
            <w:vAlign w:val="bottom"/>
            <w:tcBorders>
              <w:bottom w:val="single" w:sz="8" w:color="CDE9F6"/>
            </w:tcBorders>
            <w:shd w:val="clear" w:color="auto" w:fill="CDE9F6"/>
          </w:tcPr>
          <w:p>
            <w:pPr>
              <w:spacing w:after="0"/>
              <w:rPr>
                <w:sz w:val="21"/>
                <w:szCs w:val="21"/>
                <w:color w:val="auto"/>
              </w:rPr>
            </w:pPr>
          </w:p>
        </w:tc>
        <w:tc>
          <w:tcPr>
            <w:tcW w:w="80" w:type="dxa"/>
            <w:vAlign w:val="bottom"/>
            <w:tcBorders>
              <w:bottom w:val="single" w:sz="8" w:color="CDE9F6"/>
            </w:tcBorders>
            <w:shd w:val="clear" w:color="auto" w:fill="CDE9F6"/>
          </w:tcPr>
          <w:p>
            <w:pPr>
              <w:spacing w:after="0"/>
              <w:rPr>
                <w:sz w:val="21"/>
                <w:szCs w:val="21"/>
                <w:color w:val="auto"/>
              </w:rPr>
            </w:pPr>
          </w:p>
        </w:tc>
        <w:tc>
          <w:tcPr>
            <w:tcW w:w="1600" w:type="dxa"/>
            <w:vAlign w:val="bottom"/>
            <w:tcBorders>
              <w:bottom w:val="single" w:sz="8" w:color="CDE9F6"/>
            </w:tcBorders>
            <w:shd w:val="clear" w:color="auto" w:fill="CDE9F6"/>
          </w:tcPr>
          <w:p>
            <w:pPr>
              <w:spacing w:after="0"/>
              <w:rPr>
                <w:sz w:val="21"/>
                <w:szCs w:val="21"/>
                <w:color w:val="auto"/>
              </w:rPr>
            </w:pPr>
          </w:p>
        </w:tc>
      </w:tr>
      <w:tr>
        <w:trPr>
          <w:trHeight w:val="275"/>
        </w:trPr>
        <w:tc>
          <w:tcPr>
            <w:tcW w:w="49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BlackRock, Inc.</w:t>
            </w:r>
            <w:r>
              <w:rPr>
                <w:rFonts w:ascii="Times New Roman" w:cs="Times New Roman" w:eastAsia="Times New Roman" w:hAnsi="Times New Roman"/>
                <w:sz w:val="20"/>
                <w:szCs w:val="20"/>
                <w:color w:val="auto"/>
                <w:vertAlign w:val="superscript"/>
              </w:rPr>
              <w:t>(3)</w:t>
            </w: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54,206,558</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w:t>
            </w:r>
          </w:p>
        </w:tc>
      </w:tr>
      <w:tr>
        <w:trPr>
          <w:trHeight w:val="255"/>
        </w:trPr>
        <w:tc>
          <w:tcPr>
            <w:tcW w:w="4940" w:type="dxa"/>
            <w:vAlign w:val="bottom"/>
            <w:tcBorders>
              <w:bottom w:val="single" w:sz="8" w:color="CDE9F6"/>
            </w:tcBorders>
            <w:gridSpan w:val="2"/>
            <w:shd w:val="clear" w:color="auto" w:fill="CDE9F6"/>
          </w:tcPr>
          <w:p>
            <w:pPr>
              <w:spacing w:after="0"/>
              <w:rPr>
                <w:sz w:val="20"/>
                <w:szCs w:val="20"/>
                <w:color w:val="auto"/>
              </w:rPr>
            </w:pPr>
            <w:r>
              <w:rPr>
                <w:rFonts w:ascii="Times New Roman" w:cs="Times New Roman" w:eastAsia="Times New Roman" w:hAnsi="Times New Roman"/>
                <w:sz w:val="16"/>
                <w:szCs w:val="16"/>
                <w:b w:val="1"/>
                <w:bCs w:val="1"/>
                <w:color w:val="auto"/>
              </w:rPr>
              <w:t>Non-Employee Directors and Nominees:</w:t>
            </w:r>
          </w:p>
        </w:tc>
        <w:tc>
          <w:tcPr>
            <w:tcW w:w="1240" w:type="dxa"/>
            <w:vAlign w:val="bottom"/>
            <w:tcBorders>
              <w:bottom w:val="single" w:sz="8" w:color="CDE9F6"/>
            </w:tcBorders>
            <w:shd w:val="clear" w:color="auto" w:fill="CDE9F6"/>
          </w:tcPr>
          <w:p>
            <w:pPr>
              <w:spacing w:after="0"/>
              <w:rPr>
                <w:sz w:val="22"/>
                <w:szCs w:val="22"/>
                <w:color w:val="auto"/>
              </w:rPr>
            </w:pPr>
          </w:p>
        </w:tc>
        <w:tc>
          <w:tcPr>
            <w:tcW w:w="80" w:type="dxa"/>
            <w:vAlign w:val="bottom"/>
            <w:tcBorders>
              <w:bottom w:val="single" w:sz="8" w:color="CDE9F6"/>
            </w:tcBorders>
            <w:shd w:val="clear" w:color="auto" w:fill="CDE9F6"/>
          </w:tcPr>
          <w:p>
            <w:pPr>
              <w:spacing w:after="0"/>
              <w:rPr>
                <w:sz w:val="22"/>
                <w:szCs w:val="22"/>
                <w:color w:val="auto"/>
              </w:rPr>
            </w:pPr>
          </w:p>
        </w:tc>
        <w:tc>
          <w:tcPr>
            <w:tcW w:w="1600" w:type="dxa"/>
            <w:vAlign w:val="bottom"/>
            <w:tcBorders>
              <w:bottom w:val="single" w:sz="8" w:color="CDE9F6"/>
            </w:tcBorders>
            <w:shd w:val="clear" w:color="auto" w:fill="CDE9F6"/>
          </w:tcPr>
          <w:p>
            <w:pPr>
              <w:spacing w:after="0"/>
              <w:rPr>
                <w:sz w:val="22"/>
                <w:szCs w:val="22"/>
                <w:color w:val="auto"/>
              </w:rPr>
            </w:pPr>
          </w:p>
        </w:tc>
      </w:tr>
      <w:tr>
        <w:trPr>
          <w:trHeight w:val="275"/>
        </w:trPr>
        <w:tc>
          <w:tcPr>
            <w:tcW w:w="49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Kenneth A. Goldman</w:t>
            </w:r>
            <w:r>
              <w:rPr>
                <w:rFonts w:ascii="Times New Roman" w:cs="Times New Roman" w:eastAsia="Times New Roman" w:hAnsi="Times New Roman"/>
                <w:sz w:val="20"/>
                <w:szCs w:val="20"/>
                <w:color w:val="auto"/>
                <w:vertAlign w:val="superscript"/>
              </w:rPr>
              <w:t>(4)</w:t>
            </w: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44,569</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75"/>
        </w:trPr>
        <w:tc>
          <w:tcPr>
            <w:tcW w:w="4940" w:type="dxa"/>
            <w:vAlign w:val="bottom"/>
            <w:gridSpan w:val="2"/>
            <w:shd w:val="clear" w:color="auto" w:fill="CDE9F6"/>
          </w:tcPr>
          <w:p>
            <w:pPr>
              <w:spacing w:after="0"/>
              <w:rPr>
                <w:sz w:val="20"/>
                <w:szCs w:val="20"/>
                <w:color w:val="auto"/>
              </w:rPr>
            </w:pPr>
            <w:r>
              <w:rPr>
                <w:rFonts w:ascii="Times New Roman" w:cs="Times New Roman" w:eastAsia="Times New Roman" w:hAnsi="Times New Roman"/>
                <w:sz w:val="16"/>
                <w:szCs w:val="16"/>
                <w:color w:val="auto"/>
              </w:rPr>
              <w:t>Ming Hsieh</w:t>
            </w:r>
            <w:r>
              <w:rPr>
                <w:rFonts w:ascii="Times New Roman" w:cs="Times New Roman" w:eastAsia="Times New Roman" w:hAnsi="Times New Roman"/>
                <w:sz w:val="20"/>
                <w:szCs w:val="20"/>
                <w:color w:val="auto"/>
                <w:vertAlign w:val="superscript"/>
              </w:rPr>
              <w:t>(5)</w:t>
            </w:r>
          </w:p>
        </w:tc>
        <w:tc>
          <w:tcPr>
            <w:tcW w:w="1320" w:type="dxa"/>
            <w:vAlign w:val="bottom"/>
            <w:gridSpan w:val="2"/>
            <w:shd w:val="clear" w:color="auto" w:fill="CDE9F6"/>
          </w:tcPr>
          <w:p>
            <w:pPr>
              <w:jc w:val="right"/>
              <w:ind w:right="80"/>
              <w:spacing w:after="0"/>
              <w:rPr>
                <w:sz w:val="20"/>
                <w:szCs w:val="20"/>
                <w:color w:val="auto"/>
              </w:rPr>
            </w:pPr>
            <w:r>
              <w:rPr>
                <w:rFonts w:ascii="Times New Roman" w:cs="Times New Roman" w:eastAsia="Times New Roman" w:hAnsi="Times New Roman"/>
                <w:sz w:val="16"/>
                <w:szCs w:val="16"/>
                <w:color w:val="auto"/>
              </w:rPr>
              <w:t>62,222</w:t>
            </w:r>
          </w:p>
        </w:tc>
        <w:tc>
          <w:tcPr>
            <w:tcW w:w="1600" w:type="dxa"/>
            <w:vAlign w:val="bottom"/>
            <w:shd w:val="clear" w:color="auto" w:fill="CDE9F6"/>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1"/>
        </w:trPr>
        <w:tc>
          <w:tcPr>
            <w:tcW w:w="49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Jean Hu</w:t>
            </w: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38,399</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44"/>
        </w:trPr>
        <w:tc>
          <w:tcPr>
            <w:tcW w:w="4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0" w:type="dxa"/>
            <w:vAlign w:val="bottom"/>
          </w:tcPr>
          <w:p>
            <w:pPr>
              <w:spacing w:after="0"/>
              <w:rPr>
                <w:sz w:val="3"/>
                <w:szCs w:val="3"/>
                <w:color w:val="auto"/>
              </w:rPr>
            </w:pPr>
          </w:p>
        </w:tc>
      </w:tr>
      <w:tr>
        <w:trPr>
          <w:trHeight w:val="255"/>
        </w:trPr>
        <w:tc>
          <w:tcPr>
            <w:tcW w:w="4940" w:type="dxa"/>
            <w:vAlign w:val="bottom"/>
            <w:tcBorders>
              <w:bottom w:val="single" w:sz="8" w:color="CDE9F6"/>
            </w:tcBorders>
            <w:gridSpan w:val="2"/>
            <w:shd w:val="clear" w:color="auto" w:fill="CDE9F6"/>
          </w:tcPr>
          <w:p>
            <w:pPr>
              <w:spacing w:after="0"/>
              <w:rPr>
                <w:sz w:val="20"/>
                <w:szCs w:val="20"/>
                <w:color w:val="auto"/>
              </w:rPr>
            </w:pPr>
            <w:r>
              <w:rPr>
                <w:rFonts w:ascii="Times New Roman" w:cs="Times New Roman" w:eastAsia="Times New Roman" w:hAnsi="Times New Roman"/>
                <w:sz w:val="16"/>
                <w:szCs w:val="16"/>
                <w:color w:val="auto"/>
              </w:rPr>
              <w:t>Judith Sim</w:t>
            </w:r>
          </w:p>
        </w:tc>
        <w:tc>
          <w:tcPr>
            <w:tcW w:w="1320" w:type="dxa"/>
            <w:vAlign w:val="bottom"/>
            <w:tcBorders>
              <w:bottom w:val="single" w:sz="8" w:color="CDE9F6"/>
            </w:tcBorders>
            <w:gridSpan w:val="2"/>
            <w:shd w:val="clear" w:color="auto" w:fill="CDE9F6"/>
          </w:tcPr>
          <w:p>
            <w:pPr>
              <w:jc w:val="right"/>
              <w:ind w:right="80"/>
              <w:spacing w:after="0"/>
              <w:rPr>
                <w:sz w:val="20"/>
                <w:szCs w:val="20"/>
                <w:color w:val="auto"/>
              </w:rPr>
            </w:pPr>
            <w:r>
              <w:rPr>
                <w:rFonts w:ascii="Times New Roman" w:cs="Times New Roman" w:eastAsia="Times New Roman" w:hAnsi="Times New Roman"/>
                <w:sz w:val="16"/>
                <w:szCs w:val="16"/>
                <w:color w:val="auto"/>
              </w:rPr>
              <w:t>128,892</w:t>
            </w:r>
          </w:p>
        </w:tc>
        <w:tc>
          <w:tcPr>
            <w:tcW w:w="1600" w:type="dxa"/>
            <w:vAlign w:val="bottom"/>
            <w:tcBorders>
              <w:bottom w:val="single" w:sz="8" w:color="CDE9F6"/>
            </w:tcBorders>
            <w:shd w:val="clear" w:color="auto" w:fill="CDE9F6"/>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1"/>
        </w:trPr>
        <w:tc>
          <w:tcPr>
            <w:tcW w:w="49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Admiral James Stavridis (Ret)</w:t>
            </w: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16,539</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44"/>
        </w:trPr>
        <w:tc>
          <w:tcPr>
            <w:tcW w:w="4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0" w:type="dxa"/>
            <w:vAlign w:val="bottom"/>
          </w:tcPr>
          <w:p>
            <w:pPr>
              <w:spacing w:after="0"/>
              <w:rPr>
                <w:sz w:val="3"/>
                <w:szCs w:val="3"/>
                <w:color w:val="auto"/>
              </w:rPr>
            </w:pPr>
          </w:p>
        </w:tc>
      </w:tr>
      <w:tr>
        <w:trPr>
          <w:trHeight w:val="255"/>
        </w:trPr>
        <w:tc>
          <w:tcPr>
            <w:tcW w:w="4940" w:type="dxa"/>
            <w:vAlign w:val="bottom"/>
            <w:tcBorders>
              <w:bottom w:val="single" w:sz="8" w:color="CDE9F6"/>
            </w:tcBorders>
            <w:gridSpan w:val="2"/>
            <w:shd w:val="clear" w:color="auto" w:fill="CDE9F6"/>
          </w:tcPr>
          <w:p>
            <w:pPr>
              <w:spacing w:after="0"/>
              <w:rPr>
                <w:sz w:val="20"/>
                <w:szCs w:val="20"/>
                <w:color w:val="auto"/>
              </w:rPr>
            </w:pPr>
            <w:r>
              <w:rPr>
                <w:rFonts w:ascii="Times New Roman" w:cs="Times New Roman" w:eastAsia="Times New Roman" w:hAnsi="Times New Roman"/>
                <w:sz w:val="16"/>
                <w:szCs w:val="16"/>
                <w:color w:val="auto"/>
              </w:rPr>
              <w:t>Janet Napolitano</w:t>
            </w:r>
          </w:p>
        </w:tc>
        <w:tc>
          <w:tcPr>
            <w:tcW w:w="1320" w:type="dxa"/>
            <w:vAlign w:val="bottom"/>
            <w:tcBorders>
              <w:bottom w:val="single" w:sz="8" w:color="CDE9F6"/>
            </w:tcBorders>
            <w:gridSpan w:val="2"/>
            <w:shd w:val="clear" w:color="auto" w:fill="CDE9F6"/>
          </w:tcPr>
          <w:p>
            <w:pPr>
              <w:jc w:val="right"/>
              <w:ind w:right="80"/>
              <w:spacing w:after="0"/>
              <w:rPr>
                <w:sz w:val="20"/>
                <w:szCs w:val="20"/>
                <w:color w:val="auto"/>
              </w:rPr>
            </w:pPr>
            <w:r>
              <w:rPr>
                <w:rFonts w:ascii="Times New Roman" w:cs="Times New Roman" w:eastAsia="Times New Roman" w:hAnsi="Times New Roman"/>
                <w:sz w:val="16"/>
                <w:szCs w:val="16"/>
                <w:color w:val="auto"/>
              </w:rPr>
              <w:t>3,624</w:t>
            </w:r>
          </w:p>
        </w:tc>
        <w:tc>
          <w:tcPr>
            <w:tcW w:w="1600" w:type="dxa"/>
            <w:vAlign w:val="bottom"/>
            <w:tcBorders>
              <w:bottom w:val="single" w:sz="8" w:color="CDE9F6"/>
            </w:tcBorders>
            <w:shd w:val="clear" w:color="auto" w:fill="CDE9F6"/>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1"/>
        </w:trPr>
        <w:tc>
          <w:tcPr>
            <w:tcW w:w="49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Derek Kan</w:t>
            </w: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44"/>
        </w:trPr>
        <w:tc>
          <w:tcPr>
            <w:tcW w:w="4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0" w:type="dxa"/>
            <w:vAlign w:val="bottom"/>
          </w:tcPr>
          <w:p>
            <w:pPr>
              <w:spacing w:after="0"/>
              <w:rPr>
                <w:sz w:val="3"/>
                <w:szCs w:val="3"/>
                <w:color w:val="auto"/>
              </w:rPr>
            </w:pPr>
          </w:p>
        </w:tc>
      </w:tr>
      <w:tr>
        <w:trPr>
          <w:trHeight w:val="255"/>
        </w:trPr>
        <w:tc>
          <w:tcPr>
            <w:tcW w:w="4940" w:type="dxa"/>
            <w:vAlign w:val="bottom"/>
            <w:tcBorders>
              <w:bottom w:val="single" w:sz="8" w:color="CDE9F6"/>
            </w:tcBorders>
            <w:gridSpan w:val="2"/>
            <w:shd w:val="clear" w:color="auto" w:fill="CDE9F6"/>
          </w:tcPr>
          <w:p>
            <w:pPr>
              <w:spacing w:after="0"/>
              <w:rPr>
                <w:sz w:val="20"/>
                <w:szCs w:val="20"/>
                <w:color w:val="auto"/>
              </w:rPr>
            </w:pPr>
            <w:r>
              <w:rPr>
                <w:rFonts w:ascii="Times New Roman" w:cs="Times New Roman" w:eastAsia="Times New Roman" w:hAnsi="Times New Roman"/>
                <w:sz w:val="16"/>
                <w:szCs w:val="16"/>
                <w:b w:val="1"/>
                <w:bCs w:val="1"/>
                <w:color w:val="auto"/>
              </w:rPr>
              <w:t>Named Executive Officers:</w:t>
            </w:r>
          </w:p>
        </w:tc>
        <w:tc>
          <w:tcPr>
            <w:tcW w:w="1240" w:type="dxa"/>
            <w:vAlign w:val="bottom"/>
            <w:tcBorders>
              <w:bottom w:val="single" w:sz="8" w:color="CDE9F6"/>
            </w:tcBorders>
            <w:shd w:val="clear" w:color="auto" w:fill="CDE9F6"/>
          </w:tcPr>
          <w:p>
            <w:pPr>
              <w:spacing w:after="0"/>
              <w:rPr>
                <w:sz w:val="22"/>
                <w:szCs w:val="22"/>
                <w:color w:val="auto"/>
              </w:rPr>
            </w:pPr>
          </w:p>
        </w:tc>
        <w:tc>
          <w:tcPr>
            <w:tcW w:w="80" w:type="dxa"/>
            <w:vAlign w:val="bottom"/>
            <w:tcBorders>
              <w:bottom w:val="single" w:sz="8" w:color="CDE9F6"/>
            </w:tcBorders>
            <w:shd w:val="clear" w:color="auto" w:fill="CDE9F6"/>
          </w:tcPr>
          <w:p>
            <w:pPr>
              <w:spacing w:after="0"/>
              <w:rPr>
                <w:sz w:val="22"/>
                <w:szCs w:val="22"/>
                <w:color w:val="auto"/>
              </w:rPr>
            </w:pPr>
          </w:p>
        </w:tc>
        <w:tc>
          <w:tcPr>
            <w:tcW w:w="1600" w:type="dxa"/>
            <w:vAlign w:val="bottom"/>
            <w:tcBorders>
              <w:bottom w:val="single" w:sz="8" w:color="CDE9F6"/>
            </w:tcBorders>
            <w:shd w:val="clear" w:color="auto" w:fill="CDE9F6"/>
          </w:tcPr>
          <w:p>
            <w:pPr>
              <w:spacing w:after="0"/>
              <w:rPr>
                <w:sz w:val="22"/>
                <w:szCs w:val="22"/>
                <w:color w:val="auto"/>
              </w:rPr>
            </w:pPr>
          </w:p>
        </w:tc>
      </w:tr>
      <w:tr>
        <w:trPr>
          <w:trHeight w:val="275"/>
        </w:trPr>
        <w:tc>
          <w:tcPr>
            <w:tcW w:w="49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Ken Xie</w:t>
            </w:r>
            <w:r>
              <w:rPr>
                <w:rFonts w:ascii="Times New Roman" w:cs="Times New Roman" w:eastAsia="Times New Roman" w:hAnsi="Times New Roman"/>
                <w:sz w:val="20"/>
                <w:szCs w:val="20"/>
                <w:color w:val="auto"/>
                <w:vertAlign w:val="superscript"/>
              </w:rPr>
              <w:t>(6)</w:t>
            </w: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72,188,518</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w:t>
            </w:r>
          </w:p>
        </w:tc>
      </w:tr>
      <w:tr>
        <w:trPr>
          <w:trHeight w:val="275"/>
        </w:trPr>
        <w:tc>
          <w:tcPr>
            <w:tcW w:w="4940" w:type="dxa"/>
            <w:vAlign w:val="bottom"/>
            <w:gridSpan w:val="2"/>
            <w:shd w:val="clear" w:color="auto" w:fill="CDE9F6"/>
          </w:tcPr>
          <w:p>
            <w:pPr>
              <w:spacing w:after="0"/>
              <w:rPr>
                <w:sz w:val="20"/>
                <w:szCs w:val="20"/>
                <w:color w:val="auto"/>
              </w:rPr>
            </w:pPr>
            <w:r>
              <w:rPr>
                <w:rFonts w:ascii="Times New Roman" w:cs="Times New Roman" w:eastAsia="Times New Roman" w:hAnsi="Times New Roman"/>
                <w:sz w:val="16"/>
                <w:szCs w:val="16"/>
                <w:color w:val="auto"/>
              </w:rPr>
              <w:t>Michael Xie</w:t>
            </w:r>
            <w:r>
              <w:rPr>
                <w:rFonts w:ascii="Times New Roman" w:cs="Times New Roman" w:eastAsia="Times New Roman" w:hAnsi="Times New Roman"/>
                <w:sz w:val="20"/>
                <w:szCs w:val="20"/>
                <w:color w:val="auto"/>
                <w:vertAlign w:val="superscript"/>
              </w:rPr>
              <w:t>(7)</w:t>
            </w:r>
          </w:p>
        </w:tc>
        <w:tc>
          <w:tcPr>
            <w:tcW w:w="1320" w:type="dxa"/>
            <w:vAlign w:val="bottom"/>
            <w:gridSpan w:val="2"/>
            <w:shd w:val="clear" w:color="auto" w:fill="CDE9F6"/>
          </w:tcPr>
          <w:p>
            <w:pPr>
              <w:jc w:val="right"/>
              <w:ind w:right="80"/>
              <w:spacing w:after="0"/>
              <w:rPr>
                <w:sz w:val="20"/>
                <w:szCs w:val="20"/>
                <w:color w:val="auto"/>
              </w:rPr>
            </w:pPr>
            <w:r>
              <w:rPr>
                <w:rFonts w:ascii="Times New Roman" w:cs="Times New Roman" w:eastAsia="Times New Roman" w:hAnsi="Times New Roman"/>
                <w:sz w:val="16"/>
                <w:szCs w:val="16"/>
                <w:color w:val="auto"/>
              </w:rPr>
              <w:t>67,975,012</w:t>
            </w:r>
          </w:p>
        </w:tc>
        <w:tc>
          <w:tcPr>
            <w:tcW w:w="1600" w:type="dxa"/>
            <w:vAlign w:val="bottom"/>
            <w:shd w:val="clear" w:color="auto" w:fill="CDE9F6"/>
          </w:tcPr>
          <w:p>
            <w:pPr>
              <w:jc w:val="right"/>
              <w:spacing w:after="0"/>
              <w:rPr>
                <w:sz w:val="20"/>
                <w:szCs w:val="20"/>
                <w:color w:val="auto"/>
              </w:rPr>
            </w:pPr>
            <w:r>
              <w:rPr>
                <w:rFonts w:ascii="Times New Roman" w:cs="Times New Roman" w:eastAsia="Times New Roman" w:hAnsi="Times New Roman"/>
                <w:sz w:val="16"/>
                <w:szCs w:val="16"/>
                <w:color w:val="auto"/>
              </w:rPr>
              <w:t>9.3</w:t>
            </w:r>
          </w:p>
        </w:tc>
      </w:tr>
      <w:tr>
        <w:trPr>
          <w:trHeight w:val="275"/>
        </w:trPr>
        <w:tc>
          <w:tcPr>
            <w:tcW w:w="49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Christiane Ohlgart</w:t>
            </w:r>
            <w:r>
              <w:rPr>
                <w:rFonts w:ascii="Times New Roman" w:cs="Times New Roman" w:eastAsia="Times New Roman" w:hAnsi="Times New Roman"/>
                <w:sz w:val="20"/>
                <w:szCs w:val="20"/>
                <w:color w:val="auto"/>
                <w:vertAlign w:val="superscript"/>
              </w:rPr>
              <w:t>(8)</w:t>
            </w: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13,150</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75"/>
        </w:trPr>
        <w:tc>
          <w:tcPr>
            <w:tcW w:w="4940" w:type="dxa"/>
            <w:vAlign w:val="bottom"/>
            <w:gridSpan w:val="2"/>
            <w:shd w:val="clear" w:color="auto" w:fill="CDE9F6"/>
          </w:tcPr>
          <w:p>
            <w:pPr>
              <w:spacing w:after="0"/>
              <w:rPr>
                <w:sz w:val="20"/>
                <w:szCs w:val="20"/>
                <w:color w:val="auto"/>
              </w:rPr>
            </w:pPr>
            <w:r>
              <w:rPr>
                <w:rFonts w:ascii="Times New Roman" w:cs="Times New Roman" w:eastAsia="Times New Roman" w:hAnsi="Times New Roman"/>
                <w:sz w:val="16"/>
                <w:szCs w:val="16"/>
                <w:color w:val="auto"/>
              </w:rPr>
              <w:t>John Whittle</w:t>
            </w:r>
            <w:r>
              <w:rPr>
                <w:rFonts w:ascii="Times New Roman" w:cs="Times New Roman" w:eastAsia="Times New Roman" w:hAnsi="Times New Roman"/>
                <w:sz w:val="20"/>
                <w:szCs w:val="20"/>
                <w:color w:val="auto"/>
                <w:vertAlign w:val="superscript"/>
              </w:rPr>
              <w:t>(9)</w:t>
            </w:r>
          </w:p>
        </w:tc>
        <w:tc>
          <w:tcPr>
            <w:tcW w:w="1320" w:type="dxa"/>
            <w:vAlign w:val="bottom"/>
            <w:gridSpan w:val="2"/>
            <w:shd w:val="clear" w:color="auto" w:fill="CDE9F6"/>
          </w:tcPr>
          <w:p>
            <w:pPr>
              <w:jc w:val="right"/>
              <w:ind w:right="80"/>
              <w:spacing w:after="0"/>
              <w:rPr>
                <w:sz w:val="20"/>
                <w:szCs w:val="20"/>
                <w:color w:val="auto"/>
              </w:rPr>
            </w:pPr>
            <w:r>
              <w:rPr>
                <w:rFonts w:ascii="Times New Roman" w:cs="Times New Roman" w:eastAsia="Times New Roman" w:hAnsi="Times New Roman"/>
                <w:sz w:val="16"/>
                <w:szCs w:val="16"/>
                <w:color w:val="auto"/>
              </w:rPr>
              <w:t>299,748</w:t>
            </w:r>
          </w:p>
        </w:tc>
        <w:tc>
          <w:tcPr>
            <w:tcW w:w="1600" w:type="dxa"/>
            <w:vAlign w:val="bottom"/>
            <w:shd w:val="clear" w:color="auto" w:fill="CDE9F6"/>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90"/>
        </w:trPr>
        <w:tc>
          <w:tcPr>
            <w:tcW w:w="49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All current directors and executive officers as a group (10 persons)</w:t>
            </w:r>
            <w:r>
              <w:rPr>
                <w:rFonts w:ascii="Times New Roman" w:cs="Times New Roman" w:eastAsia="Times New Roman" w:hAnsi="Times New Roman"/>
                <w:sz w:val="20"/>
                <w:szCs w:val="20"/>
                <w:color w:val="auto"/>
                <w:vertAlign w:val="superscript"/>
              </w:rPr>
              <w:t>(10)</w:t>
            </w: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129,288,755</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w:t>
            </w:r>
          </w:p>
        </w:tc>
      </w:tr>
      <w:tr>
        <w:trPr>
          <w:trHeight w:val="230"/>
        </w:trPr>
        <w:tc>
          <w:tcPr>
            <w:tcW w:w="4840" w:type="dxa"/>
            <w:vAlign w:val="bottom"/>
          </w:tcPr>
          <w:p>
            <w:pPr>
              <w:spacing w:after="0"/>
              <w:rPr>
                <w:sz w:val="20"/>
                <w:szCs w:val="20"/>
                <w:color w:val="auto"/>
              </w:rPr>
            </w:pPr>
            <w:r>
              <w:rPr>
                <w:rFonts w:ascii="Times New Roman" w:cs="Times New Roman" w:eastAsia="Times New Roman" w:hAnsi="Times New Roman"/>
                <w:sz w:val="16"/>
                <w:szCs w:val="16"/>
                <w:color w:val="auto"/>
              </w:rPr>
              <w:t>________________________</w:t>
            </w: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0" w:type="dxa"/>
            <w:vAlign w:val="bottom"/>
          </w:tcPr>
          <w:p>
            <w:pPr>
              <w:spacing w:after="0"/>
              <w:rPr>
                <w:sz w:val="19"/>
                <w:szCs w:val="19"/>
                <w:color w:val="auto"/>
              </w:rPr>
            </w:pPr>
          </w:p>
        </w:tc>
      </w:tr>
    </w:tbl>
    <w:p>
      <w:pPr>
        <w:spacing w:after="0" w:line="209" w:lineRule="exact"/>
        <w:rPr>
          <w:sz w:val="20"/>
          <w:szCs w:val="20"/>
          <w:color w:val="auto"/>
        </w:rPr>
      </w:pPr>
    </w:p>
    <w:p>
      <w:pPr>
        <w:ind w:left="880" w:hanging="306"/>
        <w:spacing w:after="0"/>
        <w:tabs>
          <w:tab w:leader="none" w:pos="880"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less than 1% of the total.</w:t>
      </w:r>
    </w:p>
    <w:p>
      <w:pPr>
        <w:spacing w:after="0" w:line="93" w:lineRule="exact"/>
        <w:rPr>
          <w:sz w:val="20"/>
          <w:szCs w:val="20"/>
          <w:color w:val="auto"/>
        </w:rPr>
      </w:pPr>
    </w:p>
    <w:p>
      <w:pPr>
        <w:ind w:left="920" w:right="879" w:hanging="346"/>
        <w:spacing w:after="0" w:line="296" w:lineRule="auto"/>
        <w:tabs>
          <w:tab w:leader="none" w:pos="905"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Unless otherwise indicated in the table, the address for each listed person is c/o Fortinet, Inc., 909 Kifer Road, Sunnyvale, California 94086.</w:t>
      </w:r>
    </w:p>
    <w:p>
      <w:pPr>
        <w:spacing w:after="0" w:line="2" w:lineRule="exact"/>
        <w:rPr>
          <w:rFonts w:ascii="Times New Roman" w:cs="Times New Roman" w:eastAsia="Times New Roman" w:hAnsi="Times New Roman"/>
          <w:sz w:val="17"/>
          <w:szCs w:val="17"/>
          <w:color w:val="auto"/>
        </w:rPr>
      </w:pPr>
    </w:p>
    <w:p>
      <w:pPr>
        <w:ind w:left="920" w:right="639" w:hanging="346"/>
        <w:spacing w:after="0" w:line="262" w:lineRule="auto"/>
        <w:tabs>
          <w:tab w:leader="none" w:pos="905"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number and percentage of shares beneficially owned is determined under rules of the SEC, and the information is not necessarily indicative of beneficial ownership for any other purpose. Under such rules, beneficial ownership includes any shares as to which the individual has sole or shared voting power or investment power and also any shares which the individual has the right to acquire within 60 days of March 31, 2026, through the exercise of any stock option or other right. Unless otherwise indicated in the footnotes, each person has sole voting and investment power (or shares such powers with such person’s spouse) with respect to the shares shown as beneficially owned. Percentage beneficially owned is based on 733,955,815 shares of common stock outstanding on March 31, 2026.</w:t>
      </w:r>
    </w:p>
    <w:p>
      <w:pPr>
        <w:spacing w:after="0" w:line="34" w:lineRule="exact"/>
        <w:rPr>
          <w:rFonts w:ascii="Times New Roman" w:cs="Times New Roman" w:eastAsia="Times New Roman" w:hAnsi="Times New Roman"/>
          <w:sz w:val="17"/>
          <w:szCs w:val="17"/>
          <w:color w:val="auto"/>
        </w:rPr>
      </w:pPr>
    </w:p>
    <w:p>
      <w:pPr>
        <w:ind w:left="920" w:right="639" w:hanging="346"/>
        <w:spacing w:after="0" w:line="270" w:lineRule="auto"/>
        <w:tabs>
          <w:tab w:leader="none" w:pos="905"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solely on information reported by BlackRock, Inc. (“BlackRock”) on Schedule 13G/A filed with the SEC on January 26, 2024. BlackRock reported beneficial ownership of 54,206,558 shares, including 49,406,421 shares over which it has sole voting power and 54,206,558 shares over which it has sole dispositive power. The address of BlackRock is 50 Hudson Yards, New York, New York 10001.</w:t>
      </w:r>
    </w:p>
    <w:p>
      <w:pPr>
        <w:spacing w:after="0" w:line="37" w:lineRule="exact"/>
        <w:rPr>
          <w:rFonts w:ascii="Times New Roman" w:cs="Times New Roman" w:eastAsia="Times New Roman" w:hAnsi="Times New Roman"/>
          <w:sz w:val="17"/>
          <w:szCs w:val="17"/>
          <w:color w:val="auto"/>
        </w:rPr>
      </w:pPr>
    </w:p>
    <w:p>
      <w:pPr>
        <w:ind w:left="920" w:right="659" w:hanging="346"/>
        <w:spacing w:after="0" w:line="270" w:lineRule="auto"/>
        <w:tabs>
          <w:tab w:leader="none" w:pos="905"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(i) 22,819 shares held by Mr. Goldman; (ii) 20,750 shares held by the Goldman-Valeriote Family Trust, for which Mr. Goldman serves as a trustee; and (iii) 1,000 shares held by the GV Partners, L.P., for which Mr. Goldman serves as managing member. Mr. Goldman disclaims beneficial ownership of the shares held by the Goldman-Valeriote Family Trust except to the extent of his pecuniary interest therein.</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8" w:name="page69"/>
    <w:bookmarkEnd w:id="68"/>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80" w:lineRule="exact"/>
        <w:rPr>
          <w:sz w:val="20"/>
          <w:szCs w:val="20"/>
          <w:color w:val="auto"/>
        </w:rPr>
      </w:pPr>
    </w:p>
    <w:p>
      <w:pPr>
        <w:ind w:left="920" w:right="639" w:hanging="346"/>
        <w:spacing w:after="0" w:line="263" w:lineRule="auto"/>
        <w:tabs>
          <w:tab w:leader="none" w:pos="905"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(i) 8,947 shares held by Mr. Hsieh; (ii) 53,082 shares held by the Ming Hsieh Trust UA Dtd 02/07/2020, for which Mr. Hsieh serves as trustee; (iii) 25 shares held by Pauline Hsieh Irrevocable Trust, for which Mr. Hsieh serves as a trustee (the “PH Trust”); (iii) 25 shares held by The Tiffany Hsieh Irrevocable Trust, for which Mr. Hsieh serves as a trustee (the “TH Trust”); and (iv) 143 shares held by the Ming Hsieh Revocable Family Trust, for which Mr. Hsieh serves as trustee. Mr. Hsieh disclaims beneficial ownership of the shares held by the PH Trust and TH Trust except to the extent of his pecuniary interest therein.</w:t>
      </w:r>
    </w:p>
    <w:p>
      <w:pPr>
        <w:spacing w:after="0" w:line="32" w:lineRule="exact"/>
        <w:rPr>
          <w:rFonts w:ascii="Times New Roman" w:cs="Times New Roman" w:eastAsia="Times New Roman" w:hAnsi="Times New Roman"/>
          <w:sz w:val="17"/>
          <w:szCs w:val="17"/>
          <w:color w:val="auto"/>
        </w:rPr>
      </w:pPr>
    </w:p>
    <w:p>
      <w:pPr>
        <w:ind w:left="900" w:hanging="326"/>
        <w:spacing w:after="0"/>
        <w:tabs>
          <w:tab w:leader="none" w:pos="900"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(i) 51,417,758 shares held by Mr. Ken Xie; (ii) 3,289,654 shares held by Mr. Ken Xie’s spouse;</w:t>
      </w:r>
    </w:p>
    <w:p>
      <w:pPr>
        <w:spacing w:after="0" w:line="32" w:lineRule="exact"/>
        <w:rPr>
          <w:rFonts w:ascii="Times New Roman" w:cs="Times New Roman" w:eastAsia="Times New Roman" w:hAnsi="Times New Roman"/>
          <w:sz w:val="17"/>
          <w:szCs w:val="17"/>
          <w:color w:val="auto"/>
        </w:rPr>
      </w:pPr>
    </w:p>
    <w:p>
      <w:pPr>
        <w:jc w:val="both"/>
        <w:ind w:left="920" w:right="999" w:firstLine="4"/>
        <w:spacing w:after="0" w:line="257" w:lineRule="auto"/>
        <w:tabs>
          <w:tab w:leader="none" w:pos="1225" w:val="left"/>
        </w:tabs>
        <w:numPr>
          <w:ilvl w:val="1"/>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2,268,413 shares held by a grantor retained annuity trust for which Mr. Ken Xie is the settlor and trustee; (iv) 2,268,413 shares held by a grantor retained annuity trust for which Mr. Ken Xie serves as trustee; (v) 11,481,918 shares held by The Xie Foundation (the “Foundation”); (vi) 1,449,270 shares subject to options that are exercisable within 60 days of March 31, 2026, all of which are vested; and</w:t>
      </w:r>
    </w:p>
    <w:p>
      <w:pPr>
        <w:ind w:left="920" w:right="739" w:firstLine="4"/>
        <w:spacing w:after="0" w:line="265" w:lineRule="auto"/>
        <w:tabs>
          <w:tab w:leader="none" w:pos="1264" w:val="left"/>
        </w:tabs>
        <w:numPr>
          <w:ilvl w:val="1"/>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13,092 shares issuable upon the settlement of RSUs that will vest within 60 days of March 31, 2026. Mr. Ken Xie has no pecuniary interest in and disclaims beneficial ownership of the shares of Common Stock held by the Foundation.</w:t>
      </w:r>
    </w:p>
    <w:p>
      <w:pPr>
        <w:spacing w:after="0" w:line="41" w:lineRule="exact"/>
        <w:rPr>
          <w:rFonts w:ascii="Times New Roman" w:cs="Times New Roman" w:eastAsia="Times New Roman" w:hAnsi="Times New Roman"/>
          <w:sz w:val="17"/>
          <w:szCs w:val="17"/>
          <w:color w:val="auto"/>
        </w:rPr>
      </w:pPr>
    </w:p>
    <w:p>
      <w:pPr>
        <w:ind w:left="920" w:right="659" w:hanging="346"/>
        <w:spacing w:after="0" w:line="260" w:lineRule="auto"/>
        <w:tabs>
          <w:tab w:leader="none" w:pos="905" w:val="left"/>
        </w:tabs>
        <w:numPr>
          <w:ilvl w:val="0"/>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(i) 9,926,874 shares held by Mr. Michael Xie; (ii) 19,825,614 shares held by the K.A. Family Trust dated May 3, 2010, for which Mr. Michael Xie serves as a trustee; (iii) 5,513,505 shares held by The KAXX Trust under The K.A. Children’s Trust dated February 9, 2011, for which Mr. Michael Xie serves as a trustee; (iv) 5,513,505 shares held by The KAJJ Trust under The K.A. Children’s Trust dated February 9, 2011, for which Mr. Michael Xie serves as a trustee; (v) 7,573,438 shares held by a grantor retained annuity trust for which Mr. Michael Xie is the settlor and trustee; (vi) 7,573,438 shares held by a grantor retained annuity trust for which Mr. Michael Xie serves as trustee; (vii) 11,481,918 shares held by the Foundation, a non-profit entity for which Mr. Michael Xie serves as co-president and a director;</w:t>
      </w:r>
    </w:p>
    <w:p>
      <w:pPr>
        <w:ind w:left="920" w:right="659" w:firstLine="4"/>
        <w:spacing w:after="0" w:line="263" w:lineRule="auto"/>
        <w:tabs>
          <w:tab w:leader="none" w:pos="1313" w:val="left"/>
        </w:tabs>
        <w:numPr>
          <w:ilvl w:val="1"/>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560,415 shares subject to options that are exercisable within 60 days of March 31, 2026, all of which are vested; and (ix) 6,305 shares issuable upon the settlement of RSUs that will vest within 60 days of March 31, 2026. Mr. Michael Xie has no pecuniary interest in and disclaims beneficial ownership of the shares of Common Stock held by the Foundation.</w:t>
      </w:r>
    </w:p>
    <w:p>
      <w:pPr>
        <w:spacing w:after="0" w:line="28" w:lineRule="exact"/>
        <w:rPr>
          <w:rFonts w:ascii="Times New Roman" w:cs="Times New Roman" w:eastAsia="Times New Roman" w:hAnsi="Times New Roman"/>
          <w:sz w:val="17"/>
          <w:szCs w:val="17"/>
          <w:color w:val="auto"/>
        </w:rPr>
      </w:pPr>
    </w:p>
    <w:p>
      <w:pPr>
        <w:ind w:left="920" w:right="739" w:hanging="346"/>
        <w:spacing w:after="0" w:line="296" w:lineRule="auto"/>
        <w:tabs>
          <w:tab w:leader="none" w:pos="905" w:val="left"/>
        </w:tabs>
        <w:numPr>
          <w:ilvl w:val="0"/>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(i) 8,247 shares held of record by Ms. Ohlgart and (ii) 4,903 shares issuable upon the settlement of RSUs that will vest within 60 days of March 31, 2026.</w:t>
      </w:r>
    </w:p>
    <w:p>
      <w:pPr>
        <w:spacing w:after="0" w:line="2" w:lineRule="exact"/>
        <w:rPr>
          <w:rFonts w:ascii="Times New Roman" w:cs="Times New Roman" w:eastAsia="Times New Roman" w:hAnsi="Times New Roman"/>
          <w:sz w:val="17"/>
          <w:szCs w:val="17"/>
          <w:color w:val="auto"/>
        </w:rPr>
      </w:pPr>
    </w:p>
    <w:p>
      <w:pPr>
        <w:ind w:left="920" w:right="699" w:hanging="346"/>
        <w:spacing w:after="0" w:line="276" w:lineRule="auto"/>
        <w:tabs>
          <w:tab w:leader="none" w:pos="905" w:val="left"/>
        </w:tabs>
        <w:numPr>
          <w:ilvl w:val="0"/>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(i) 92,461 shares held of record by Mr. Whittle; (ii) 202,715 shares issuable upon the exercise of stock options held by Mr. Whittle that are exercisable within 60 days of March 31, 2026; and (iii) 4,572 shares issuable upon the settlement of RSUs that will vest within 60 days of March 31, 2026.</w:t>
      </w:r>
    </w:p>
    <w:p>
      <w:pPr>
        <w:spacing w:after="0" w:line="32" w:lineRule="exact"/>
        <w:rPr>
          <w:rFonts w:ascii="Times New Roman" w:cs="Times New Roman" w:eastAsia="Times New Roman" w:hAnsi="Times New Roman"/>
          <w:sz w:val="17"/>
          <w:szCs w:val="17"/>
          <w:color w:val="auto"/>
        </w:rPr>
      </w:pPr>
    </w:p>
    <w:p>
      <w:pPr>
        <w:ind w:left="920" w:right="579" w:hanging="346"/>
        <w:spacing w:after="0" w:line="270" w:lineRule="auto"/>
        <w:tabs>
          <w:tab w:leader="none" w:pos="905" w:val="left"/>
        </w:tabs>
        <w:numPr>
          <w:ilvl w:val="0"/>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(i) 127,047,483 shares held by the current directors and executive officers; (ii) 2,212,400 shares issuable upon the exercise of stock options held by the current directors and executive officers that are exercisable within 60 days of March 31, 2026; and (iii) 28,872 shares issuable upon the settlement of RSUs held by the current directors and executive officers that will vest within 60 days of March 31, 2026.</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9" w:name="page70"/>
    <w:bookmarkEnd w:id="69"/>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AUDIT COMMITTEE REPORT</w:t>
      </w:r>
    </w:p>
    <w:p>
      <w:pPr>
        <w:spacing w:after="0" w:line="147" w:lineRule="exact"/>
        <w:rPr>
          <w:sz w:val="20"/>
          <w:szCs w:val="20"/>
          <w:color w:val="auto"/>
        </w:rPr>
      </w:pPr>
    </w:p>
    <w:p>
      <w:pPr>
        <w:ind w:left="580" w:right="739" w:firstLine="349"/>
        <w:spacing w:after="0" w:line="270" w:lineRule="auto"/>
        <w:rPr>
          <w:sz w:val="20"/>
          <w:szCs w:val="20"/>
          <w:color w:val="auto"/>
        </w:rPr>
      </w:pPr>
      <w:r>
        <w:rPr>
          <w:rFonts w:ascii="Times New Roman" w:cs="Times New Roman" w:eastAsia="Times New Roman" w:hAnsi="Times New Roman"/>
          <w:sz w:val="17"/>
          <w:szCs w:val="17"/>
          <w:color w:val="auto"/>
        </w:rPr>
        <w:t>The Audit Committee assists the Board of Directors in fulfilling its responsibilities for overseeing the integrity of Fortinet’s financial statements, our internal accounting and financial controls, our compliance with legal and regulatory requirements and the qualifications, independence and performance of our independent registered public accounting firm.</w:t>
      </w:r>
    </w:p>
    <w:p>
      <w:pPr>
        <w:spacing w:after="0" w:line="103" w:lineRule="exact"/>
        <w:rPr>
          <w:sz w:val="20"/>
          <w:szCs w:val="20"/>
          <w:color w:val="auto"/>
        </w:rPr>
      </w:pPr>
    </w:p>
    <w:p>
      <w:pPr>
        <w:ind w:left="580" w:right="619" w:firstLine="349"/>
        <w:spacing w:after="0" w:line="270" w:lineRule="auto"/>
        <w:rPr>
          <w:sz w:val="20"/>
          <w:szCs w:val="20"/>
          <w:color w:val="auto"/>
        </w:rPr>
      </w:pPr>
      <w:r>
        <w:rPr>
          <w:rFonts w:ascii="Times New Roman" w:cs="Times New Roman" w:eastAsia="Times New Roman" w:hAnsi="Times New Roman"/>
          <w:sz w:val="17"/>
          <w:szCs w:val="17"/>
          <w:color w:val="auto"/>
        </w:rPr>
        <w:t>The management of Fortinet is responsible for establishing and maintaining internal controls and for preparing Fortinet’s consolidated financial statements. The independent registered public accounting firm is responsible for auditing the financial statements. It is the responsibility of the Audit Committee to oversee these activities.</w:t>
      </w:r>
    </w:p>
    <w:p>
      <w:pPr>
        <w:spacing w:after="0" w:line="10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7"/>
          <w:szCs w:val="17"/>
          <w:color w:val="auto"/>
        </w:rPr>
        <w:t>The Audit Committee has:</w:t>
      </w:r>
    </w:p>
    <w:p>
      <w:pPr>
        <w:spacing w:after="0" w:line="145" w:lineRule="exact"/>
        <w:rPr>
          <w:sz w:val="20"/>
          <w:szCs w:val="20"/>
          <w:color w:val="auto"/>
        </w:rPr>
      </w:pPr>
    </w:p>
    <w:p>
      <w:pPr>
        <w:ind w:left="1100" w:right="619" w:hanging="176"/>
        <w:spacing w:after="0" w:line="296" w:lineRule="auto"/>
        <w:tabs>
          <w:tab w:leader="none" w:pos="1117" w:val="left"/>
        </w:tabs>
        <w:numPr>
          <w:ilvl w:val="0"/>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Reviewed and discussed the audited financial statements with Fortinet management and with Deloitte &amp; Touche LLP, Fortinet’s independent registered public accounting firm;</w:t>
      </w:r>
    </w:p>
    <w:p>
      <w:pPr>
        <w:spacing w:after="0" w:line="81" w:lineRule="exact"/>
        <w:rPr>
          <w:rFonts w:ascii="Times New Roman" w:cs="Times New Roman" w:eastAsia="Times New Roman" w:hAnsi="Times New Roman"/>
          <w:sz w:val="17"/>
          <w:szCs w:val="17"/>
          <w:color w:val="auto"/>
        </w:rPr>
      </w:pPr>
    </w:p>
    <w:p>
      <w:pPr>
        <w:ind w:left="1100" w:right="619" w:hanging="176"/>
        <w:spacing w:after="0" w:line="276" w:lineRule="auto"/>
        <w:tabs>
          <w:tab w:leader="none" w:pos="1117" w:val="left"/>
        </w:tabs>
        <w:numPr>
          <w:ilvl w:val="0"/>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Discussed with Deloitte &amp; Touche LLP the matters required to be discussed by the Auditing Standard No. 1301 adopted by the Public Company Accounting Oversight Board regarding “Communication with Audit Committees”; and</w:t>
      </w:r>
    </w:p>
    <w:p>
      <w:pPr>
        <w:spacing w:after="0" w:line="98" w:lineRule="exact"/>
        <w:rPr>
          <w:rFonts w:ascii="Times New Roman" w:cs="Times New Roman" w:eastAsia="Times New Roman" w:hAnsi="Times New Roman"/>
          <w:sz w:val="17"/>
          <w:szCs w:val="17"/>
          <w:color w:val="auto"/>
        </w:rPr>
      </w:pPr>
    </w:p>
    <w:p>
      <w:pPr>
        <w:ind w:left="1100" w:right="639" w:hanging="176"/>
        <w:spacing w:after="0" w:line="270" w:lineRule="auto"/>
        <w:tabs>
          <w:tab w:leader="none" w:pos="1117" w:val="left"/>
        </w:tabs>
        <w:numPr>
          <w:ilvl w:val="0"/>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Received the written disclosures and the letter from Deloitte &amp; Touche LLP required by applicable requirements of the Public Company Accounting Oversight Board regarding Deloitte &amp; Touche LLP’s communications with the Audit Committee concerning independence and has discussed with Deloitte &amp; Touche LLP its independence.</w:t>
      </w:r>
    </w:p>
    <w:p>
      <w:pPr>
        <w:spacing w:after="0" w:line="90" w:lineRule="exact"/>
        <w:rPr>
          <w:sz w:val="20"/>
          <w:szCs w:val="20"/>
          <w:color w:val="auto"/>
        </w:rPr>
      </w:pPr>
    </w:p>
    <w:p>
      <w:pPr>
        <w:jc w:val="both"/>
        <w:ind w:left="580" w:right="799" w:firstLine="349"/>
        <w:spacing w:after="0" w:line="276" w:lineRule="auto"/>
        <w:rPr>
          <w:sz w:val="20"/>
          <w:szCs w:val="20"/>
          <w:color w:val="auto"/>
        </w:rPr>
      </w:pPr>
      <w:r>
        <w:rPr>
          <w:rFonts w:ascii="Times New Roman" w:cs="Times New Roman" w:eastAsia="Times New Roman" w:hAnsi="Times New Roman"/>
          <w:sz w:val="17"/>
          <w:szCs w:val="17"/>
          <w:color w:val="auto"/>
        </w:rPr>
        <w:t>Based upon these discussions and review, the Audit Committee recommended to the Board of Directors that the audited financial statements be included in Fortinet’s Annual Report on Form 10-K for the fiscal year ended December 31, 2025 for filing with the United States Securities and Exchange Commission.</w:t>
      </w:r>
    </w:p>
    <w:p>
      <w:pPr>
        <w:spacing w:after="0" w:line="16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7"/>
          <w:szCs w:val="17"/>
          <w:i w:val="1"/>
          <w:iCs w:val="1"/>
          <w:color w:val="auto"/>
        </w:rPr>
        <w:t>Respectfully submitted by the members of the Audit Committee of the Board of Directors</w:t>
      </w:r>
    </w:p>
    <w:p>
      <w:pPr>
        <w:spacing w:after="0" w:line="199"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7"/>
          <w:szCs w:val="17"/>
          <w:color w:val="auto"/>
        </w:rPr>
        <w:t>Kenneth A. Goldman (Chairperson)</w:t>
      </w:r>
    </w:p>
    <w:p>
      <w:pPr>
        <w:spacing w:after="0" w:line="80"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7"/>
          <w:szCs w:val="17"/>
          <w:color w:val="auto"/>
        </w:rPr>
        <w:t>Jean Hu</w:t>
      </w:r>
    </w:p>
    <w:p>
      <w:pPr>
        <w:spacing w:after="0" w:line="80"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7"/>
          <w:szCs w:val="17"/>
          <w:color w:val="auto"/>
        </w:rPr>
        <w:t>Ming Hsieh</w:t>
      </w: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0" w:name="page71"/>
    <w:bookmarkEnd w:id="70"/>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OTHER MATTERS</w:t>
      </w:r>
    </w:p>
    <w:p>
      <w:pPr>
        <w:spacing w:after="0" w:line="147" w:lineRule="exact"/>
        <w:rPr>
          <w:sz w:val="20"/>
          <w:szCs w:val="20"/>
          <w:color w:val="auto"/>
        </w:rPr>
      </w:pPr>
    </w:p>
    <w:p>
      <w:pPr>
        <w:ind w:left="580" w:right="639" w:firstLine="349"/>
        <w:spacing w:after="0" w:line="270" w:lineRule="auto"/>
        <w:rPr>
          <w:sz w:val="20"/>
          <w:szCs w:val="20"/>
          <w:color w:val="auto"/>
        </w:rPr>
      </w:pPr>
      <w:r>
        <w:rPr>
          <w:rFonts w:ascii="Times New Roman" w:cs="Times New Roman" w:eastAsia="Times New Roman" w:hAnsi="Times New Roman"/>
          <w:sz w:val="17"/>
          <w:szCs w:val="17"/>
          <w:color w:val="auto"/>
        </w:rPr>
        <w:t>Fortinet knows of no other matters to be submitted at the 2026 Annual Meeting. If any other matters properly come before the 2026 Annual Meeting, it is the intention of the persons named in the proxy to vote the shares they represent as the Board of Directors may recommend. Discretionary authority with respect to such other matters is granted by a properly submitted proxy.</w:t>
      </w:r>
    </w:p>
    <w:p>
      <w:pPr>
        <w:spacing w:after="0" w:line="103" w:lineRule="exact"/>
        <w:rPr>
          <w:sz w:val="20"/>
          <w:szCs w:val="20"/>
          <w:color w:val="auto"/>
        </w:rPr>
      </w:pPr>
    </w:p>
    <w:p>
      <w:pPr>
        <w:ind w:left="580" w:right="899" w:firstLine="349"/>
        <w:spacing w:after="0" w:line="276" w:lineRule="auto"/>
        <w:rPr>
          <w:sz w:val="20"/>
          <w:szCs w:val="20"/>
          <w:color w:val="auto"/>
        </w:rPr>
      </w:pPr>
      <w:r>
        <w:rPr>
          <w:rFonts w:ascii="Times New Roman" w:cs="Times New Roman" w:eastAsia="Times New Roman" w:hAnsi="Times New Roman"/>
          <w:sz w:val="17"/>
          <w:szCs w:val="17"/>
          <w:color w:val="auto"/>
        </w:rPr>
        <w:t>It is important that your shares be represented at the 2026 Annual Meeting, regardless of the number of shares that you hold. You are, therefore, urged to vote as instructed in the Notice, via the internet or by telephone as promptly as possible to ensure your vote is recorded.</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BOARD OF DIRECTORS</w:t>
      </w:r>
    </w:p>
    <w:p>
      <w:pPr>
        <w:spacing w:after="0" w:line="14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Sunnyvale, California</w:t>
      </w:r>
    </w:p>
    <w:p>
      <w:pPr>
        <w:spacing w:after="0" w:line="3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April 28, 2026</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1" w:name="page72"/>
    <w:bookmarkEnd w:id="71"/>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-774065</wp:posOffset>
            </wp:positionH>
            <wp:positionV relativeFrom="paragraph">
              <wp:posOffset>103505</wp:posOffset>
            </wp:positionV>
            <wp:extent cx="7264400" cy="996442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4400" cy="9964420"/>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2" w:name="page73"/>
    <w:bookmarkEnd w:id="72"/>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-774065</wp:posOffset>
            </wp:positionH>
            <wp:positionV relativeFrom="paragraph">
              <wp:posOffset>103505</wp:posOffset>
            </wp:positionV>
            <wp:extent cx="7264400" cy="997267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4400" cy="9972675"/>
                    </a:xfrm>
                    <a:prstGeom prst="rect">
                      <a:avLst/>
                    </a:prstGeom>
                    <a:noFill/>
                  </pic:spPr>
                </pic:pic>
              </a:graphicData>
            </a:graphic>
          </wp:anchor>
        </w:drawing>
      </w:r>
    </w:p>
    <w:sectPr>
      <w:pgSz w:w="11900" w:h="16838" w:orient="portrait"/>
      <w:cols w:equalWidth="0" w:num="1">
        <w:col w:w="9019"/>
      </w:cols>
      <w:pgMar w:left="1440" w:top="26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7E4CCAF"/>
    <w:multiLevelType w:val="hybridMultilevel"/>
    <w:lvl w:ilvl="0">
      <w:lvlJc w:val="left"/>
      <w:lvlText w:val="☐"/>
      <w:numFmt w:val="bullet"/>
      <w:start w:val="1"/>
    </w:lvl>
  </w:abstractNum>
  <w:abstractNum w:abstractNumId="1">
    <w:nsid w:val="7A6D8D3C"/>
    <w:multiLevelType w:val="hybridMultilevel"/>
    <w:lvl w:ilvl="0">
      <w:lvlJc w:val="left"/>
      <w:lvlText w:val="☒"/>
      <w:numFmt w:val="bullet"/>
      <w:start w:val="1"/>
    </w:lvl>
  </w:abstractNum>
  <w:abstractNum w:abstractNumId="2">
    <w:nsid w:val="4B588F54"/>
    <w:multiLevelType w:val="hybridMultilevel"/>
    <w:lvl w:ilvl="0">
      <w:lvlJc w:val="left"/>
      <w:lvlText w:val="☐"/>
      <w:numFmt w:val="bullet"/>
      <w:start w:val="1"/>
    </w:lvl>
  </w:abstractNum>
  <w:abstractNum w:abstractNumId="3">
    <w:nsid w:val="542289EC"/>
    <w:multiLevelType w:val="hybridMultilevel"/>
    <w:lvl w:ilvl="0">
      <w:lvlJc w:val="left"/>
      <w:lvlText w:val="%1."/>
      <w:numFmt w:val="decimal"/>
      <w:start w:val="1"/>
    </w:lvl>
  </w:abstractNum>
  <w:abstractNum w:abstractNumId="4">
    <w:nsid w:val="6DE91B18"/>
    <w:multiLevelType w:val="hybridMultilevel"/>
    <w:lvl w:ilvl="0">
      <w:lvlJc w:val="left"/>
      <w:lvlText w:val="•"/>
      <w:numFmt w:val="bullet"/>
      <w:start w:val="1"/>
    </w:lvl>
  </w:abstractNum>
  <w:abstractNum w:abstractNumId="5">
    <w:nsid w:val="38437FDB"/>
    <w:multiLevelType w:val="hybridMultilevel"/>
    <w:lvl w:ilvl="0">
      <w:lvlJc w:val="left"/>
      <w:lvlText w:val="•"/>
      <w:numFmt w:val="bullet"/>
      <w:start w:val="1"/>
    </w:lvl>
  </w:abstractNum>
  <w:abstractNum w:abstractNumId="6">
    <w:nsid w:val="7644A45C"/>
    <w:multiLevelType w:val="hybridMultilevel"/>
    <w:lvl w:ilvl="0">
      <w:lvlJc w:val="left"/>
      <w:lvlText w:val="•"/>
      <w:numFmt w:val="bullet"/>
      <w:start w:val="1"/>
    </w:lvl>
  </w:abstractNum>
  <w:abstractNum w:abstractNumId="7">
    <w:nsid w:val="32FFF902"/>
    <w:multiLevelType w:val="hybridMultilevel"/>
    <w:lvl w:ilvl="0">
      <w:lvlJc w:val="left"/>
      <w:lvlText w:val="%1:"/>
      <w:numFmt w:val="upperLetter"/>
      <w:start w:val="1"/>
    </w:lvl>
  </w:abstractNum>
  <w:abstractNum w:abstractNumId="8">
    <w:nsid w:val="684A481A"/>
    <w:multiLevelType w:val="hybridMultilevel"/>
    <w:lvl w:ilvl="0">
      <w:lvlJc w:val="left"/>
      <w:lvlText w:val="%1:"/>
      <w:numFmt w:val="upperLetter"/>
      <w:start w:val="17"/>
    </w:lvl>
  </w:abstractNum>
  <w:abstractNum w:abstractNumId="9">
    <w:nsid w:val="579478FE"/>
    <w:multiLevelType w:val="hybridMultilevel"/>
    <w:lvl w:ilvl="0">
      <w:lvlJc w:val="left"/>
      <w:lvlText w:val="%1:"/>
      <w:numFmt w:val="upperLetter"/>
      <w:start w:val="1"/>
    </w:lvl>
  </w:abstractNum>
  <w:abstractNum w:abstractNumId="10">
    <w:nsid w:val="749ABB43"/>
    <w:multiLevelType w:val="hybridMultilevel"/>
    <w:lvl w:ilvl="0">
      <w:lvlJc w:val="left"/>
      <w:lvlText w:val="%1:"/>
      <w:numFmt w:val="upperLetter"/>
      <w:start w:val="1"/>
    </w:lvl>
    <w:lvl w:ilvl="1">
      <w:lvlJc w:val="left"/>
      <w:lvlText w:val="•"/>
      <w:numFmt w:val="bullet"/>
      <w:start w:val="1"/>
    </w:lvl>
  </w:abstractNum>
  <w:abstractNum w:abstractNumId="11">
    <w:nsid w:val="3DC240FB"/>
    <w:multiLevelType w:val="hybridMultilevel"/>
    <w:lvl w:ilvl="0">
      <w:lvlJc w:val="left"/>
      <w:lvlText w:val="%1:"/>
      <w:numFmt w:val="upperLetter"/>
      <w:start w:val="1"/>
    </w:lvl>
    <w:lvl w:ilvl="1">
      <w:lvlJc w:val="left"/>
      <w:lvlText w:val="•"/>
      <w:numFmt w:val="bullet"/>
      <w:start w:val="1"/>
    </w:lvl>
  </w:abstractNum>
  <w:abstractNum w:abstractNumId="12">
    <w:nsid w:val="1BA026FA"/>
    <w:multiLevelType w:val="hybridMultilevel"/>
    <w:lvl w:ilvl="0">
      <w:lvlJc w:val="left"/>
      <w:lvlText w:val="•"/>
      <w:numFmt w:val="bullet"/>
      <w:start w:val="1"/>
    </w:lvl>
  </w:abstractNum>
  <w:abstractNum w:abstractNumId="13">
    <w:nsid w:val="79A1DEAA"/>
    <w:multiLevelType w:val="hybridMultilevel"/>
    <w:lvl w:ilvl="0">
      <w:lvlJc w:val="left"/>
      <w:lvlText w:val="%1:"/>
      <w:numFmt w:val="upperLetter"/>
      <w:start w:val="1"/>
    </w:lvl>
  </w:abstractNum>
  <w:abstractNum w:abstractNumId="14">
    <w:nsid w:val="75C6C33A"/>
    <w:multiLevelType w:val="hybridMultilevel"/>
    <w:lvl w:ilvl="0">
      <w:lvlJc w:val="left"/>
      <w:lvlText w:val="%1:"/>
      <w:numFmt w:val="upperLetter"/>
      <w:start w:val="1"/>
    </w:lvl>
  </w:abstractNum>
  <w:abstractNum w:abstractNumId="15">
    <w:nsid w:val="12E685FB"/>
    <w:multiLevelType w:val="hybridMultilevel"/>
    <w:lvl w:ilvl="0">
      <w:lvlJc w:val="left"/>
      <w:lvlText w:val="%1:"/>
      <w:numFmt w:val="upperLetter"/>
      <w:start w:val="1"/>
    </w:lvl>
  </w:abstractNum>
  <w:abstractNum w:abstractNumId="16">
    <w:nsid w:val="70C6A529"/>
    <w:multiLevelType w:val="hybridMultilevel"/>
    <w:lvl w:ilvl="0">
      <w:lvlJc w:val="left"/>
      <w:lvlText w:val="•"/>
      <w:numFmt w:val="bullet"/>
      <w:start w:val="1"/>
    </w:lvl>
  </w:abstractNum>
  <w:abstractNum w:abstractNumId="17">
    <w:nsid w:val="520EEDD1"/>
    <w:multiLevelType w:val="hybridMultilevel"/>
    <w:lvl w:ilvl="0">
      <w:lvlJc w:val="left"/>
      <w:lvlText w:val="%1:"/>
      <w:numFmt w:val="upperLetter"/>
      <w:start w:val="1"/>
    </w:lvl>
  </w:abstractNum>
  <w:abstractNum w:abstractNumId="18">
    <w:nsid w:val="374A3FE6"/>
    <w:multiLevelType w:val="hybridMultilevel"/>
    <w:lvl w:ilvl="0">
      <w:lvlJc w:val="left"/>
      <w:lvlText w:val="%1:"/>
      <w:numFmt w:val="upperLetter"/>
      <w:start w:val="1"/>
    </w:lvl>
  </w:abstractNum>
  <w:abstractNum w:abstractNumId="19">
    <w:nsid w:val="4F4EF005"/>
    <w:multiLevelType w:val="hybridMultilevel"/>
    <w:lvl w:ilvl="0">
      <w:lvlJc w:val="left"/>
      <w:lvlText w:val="%1:"/>
      <w:numFmt w:val="upperLetter"/>
      <w:start w:val="1"/>
    </w:lvl>
  </w:abstractNum>
  <w:abstractNum w:abstractNumId="20">
    <w:nsid w:val="23F9C13C"/>
    <w:multiLevelType w:val="hybridMultilevel"/>
    <w:lvl w:ilvl="0">
      <w:lvlJc w:val="left"/>
      <w:lvlText w:val="%1:"/>
      <w:numFmt w:val="upperLetter"/>
      <w:start w:val="1"/>
    </w:lvl>
  </w:abstractNum>
  <w:abstractNum w:abstractNumId="21">
    <w:nsid w:val="649BB77C"/>
    <w:multiLevelType w:val="hybridMultilevel"/>
    <w:lvl w:ilvl="0">
      <w:lvlJc w:val="left"/>
      <w:lvlText w:val="%1:"/>
      <w:numFmt w:val="upperLetter"/>
      <w:start w:val="1"/>
    </w:lvl>
  </w:abstractNum>
  <w:abstractNum w:abstractNumId="22">
    <w:nsid w:val="275AC794"/>
    <w:multiLevelType w:val="hybridMultilevel"/>
    <w:lvl w:ilvl="0">
      <w:lvlJc w:val="left"/>
      <w:lvlText w:val="%1:"/>
      <w:numFmt w:val="upperLetter"/>
      <w:start w:val="1"/>
    </w:lvl>
  </w:abstractNum>
  <w:abstractNum w:abstractNumId="23">
    <w:nsid w:val="39386575"/>
    <w:multiLevelType w:val="hybridMultilevel"/>
    <w:lvl w:ilvl="0">
      <w:lvlJc w:val="left"/>
      <w:lvlText w:val="%1:"/>
      <w:numFmt w:val="upperLetter"/>
      <w:start w:val="1"/>
    </w:lvl>
  </w:abstractNum>
  <w:abstractNum w:abstractNumId="24">
    <w:nsid w:val="1CF10FD8"/>
    <w:multiLevelType w:val="hybridMultilevel"/>
    <w:lvl w:ilvl="0">
      <w:lvlJc w:val="left"/>
      <w:lvlText w:val="%1:"/>
      <w:numFmt w:val="upperLetter"/>
      <w:start w:val="1"/>
    </w:lvl>
  </w:abstractNum>
  <w:abstractNum w:abstractNumId="25">
    <w:nsid w:val="180115BE"/>
    <w:multiLevelType w:val="hybridMultilevel"/>
    <w:lvl w:ilvl="0">
      <w:lvlJc w:val="left"/>
      <w:lvlText w:val="%1:"/>
      <w:numFmt w:val="upperLetter"/>
      <w:start w:val="1"/>
    </w:lvl>
  </w:abstractNum>
  <w:abstractNum w:abstractNumId="26">
    <w:nsid w:val="235BA861"/>
    <w:multiLevelType w:val="hybridMultilevel"/>
    <w:lvl w:ilvl="0">
      <w:lvlJc w:val="left"/>
      <w:lvlText w:val="%1:"/>
      <w:numFmt w:val="upperLetter"/>
      <w:start w:val="1"/>
    </w:lvl>
  </w:abstractNum>
  <w:abstractNum w:abstractNumId="27">
    <w:nsid w:val="47398C89"/>
    <w:multiLevelType w:val="hybridMultilevel"/>
    <w:lvl w:ilvl="0">
      <w:lvlJc w:val="left"/>
      <w:lvlText w:val="%1:"/>
      <w:numFmt w:val="upperLetter"/>
      <w:start w:val="1"/>
    </w:lvl>
  </w:abstractNum>
  <w:abstractNum w:abstractNumId="28">
    <w:nsid w:val="354FE9F9"/>
    <w:multiLevelType w:val="hybridMultilevel"/>
    <w:lvl w:ilvl="0">
      <w:lvlJc w:val="left"/>
      <w:lvlText w:val="%1:"/>
      <w:numFmt w:val="upperLetter"/>
      <w:start w:val="1"/>
    </w:lvl>
  </w:abstractNum>
  <w:abstractNum w:abstractNumId="29">
    <w:nsid w:val="15B5AF5C"/>
    <w:multiLevelType w:val="hybridMultilevel"/>
    <w:lvl w:ilvl="0">
      <w:lvlJc w:val="left"/>
      <w:lvlText w:val="%1:"/>
      <w:numFmt w:val="upperLetter"/>
      <w:start w:val="17"/>
    </w:lvl>
  </w:abstractNum>
  <w:abstractNum w:abstractNumId="30">
    <w:nsid w:val="741226BB"/>
    <w:multiLevelType w:val="hybridMultilevel"/>
    <w:lvl w:ilvl="0">
      <w:lvlJc w:val="left"/>
      <w:lvlText w:val="%1:"/>
      <w:numFmt w:val="upperLetter"/>
      <w:start w:val="1"/>
    </w:lvl>
  </w:abstractNum>
  <w:abstractNum w:abstractNumId="31">
    <w:nsid w:val="D34B6A8"/>
    <w:multiLevelType w:val="hybridMultilevel"/>
    <w:lvl w:ilvl="0">
      <w:lvlJc w:val="left"/>
      <w:lvlText w:val="(%1)"/>
      <w:numFmt w:val="lowerLetter"/>
      <w:start w:val="3"/>
    </w:lvl>
  </w:abstractNum>
  <w:abstractNum w:abstractNumId="32">
    <w:nsid w:val="10233C99"/>
    <w:multiLevelType w:val="hybridMultilevel"/>
    <w:lvl w:ilvl="0">
      <w:lvlJc w:val="left"/>
      <w:lvlText w:val="%1:"/>
      <w:numFmt w:val="upperLetter"/>
      <w:start w:val="1"/>
    </w:lvl>
  </w:abstractNum>
  <w:abstractNum w:abstractNumId="33">
    <w:nsid w:val="3F6AB60F"/>
    <w:multiLevelType w:val="hybridMultilevel"/>
    <w:lvl w:ilvl="0">
      <w:lvlJc w:val="left"/>
      <w:lvlText w:val="(%1)"/>
      <w:numFmt w:val="decimal"/>
      <w:start w:val="1"/>
    </w:lvl>
  </w:abstractNum>
  <w:abstractNum w:abstractNumId="34">
    <w:nsid w:val="61574095"/>
    <w:multiLevelType w:val="hybridMultilevel"/>
    <w:lvl w:ilvl="0">
      <w:lvlJc w:val="left"/>
      <w:lvlText w:val="*"/>
      <w:numFmt w:val="bullet"/>
      <w:start w:val="1"/>
    </w:lvl>
  </w:abstractNum>
  <w:abstractNum w:abstractNumId="35">
    <w:nsid w:val="7E0C57B1"/>
    <w:multiLevelType w:val="hybridMultilevel"/>
    <w:lvl w:ilvl="0">
      <w:lvlJc w:val="left"/>
      <w:lvlText w:val="•"/>
      <w:numFmt w:val="bullet"/>
      <w:start w:val="1"/>
    </w:lvl>
  </w:abstractNum>
  <w:abstractNum w:abstractNumId="36">
    <w:nsid w:val="77AE35EB"/>
    <w:multiLevelType w:val="hybridMultilevel"/>
    <w:lvl w:ilvl="0">
      <w:lvlJc w:val="left"/>
      <w:lvlText w:val="(%1)"/>
      <w:numFmt w:val="decimal"/>
      <w:start w:val="1"/>
    </w:lvl>
  </w:abstractNum>
  <w:abstractNum w:abstractNumId="37">
    <w:nsid w:val="579BE4F1"/>
    <w:multiLevelType w:val="hybridMultilevel"/>
    <w:lvl w:ilvl="0">
      <w:lvlJc w:val="left"/>
      <w:lvlText w:val="%1."/>
      <w:numFmt w:val="decimal"/>
      <w:start w:val="261"/>
    </w:lvl>
  </w:abstractNum>
  <w:abstractNum w:abstractNumId="38">
    <w:nsid w:val="310C50B3"/>
    <w:multiLevelType w:val="hybridMultilevel"/>
    <w:lvl w:ilvl="0">
      <w:lvlJc w:val="left"/>
      <w:lvlText w:val="•"/>
      <w:numFmt w:val="bullet"/>
      <w:start w:val="1"/>
    </w:lvl>
  </w:abstractNum>
  <w:abstractNum w:abstractNumId="39">
    <w:nsid w:val="5FF87E05"/>
    <w:multiLevelType w:val="hybridMultilevel"/>
    <w:lvl w:ilvl="0">
      <w:lvlJc w:val="left"/>
      <w:lvlText w:val="•"/>
      <w:numFmt w:val="bullet"/>
      <w:start w:val="1"/>
    </w:lvl>
  </w:abstractNum>
  <w:abstractNum w:abstractNumId="40">
    <w:nsid w:val="2F305DEF"/>
    <w:multiLevelType w:val="hybridMultilevel"/>
    <w:lvl w:ilvl="0">
      <w:lvlJc w:val="left"/>
      <w:lvlText w:val="•"/>
      <w:numFmt w:val="bullet"/>
      <w:start w:val="1"/>
    </w:lvl>
  </w:abstractNum>
  <w:abstractNum w:abstractNumId="41">
    <w:nsid w:val="25A70BF7"/>
    <w:multiLevelType w:val="hybridMultilevel"/>
    <w:lvl w:ilvl="0">
      <w:lvlJc w:val="left"/>
      <w:lvlText w:val="•"/>
      <w:numFmt w:val="bullet"/>
      <w:start w:val="1"/>
    </w:lvl>
  </w:abstractNum>
  <w:abstractNum w:abstractNumId="42">
    <w:nsid w:val="1DBABF00"/>
    <w:multiLevelType w:val="hybridMultilevel"/>
    <w:lvl w:ilvl="0">
      <w:lvlJc w:val="left"/>
      <w:lvlText w:val="•"/>
      <w:numFmt w:val="bullet"/>
      <w:start w:val="1"/>
    </w:lvl>
  </w:abstractNum>
  <w:abstractNum w:abstractNumId="43">
    <w:nsid w:val="4AD084E9"/>
    <w:multiLevelType w:val="hybridMultilevel"/>
    <w:lvl w:ilvl="0">
      <w:lvlJc w:val="left"/>
      <w:lvlText w:val="•"/>
      <w:numFmt w:val="bullet"/>
      <w:start w:val="1"/>
    </w:lvl>
  </w:abstractNum>
  <w:abstractNum w:abstractNumId="44">
    <w:nsid w:val="1F48EAA1"/>
    <w:multiLevelType w:val="hybridMultilevel"/>
    <w:lvl w:ilvl="0">
      <w:lvlJc w:val="left"/>
      <w:lvlText w:val="•"/>
      <w:numFmt w:val="bullet"/>
      <w:start w:val="1"/>
    </w:lvl>
  </w:abstractNum>
  <w:abstractNum w:abstractNumId="45">
    <w:nsid w:val="1381823A"/>
    <w:multiLevelType w:val="hybridMultilevel"/>
    <w:lvl w:ilvl="0">
      <w:lvlJc w:val="left"/>
      <w:lvlText w:val="(%1)"/>
      <w:numFmt w:val="lowerRoman"/>
      <w:start w:val="2"/>
    </w:lvl>
  </w:abstractNum>
  <w:abstractNum w:abstractNumId="46">
    <w:nsid w:val="5DB70AE5"/>
    <w:multiLevelType w:val="hybridMultilevel"/>
    <w:lvl w:ilvl="0">
      <w:lvlJc w:val="left"/>
      <w:lvlText w:val="(%1)"/>
      <w:numFmt w:val="decimal"/>
      <w:start w:val="1"/>
    </w:lvl>
  </w:abstractNum>
  <w:abstractNum w:abstractNumId="47">
    <w:nsid w:val="100F8FCA"/>
    <w:multiLevelType w:val="hybridMultilevel"/>
    <w:lvl w:ilvl="0">
      <w:lvlJc w:val="left"/>
      <w:lvlText w:val="•"/>
      <w:numFmt w:val="bullet"/>
      <w:start w:val="1"/>
    </w:lvl>
  </w:abstractNum>
  <w:abstractNum w:abstractNumId="48">
    <w:nsid w:val="6590700B"/>
    <w:multiLevelType w:val="hybridMultilevel"/>
    <w:lvl w:ilvl="0">
      <w:lvlJc w:val="left"/>
      <w:lvlText w:val="•"/>
      <w:numFmt w:val="bullet"/>
      <w:start w:val="1"/>
    </w:lvl>
  </w:abstractNum>
  <w:abstractNum w:abstractNumId="49">
    <w:nsid w:val="15014ACB"/>
    <w:multiLevelType w:val="hybridMultilevel"/>
    <w:lvl w:ilvl="0">
      <w:lvlJc w:val="left"/>
      <w:lvlText w:val="•"/>
      <w:numFmt w:val="bullet"/>
      <w:start w:val="1"/>
    </w:lvl>
  </w:abstractNum>
  <w:abstractNum w:abstractNumId="50">
    <w:nsid w:val="5F5E7FD0"/>
    <w:multiLevelType w:val="hybridMultilevel"/>
    <w:lvl w:ilvl="0">
      <w:lvlJc w:val="left"/>
      <w:lvlText w:val="•"/>
      <w:numFmt w:val="bullet"/>
      <w:start w:val="1"/>
    </w:lvl>
  </w:abstractNum>
  <w:abstractNum w:abstractNumId="51">
    <w:nsid w:val="98A3148"/>
    <w:multiLevelType w:val="hybridMultilevel"/>
    <w:lvl w:ilvl="0">
      <w:lvlJc w:val="left"/>
      <w:lvlText w:val="•"/>
      <w:numFmt w:val="bullet"/>
      <w:start w:val="1"/>
    </w:lvl>
  </w:abstractNum>
  <w:abstractNum w:abstractNumId="52">
    <w:nsid w:val="799D0247"/>
    <w:multiLevelType w:val="hybridMultilevel"/>
    <w:lvl w:ilvl="0">
      <w:lvlJc w:val="left"/>
      <w:lvlText w:val="\emdash "/>
      <w:numFmt w:val="bullet"/>
      <w:start w:val="1"/>
    </w:lvl>
  </w:abstractNum>
  <w:abstractNum w:abstractNumId="53">
    <w:nsid w:val="6B94764"/>
    <w:multiLevelType w:val="hybridMultilevel"/>
    <w:lvl w:ilvl="0">
      <w:lvlJc w:val="left"/>
      <w:lvlText w:val="(%1)"/>
      <w:numFmt w:val="decimal"/>
      <w:start w:val="1"/>
    </w:lvl>
  </w:abstractNum>
  <w:abstractNum w:abstractNumId="54">
    <w:nsid w:val="42C296BD"/>
    <w:multiLevelType w:val="hybridMultilevel"/>
    <w:lvl w:ilvl="0">
      <w:lvlJc w:val="left"/>
      <w:lvlText w:val="(%1)"/>
      <w:numFmt w:val="decimal"/>
      <w:start w:val="1"/>
    </w:lvl>
  </w:abstractNum>
  <w:abstractNum w:abstractNumId="55">
    <w:nsid w:val="168E121F"/>
    <w:multiLevelType w:val="hybridMultilevel"/>
    <w:lvl w:ilvl="0">
      <w:lvlJc w:val="left"/>
      <w:lvlText w:val="(%1)"/>
      <w:numFmt w:val="lowerRoman"/>
      <w:start w:val="3"/>
    </w:lvl>
  </w:abstractNum>
  <w:abstractNum w:abstractNumId="56">
    <w:nsid w:val="1EBA5D23"/>
    <w:multiLevelType w:val="hybridMultilevel"/>
    <w:lvl w:ilvl="0">
      <w:lvlJc w:val="left"/>
      <w:lvlText w:val="*"/>
      <w:numFmt w:val="bullet"/>
      <w:start w:val="1"/>
    </w:lvl>
  </w:abstractNum>
  <w:abstractNum w:abstractNumId="57">
    <w:nsid w:val="661E3F1E"/>
    <w:multiLevelType w:val="hybridMultilevel"/>
    <w:lvl w:ilvl="0">
      <w:lvlJc w:val="left"/>
      <w:lvlText w:val="**"/>
      <w:numFmt w:val="bullet"/>
      <w:start w:val="1"/>
    </w:lvl>
  </w:abstractNum>
  <w:abstractNum w:abstractNumId="58">
    <w:nsid w:val="5DC79EA8"/>
    <w:multiLevelType w:val="hybridMultilevel"/>
    <w:lvl w:ilvl="0">
      <w:lvlJc w:val="left"/>
      <w:lvlText w:val="(%1)"/>
      <w:numFmt w:val="decimal"/>
      <w:start w:val="1"/>
    </w:lvl>
  </w:abstractNum>
  <w:abstractNum w:abstractNumId="59">
    <w:nsid w:val="540A471C"/>
    <w:multiLevelType w:val="hybridMultilevel"/>
    <w:lvl w:ilvl="0">
      <w:lvlJc w:val="left"/>
      <w:lvlText w:val="(%1)"/>
      <w:numFmt w:val="decimal"/>
      <w:start w:val="2"/>
    </w:lvl>
  </w:abstractNum>
  <w:abstractNum w:abstractNumId="60">
    <w:nsid w:val="7BD3EE7B"/>
    <w:multiLevelType w:val="hybridMultilevel"/>
    <w:lvl w:ilvl="0">
      <w:lvlJc w:val="left"/>
      <w:lvlText w:val="(%1)"/>
      <w:numFmt w:val="decimal"/>
      <w:start w:val="1"/>
    </w:lvl>
  </w:abstractNum>
  <w:abstractNum w:abstractNumId="61">
    <w:nsid w:val="51D9C564"/>
    <w:multiLevelType w:val="hybridMultilevel"/>
    <w:lvl w:ilvl="0">
      <w:lvlJc w:val="left"/>
      <w:lvlText w:val="(%1)"/>
      <w:numFmt w:val="decimal"/>
      <w:start w:val="1"/>
    </w:lvl>
  </w:abstractNum>
  <w:abstractNum w:abstractNumId="62">
    <w:nsid w:val="613EFDC5"/>
    <w:multiLevelType w:val="hybridMultilevel"/>
    <w:lvl w:ilvl="0">
      <w:lvlJc w:val="left"/>
      <w:lvlText w:val="(%1)"/>
      <w:numFmt w:val="decimal"/>
      <w:start w:val="1"/>
    </w:lvl>
  </w:abstractNum>
  <w:abstractNum w:abstractNumId="63">
    <w:nsid w:val="BF72B14"/>
    <w:multiLevelType w:val="hybridMultilevel"/>
    <w:lvl w:ilvl="0">
      <w:lvlJc w:val="left"/>
      <w:lvlText w:val="(%1)"/>
      <w:numFmt w:val="decimal"/>
      <w:start w:val="3"/>
    </w:lvl>
  </w:abstractNum>
  <w:abstractNum w:abstractNumId="64">
    <w:nsid w:val="11447B73"/>
    <w:multiLevelType w:val="hybridMultilevel"/>
    <w:lvl w:ilvl="0">
      <w:lvlJc w:val="left"/>
      <w:lvlText w:val="(%1)"/>
      <w:numFmt w:val="decimal"/>
      <w:start w:val="1"/>
    </w:lvl>
  </w:abstractNum>
  <w:abstractNum w:abstractNumId="65">
    <w:nsid w:val="42963E5A"/>
    <w:multiLevelType w:val="hybridMultilevel"/>
    <w:lvl w:ilvl="0">
      <w:lvlJc w:val="left"/>
      <w:lvlText w:val="(%1)"/>
      <w:numFmt w:val="lowerLetter"/>
      <w:start w:val="9"/>
    </w:lvl>
    <w:lvl w:ilvl="1">
      <w:lvlJc w:val="left"/>
      <w:lvlText w:val="(%2)"/>
      <w:numFmt w:val="lowerLetter"/>
      <w:start w:val="1"/>
    </w:lvl>
  </w:abstractNum>
  <w:abstractNum w:abstractNumId="66">
    <w:nsid w:val="A0382C5"/>
    <w:multiLevelType w:val="hybridMultilevel"/>
    <w:lvl w:ilvl="0">
      <w:lvlJc w:val="left"/>
      <w:lvlText w:val="(%1)"/>
      <w:numFmt w:val="lowerLetter"/>
      <w:start w:val="35"/>
    </w:lvl>
    <w:lvl w:ilvl="1">
      <w:lvlJc w:val="left"/>
      <w:lvlText w:val="(%2)"/>
      <w:numFmt w:val="lowerLetter"/>
      <w:start w:val="1"/>
    </w:lvl>
  </w:abstractNum>
  <w:abstractNum w:abstractNumId="67">
    <w:nsid w:val="8F2B15E"/>
    <w:multiLevelType w:val="hybridMultilevel"/>
    <w:lvl w:ilvl="0">
      <w:lvlJc w:val="left"/>
      <w:lvlText w:val="(%1)"/>
      <w:numFmt w:val="lowerLetter"/>
      <w:start w:val="5"/>
    </w:lvl>
  </w:abstractNum>
  <w:abstractNum w:abstractNumId="68">
    <w:nsid w:val="1A32234B"/>
    <w:multiLevelType w:val="hybridMultilevel"/>
    <w:lvl w:ilvl="0">
      <w:lvlJc w:val="left"/>
      <w:lvlText w:val="(%1)"/>
      <w:numFmt w:val="lowerLetter"/>
      <w:start w:val="61"/>
    </w:lvl>
    <w:lvl w:ilvl="1">
      <w:lvlJc w:val="left"/>
      <w:lvlText w:val="(%2)"/>
      <w:numFmt w:val="lowerLetter"/>
      <w:start w:val="1"/>
    </w:lvl>
  </w:abstractNum>
  <w:abstractNum w:abstractNumId="69">
    <w:nsid w:val="3B0FD379"/>
    <w:multiLevelType w:val="hybridMultilevel"/>
    <w:lvl w:ilvl="0">
      <w:lvlJc w:val="left"/>
      <w:lvlText w:val="(%1)"/>
      <w:numFmt w:val="decimal"/>
      <w:start w:val="1"/>
    </w:lvl>
  </w:abstractNum>
  <w:abstractNum w:abstractNumId="70">
    <w:nsid w:val="68EB2F63"/>
    <w:multiLevelType w:val="hybridMultilevel"/>
    <w:lvl w:ilvl="0">
      <w:lvlJc w:val="left"/>
      <w:lvlText w:val="(%1)"/>
      <w:numFmt w:val="lowerRoman"/>
      <w:start w:val="2"/>
    </w:lvl>
  </w:abstractNum>
  <w:abstractNum w:abstractNumId="71">
    <w:nsid w:val="4962813B"/>
    <w:multiLevelType w:val="hybridMultilevel"/>
    <w:lvl w:ilvl="0">
      <w:lvlJc w:val="left"/>
      <w:lvlText w:val="(%1)"/>
      <w:numFmt w:val="decimal"/>
      <w:start w:val="1"/>
    </w:lvl>
  </w:abstractNum>
  <w:abstractNum w:abstractNumId="72">
    <w:nsid w:val="60B6DF70"/>
    <w:multiLevelType w:val="hybridMultilevel"/>
    <w:lvl w:ilvl="0">
      <w:lvlJc w:val="left"/>
      <w:lvlText w:val="(%1)"/>
      <w:numFmt w:val="lowerRoman"/>
      <w:start w:val="1"/>
    </w:lvl>
  </w:abstractNum>
  <w:abstractNum w:abstractNumId="73">
    <w:nsid w:val="6A5EE64"/>
    <w:multiLevelType w:val="hybridMultilevel"/>
    <w:lvl w:ilvl="0">
      <w:lvlJc w:val="left"/>
      <w:lvlText w:val="(%1)"/>
      <w:numFmt w:val="decimal"/>
      <w:start w:val="6"/>
    </w:lvl>
  </w:abstractNum>
  <w:abstractNum w:abstractNumId="74">
    <w:nsid w:val="14330624"/>
    <w:multiLevelType w:val="hybridMultilevel"/>
    <w:lvl w:ilvl="0">
      <w:lvlJc w:val="left"/>
      <w:lvlText w:val="•"/>
      <w:numFmt w:val="bullet"/>
      <w:start w:val="1"/>
    </w:lvl>
  </w:abstractNum>
  <w:abstractNum w:abstractNumId="75">
    <w:nsid w:val="7FFFCA11"/>
    <w:multiLevelType w:val="hybridMultilevel"/>
    <w:lvl w:ilvl="0">
      <w:lvlJc w:val="left"/>
      <w:lvlText w:val="•"/>
      <w:numFmt w:val="bullet"/>
      <w:start w:val="1"/>
    </w:lvl>
  </w:abstractNum>
  <w:abstractNum w:abstractNumId="76">
    <w:nsid w:val="1A27709E"/>
    <w:multiLevelType w:val="hybridMultilevel"/>
    <w:lvl w:ilvl="0">
      <w:lvlJc w:val="left"/>
      <w:lvlText w:val="(%1)"/>
      <w:numFmt w:val="decimal"/>
      <w:start w:val="2"/>
    </w:lvl>
  </w:abstractNum>
  <w:abstractNum w:abstractNumId="77">
    <w:nsid w:val="71EA1109"/>
    <w:multiLevelType w:val="hybridMultilevel"/>
    <w:lvl w:ilvl="0">
      <w:lvlJc w:val="left"/>
      <w:lvlText w:val="(%1)"/>
      <w:numFmt w:val="decimal"/>
      <w:start w:val="4"/>
    </w:lvl>
  </w:abstractNum>
  <w:abstractNum w:abstractNumId="78">
    <w:nsid w:val="100F59DC"/>
    <w:multiLevelType w:val="hybridMultilevel"/>
    <w:lvl w:ilvl="0">
      <w:lvlJc w:val="left"/>
      <w:lvlText w:val="•"/>
      <w:numFmt w:val="bullet"/>
      <w:start w:val="1"/>
    </w:lvl>
    <w:lvl w:ilvl="1">
      <w:lvlJc w:val="left"/>
      <w:lvlText w:val="(%2)"/>
      <w:numFmt w:val="lowerRoman"/>
      <w:start w:val="2"/>
    </w:lvl>
  </w:abstractNum>
  <w:abstractNum w:abstractNumId="79">
    <w:nsid w:val="7FB7E0AA"/>
    <w:multiLevelType w:val="hybridMultilevel"/>
    <w:lvl w:ilvl="0">
      <w:lvlJc w:val="left"/>
      <w:lvlText w:val="•"/>
      <w:numFmt w:val="bullet"/>
      <w:start w:val="1"/>
    </w:lvl>
  </w:abstractNum>
  <w:abstractNum w:abstractNumId="80">
    <w:nsid w:val="6EB5BD4"/>
    <w:multiLevelType w:val="hybridMultilevel"/>
    <w:lvl w:ilvl="0">
      <w:lvlJc w:val="left"/>
      <w:lvlText w:val="(%1)"/>
      <w:numFmt w:val="decimal"/>
      <w:start w:val="1"/>
    </w:lvl>
  </w:abstractNum>
  <w:abstractNum w:abstractNumId="81">
    <w:nsid w:val="6F6DD9AC"/>
    <w:multiLevelType w:val="hybridMultilevel"/>
    <w:lvl w:ilvl="0">
      <w:lvlJc w:val="left"/>
      <w:lvlText w:val="•"/>
      <w:numFmt w:val="bullet"/>
      <w:start w:val="1"/>
    </w:lvl>
  </w:abstractNum>
  <w:abstractNum w:abstractNumId="82">
    <w:nsid w:val="94211F2"/>
    <w:multiLevelType w:val="hybridMultilevel"/>
    <w:lvl w:ilvl="0">
      <w:lvlJc w:val="left"/>
      <w:lvlText w:val="•"/>
      <w:numFmt w:val="bullet"/>
      <w:start w:val="1"/>
    </w:lvl>
  </w:abstractNum>
  <w:abstractNum w:abstractNumId="83">
    <w:nsid w:val="885E1B"/>
    <w:multiLevelType w:val="hybridMultilevel"/>
    <w:lvl w:ilvl="0">
      <w:lvlJc w:val="left"/>
      <w:lvlText w:val="*"/>
      <w:numFmt w:val="bullet"/>
      <w:start w:val="1"/>
    </w:lvl>
  </w:abstractNum>
  <w:abstractNum w:abstractNumId="84">
    <w:nsid w:val="76272110"/>
    <w:multiLevelType w:val="hybridMultilevel"/>
    <w:lvl w:ilvl="0">
      <w:lvlJc w:val="left"/>
      <w:lvlText w:val="(%1)"/>
      <w:numFmt w:val="decimal"/>
      <w:start w:val="1"/>
    </w:lvl>
  </w:abstractNum>
  <w:abstractNum w:abstractNumId="85">
    <w:nsid w:val="4C04A8AF"/>
    <w:multiLevelType w:val="hybridMultilevel"/>
    <w:lvl w:ilvl="0">
      <w:lvlJc w:val="left"/>
      <w:lvlText w:val="(%1)"/>
      <w:numFmt w:val="decimal"/>
      <w:start w:val="5"/>
    </w:lvl>
    <w:lvl w:ilvl="1">
      <w:lvlJc w:val="left"/>
      <w:lvlText w:val="(%2)"/>
      <w:numFmt w:val="lowerRoman"/>
      <w:start w:val="3"/>
    </w:lvl>
  </w:abstractNum>
  <w:abstractNum w:abstractNumId="86">
    <w:nsid w:val="1716703B"/>
    <w:multiLevelType w:val="hybridMultilevel"/>
    <w:lvl w:ilvl="0">
      <w:lvlJc w:val="left"/>
      <w:lvlText w:val="%1"/>
      <w:numFmt w:val="decimal"/>
      <w:start w:val="1"/>
    </w:lvl>
    <w:lvl w:ilvl="1">
      <w:lvlJc w:val="left"/>
      <w:lvlText w:val="(%2)"/>
      <w:numFmt w:val="lowerRoman"/>
      <w:start w:val="7"/>
    </w:lvl>
  </w:abstractNum>
  <w:abstractNum w:abstractNumId="87">
    <w:nsid w:val="14E17E33"/>
    <w:multiLevelType w:val="hybridMultilevel"/>
    <w:lvl w:ilvl="0">
      <w:lvlJc w:val="left"/>
      <w:lvlText w:val="(%1)"/>
      <w:numFmt w:val="decimal"/>
      <w:start w:val="7"/>
    </w:lvl>
    <w:lvl w:ilvl="1">
      <w:lvlJc w:val="left"/>
      <w:lvlText w:val="(%2)"/>
      <w:numFmt w:val="lowerRoman"/>
      <w:start w:val="8"/>
    </w:lvl>
  </w:abstractNum>
  <w:abstractNum w:abstractNumId="88">
    <w:nsid w:val="3222E7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2026-04-29T05:11:23Z</dcterms:created>
  <dcterms:modified xsi:type="dcterms:W3CDTF">2026-04-29T05:11:23Z</dcterms:modified>
</cp:coreProperties>
</file>