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483870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449580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48" w:lineRule="exact"/>
        <w:rPr>
          <w:sz w:val="24"/>
          <w:szCs w:val="24"/>
          <w:color w:val="auto"/>
        </w:rPr>
      </w:pPr>
    </w:p>
    <w:p>
      <w:pPr>
        <w:ind w:left="3880" w:right="1660" w:hanging="3854"/>
        <w:spacing w:after="0" w:line="394" w:lineRule="auto"/>
        <w:tabs>
          <w:tab w:leader="none" w:pos="399" w:val="left"/>
        </w:tabs>
        <w:numPr>
          <w:ilvl w:val="0"/>
          <w:numId w:val="1"/>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55"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8" w:lineRule="exact"/>
        <w:rPr>
          <w:sz w:val="24"/>
          <w:szCs w:val="24"/>
          <w:color w:val="auto"/>
        </w:rPr>
      </w:pPr>
    </w:p>
    <w:p>
      <w:pPr>
        <w:ind w:left="380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3917950</wp:posOffset>
            </wp:positionH>
            <wp:positionV relativeFrom="paragraph">
              <wp:posOffset>-7620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51"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2340" w:type="dxa"/>
            <w:vAlign w:val="bottom"/>
          </w:tcPr>
          <w:p>
            <w:pPr>
              <w:spacing w:after="0"/>
              <w:rPr>
                <w:sz w:val="19"/>
                <w:szCs w:val="19"/>
                <w:color w:val="auto"/>
              </w:rPr>
            </w:pPr>
          </w:p>
        </w:tc>
        <w:tc>
          <w:tcPr>
            <w:tcW w:w="6360" w:type="dxa"/>
            <w:vAlign w:val="bottom"/>
          </w:tcPr>
          <w:p>
            <w:pPr>
              <w:jc w:val="center"/>
              <w:ind w:right="1831"/>
              <w:spacing w:after="0"/>
              <w:rPr>
                <w:sz w:val="20"/>
                <w:szCs w:val="20"/>
                <w:color w:val="auto"/>
              </w:rPr>
            </w:pPr>
            <w:r>
              <w:rPr>
                <w:rFonts w:ascii="Arial" w:cs="Arial" w:eastAsia="Arial" w:hAnsi="Arial"/>
                <w:sz w:val="18"/>
                <w:szCs w:val="18"/>
                <w:b w:val="1"/>
                <w:bCs w:val="1"/>
                <w:color w:val="auto"/>
                <w:w w:val="89"/>
              </w:rPr>
              <w:t>Commission file number: 001-34511</w:t>
            </w:r>
          </w:p>
        </w:tc>
      </w:tr>
      <w:tr>
        <w:trPr>
          <w:trHeight w:val="207"/>
        </w:trPr>
        <w:tc>
          <w:tcPr>
            <w:tcW w:w="2340" w:type="dxa"/>
            <w:vAlign w:val="bottom"/>
          </w:tcPr>
          <w:p>
            <w:pPr>
              <w:spacing w:after="0"/>
              <w:rPr>
                <w:sz w:val="18"/>
                <w:szCs w:val="18"/>
                <w:color w:val="auto"/>
              </w:rPr>
            </w:pPr>
          </w:p>
        </w:tc>
        <w:tc>
          <w:tcPr>
            <w:tcW w:w="6360" w:type="dxa"/>
            <w:vAlign w:val="bottom"/>
          </w:tcPr>
          <w:p>
            <w:pPr>
              <w:jc w:val="right"/>
              <w:ind w:right="2331"/>
              <w:spacing w:after="0"/>
              <w:rPr>
                <w:sz w:val="20"/>
                <w:szCs w:val="20"/>
                <w:color w:val="auto"/>
              </w:rPr>
            </w:pPr>
            <w:r>
              <w:rPr>
                <w:rFonts w:ascii="Arial" w:cs="Arial" w:eastAsia="Arial" w:hAnsi="Arial"/>
                <w:sz w:val="18"/>
                <w:szCs w:val="18"/>
                <w:color w:val="auto"/>
              </w:rPr>
              <w:t>______________________________________</w:t>
            </w:r>
          </w:p>
        </w:tc>
      </w:tr>
      <w:tr>
        <w:trPr>
          <w:trHeight w:val="306"/>
        </w:trPr>
        <w:tc>
          <w:tcPr>
            <w:tcW w:w="2340" w:type="dxa"/>
            <w:vAlign w:val="bottom"/>
          </w:tcPr>
          <w:p>
            <w:pPr>
              <w:spacing w:after="0"/>
              <w:rPr>
                <w:sz w:val="24"/>
                <w:szCs w:val="24"/>
                <w:color w:val="auto"/>
              </w:rPr>
            </w:pPr>
          </w:p>
        </w:tc>
        <w:tc>
          <w:tcPr>
            <w:tcW w:w="6360" w:type="dxa"/>
            <w:vAlign w:val="bottom"/>
          </w:tcPr>
          <w:p>
            <w:pPr>
              <w:jc w:val="center"/>
              <w:ind w:right="1811"/>
              <w:spacing w:after="0"/>
              <w:rPr>
                <w:sz w:val="20"/>
                <w:szCs w:val="20"/>
                <w:color w:val="auto"/>
              </w:rPr>
            </w:pPr>
            <w:r>
              <w:rPr>
                <w:rFonts w:ascii="Arial" w:cs="Arial" w:eastAsia="Arial" w:hAnsi="Arial"/>
                <w:sz w:val="25"/>
                <w:szCs w:val="25"/>
                <w:b w:val="1"/>
                <w:bCs w:val="1"/>
                <w:color w:val="auto"/>
              </w:rPr>
              <w:t>FORTINET, INC.</w:t>
            </w:r>
          </w:p>
        </w:tc>
      </w:tr>
      <w:tr>
        <w:trPr>
          <w:trHeight w:val="193"/>
        </w:trPr>
        <w:tc>
          <w:tcPr>
            <w:tcW w:w="2340" w:type="dxa"/>
            <w:vAlign w:val="bottom"/>
          </w:tcPr>
          <w:p>
            <w:pPr>
              <w:spacing w:after="0"/>
              <w:rPr>
                <w:sz w:val="16"/>
                <w:szCs w:val="16"/>
                <w:color w:val="auto"/>
              </w:rPr>
            </w:pPr>
          </w:p>
        </w:tc>
        <w:tc>
          <w:tcPr>
            <w:tcW w:w="6360" w:type="dxa"/>
            <w:vAlign w:val="bottom"/>
          </w:tcPr>
          <w:p>
            <w:pPr>
              <w:jc w:val="center"/>
              <w:ind w:right="181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06"/>
        </w:trPr>
        <w:tc>
          <w:tcPr>
            <w:tcW w:w="2340" w:type="dxa"/>
            <w:vAlign w:val="bottom"/>
          </w:tcPr>
          <w:p>
            <w:pPr>
              <w:spacing w:after="0"/>
              <w:rPr>
                <w:sz w:val="17"/>
                <w:szCs w:val="17"/>
                <w:color w:val="auto"/>
              </w:rPr>
            </w:pPr>
          </w:p>
        </w:tc>
        <w:tc>
          <w:tcPr>
            <w:tcW w:w="6360" w:type="dxa"/>
            <w:vAlign w:val="bottom"/>
          </w:tcPr>
          <w:p>
            <w:pPr>
              <w:jc w:val="right"/>
              <w:ind w:right="2511"/>
              <w:spacing w:after="0"/>
              <w:rPr>
                <w:sz w:val="20"/>
                <w:szCs w:val="20"/>
                <w:color w:val="auto"/>
              </w:rPr>
            </w:pPr>
            <w:r>
              <w:rPr>
                <w:rFonts w:ascii="Arial" w:cs="Arial" w:eastAsia="Arial" w:hAnsi="Arial"/>
                <w:sz w:val="16"/>
                <w:szCs w:val="16"/>
                <w:color w:val="auto"/>
              </w:rPr>
              <w:t>______________________________________</w:t>
            </w:r>
          </w:p>
        </w:tc>
      </w:tr>
      <w:tr>
        <w:trPr>
          <w:trHeight w:val="681"/>
        </w:trPr>
        <w:tc>
          <w:tcPr>
            <w:tcW w:w="2340" w:type="dxa"/>
            <w:vAlign w:val="bottom"/>
          </w:tcPr>
          <w:p>
            <w:pPr>
              <w:jc w:val="center"/>
              <w:ind w:right="136"/>
              <w:spacing w:after="0"/>
              <w:rPr>
                <w:sz w:val="20"/>
                <w:szCs w:val="20"/>
                <w:color w:val="auto"/>
              </w:rPr>
            </w:pPr>
            <w:r>
              <w:rPr>
                <w:rFonts w:ascii="Arial" w:cs="Arial" w:eastAsia="Arial" w:hAnsi="Arial"/>
                <w:sz w:val="18"/>
                <w:szCs w:val="18"/>
                <w:b w:val="1"/>
                <w:bCs w:val="1"/>
                <w:color w:val="auto"/>
                <w:w w:val="91"/>
              </w:rPr>
              <w:t>Delaware</w:t>
            </w:r>
          </w:p>
        </w:tc>
        <w:tc>
          <w:tcPr>
            <w:tcW w:w="6360" w:type="dxa"/>
            <w:vAlign w:val="bottom"/>
          </w:tcPr>
          <w:p>
            <w:pPr>
              <w:jc w:val="center"/>
              <w:ind w:left="4991"/>
              <w:spacing w:after="0"/>
              <w:rPr>
                <w:sz w:val="20"/>
                <w:szCs w:val="20"/>
                <w:color w:val="auto"/>
              </w:rPr>
            </w:pPr>
            <w:r>
              <w:rPr>
                <w:rFonts w:ascii="Arial" w:cs="Arial" w:eastAsia="Arial" w:hAnsi="Arial"/>
                <w:sz w:val="18"/>
                <w:szCs w:val="18"/>
                <w:b w:val="1"/>
                <w:bCs w:val="1"/>
                <w:color w:val="auto"/>
                <w:w w:val="91"/>
              </w:rPr>
              <w:t>77-0560389</w:t>
            </w:r>
          </w:p>
        </w:tc>
      </w:tr>
      <w:tr>
        <w:trPr>
          <w:trHeight w:val="203"/>
        </w:trPr>
        <w:tc>
          <w:tcPr>
            <w:tcW w:w="2340" w:type="dxa"/>
            <w:vAlign w:val="bottom"/>
          </w:tcPr>
          <w:p>
            <w:pPr>
              <w:jc w:val="center"/>
              <w:ind w:right="156"/>
              <w:spacing w:after="0"/>
              <w:rPr>
                <w:sz w:val="20"/>
                <w:szCs w:val="20"/>
                <w:color w:val="auto"/>
              </w:rPr>
            </w:pPr>
            <w:r>
              <w:rPr>
                <w:rFonts w:ascii="Arial" w:cs="Arial" w:eastAsia="Arial" w:hAnsi="Arial"/>
                <w:sz w:val="16"/>
                <w:szCs w:val="16"/>
                <w:b w:val="1"/>
                <w:bCs w:val="1"/>
                <w:color w:val="auto"/>
                <w:w w:val="91"/>
              </w:rPr>
              <w:t>(State or other jurisdiction of</w:t>
            </w:r>
          </w:p>
        </w:tc>
        <w:tc>
          <w:tcPr>
            <w:tcW w:w="6360" w:type="dxa"/>
            <w:vAlign w:val="bottom"/>
          </w:tcPr>
          <w:p>
            <w:pPr>
              <w:jc w:val="center"/>
              <w:ind w:left="4991"/>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2340" w:type="dxa"/>
            <w:vAlign w:val="bottom"/>
          </w:tcPr>
          <w:p>
            <w:pPr>
              <w:jc w:val="center"/>
              <w:ind w:right="136"/>
              <w:spacing w:after="0"/>
              <w:rPr>
                <w:sz w:val="20"/>
                <w:szCs w:val="20"/>
                <w:color w:val="auto"/>
              </w:rPr>
            </w:pPr>
            <w:r>
              <w:rPr>
                <w:rFonts w:ascii="Arial" w:cs="Arial" w:eastAsia="Arial" w:hAnsi="Arial"/>
                <w:sz w:val="16"/>
                <w:szCs w:val="16"/>
                <w:b w:val="1"/>
                <w:bCs w:val="1"/>
                <w:color w:val="auto"/>
                <w:w w:val="92"/>
              </w:rPr>
              <w:t>incorporation or organization)</w:t>
            </w:r>
          </w:p>
        </w:tc>
        <w:tc>
          <w:tcPr>
            <w:tcW w:w="6360" w:type="dxa"/>
            <w:vAlign w:val="bottom"/>
          </w:tcPr>
          <w:p>
            <w:pPr>
              <w:jc w:val="center"/>
              <w:ind w:left="4991"/>
              <w:spacing w:after="0"/>
              <w:rPr>
                <w:sz w:val="20"/>
                <w:szCs w:val="20"/>
                <w:color w:val="auto"/>
              </w:rPr>
            </w:pPr>
            <w:r>
              <w:rPr>
                <w:rFonts w:ascii="Arial" w:cs="Arial" w:eastAsia="Arial" w:hAnsi="Arial"/>
                <w:sz w:val="16"/>
                <w:szCs w:val="16"/>
                <w:b w:val="1"/>
                <w:bCs w:val="1"/>
                <w:color w:val="auto"/>
                <w:w w:val="94"/>
              </w:rPr>
              <w:t>Identification No.)</w:t>
            </w:r>
          </w:p>
        </w:tc>
      </w:tr>
      <w:tr>
        <w:trPr>
          <w:trHeight w:val="608"/>
        </w:trPr>
        <w:tc>
          <w:tcPr>
            <w:tcW w:w="2340" w:type="dxa"/>
            <w:vAlign w:val="bottom"/>
          </w:tcPr>
          <w:p>
            <w:pPr>
              <w:spacing w:after="0"/>
              <w:rPr>
                <w:sz w:val="24"/>
                <w:szCs w:val="24"/>
                <w:color w:val="auto"/>
              </w:rPr>
            </w:pPr>
          </w:p>
        </w:tc>
        <w:tc>
          <w:tcPr>
            <w:tcW w:w="6360" w:type="dxa"/>
            <w:vAlign w:val="bottom"/>
          </w:tcPr>
          <w:p>
            <w:pPr>
              <w:jc w:val="center"/>
              <w:ind w:right="1811"/>
              <w:spacing w:after="0"/>
              <w:rPr>
                <w:sz w:val="20"/>
                <w:szCs w:val="20"/>
                <w:color w:val="auto"/>
              </w:rPr>
            </w:pPr>
            <w:r>
              <w:rPr>
                <w:rFonts w:ascii="Arial" w:cs="Arial" w:eastAsia="Arial" w:hAnsi="Arial"/>
                <w:sz w:val="18"/>
                <w:szCs w:val="18"/>
                <w:b w:val="1"/>
                <w:bCs w:val="1"/>
                <w:color w:val="auto"/>
                <w:w w:val="93"/>
              </w:rPr>
              <w:t>899 Kifer Road</w:t>
            </w:r>
          </w:p>
        </w:tc>
      </w:tr>
      <w:tr>
        <w:trPr>
          <w:trHeight w:val="180"/>
        </w:trPr>
        <w:tc>
          <w:tcPr>
            <w:tcW w:w="2340" w:type="dxa"/>
            <w:vAlign w:val="bottom"/>
          </w:tcPr>
          <w:p>
            <w:pPr>
              <w:spacing w:after="0"/>
              <w:rPr>
                <w:sz w:val="15"/>
                <w:szCs w:val="15"/>
                <w:color w:val="auto"/>
              </w:rPr>
            </w:pPr>
          </w:p>
        </w:tc>
        <w:tc>
          <w:tcPr>
            <w:tcW w:w="6360" w:type="dxa"/>
            <w:vAlign w:val="bottom"/>
          </w:tcPr>
          <w:p>
            <w:pPr>
              <w:jc w:val="center"/>
              <w:ind w:right="1811"/>
              <w:spacing w:after="0" w:line="181" w:lineRule="exact"/>
              <w:rPr>
                <w:sz w:val="20"/>
                <w:szCs w:val="20"/>
                <w:color w:val="auto"/>
              </w:rPr>
            </w:pPr>
            <w:r>
              <w:rPr>
                <w:rFonts w:ascii="Arial" w:cs="Arial" w:eastAsia="Arial" w:hAnsi="Arial"/>
                <w:sz w:val="18"/>
                <w:szCs w:val="18"/>
                <w:b w:val="1"/>
                <w:bCs w:val="1"/>
                <w:color w:val="auto"/>
                <w:w w:val="91"/>
              </w:rPr>
              <w:t>Sunnyvale, California 94086</w:t>
            </w:r>
          </w:p>
        </w:tc>
      </w:tr>
      <w:tr>
        <w:trPr>
          <w:trHeight w:val="210"/>
        </w:trPr>
        <w:tc>
          <w:tcPr>
            <w:tcW w:w="2340" w:type="dxa"/>
            <w:vAlign w:val="bottom"/>
          </w:tcPr>
          <w:p>
            <w:pPr>
              <w:spacing w:after="0"/>
              <w:rPr>
                <w:sz w:val="18"/>
                <w:szCs w:val="18"/>
                <w:color w:val="auto"/>
              </w:rPr>
            </w:pPr>
          </w:p>
        </w:tc>
        <w:tc>
          <w:tcPr>
            <w:tcW w:w="6360" w:type="dxa"/>
            <w:vAlign w:val="bottom"/>
          </w:tcPr>
          <w:p>
            <w:pPr>
              <w:jc w:val="center"/>
              <w:ind w:right="1831"/>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r>
    </w:tbl>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235-7700</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ectPr>
          <w:pgSz w:w="11900" w:h="16838" w:orient="portrait"/>
          <w:cols w:equalWidth="0" w:num="1">
            <w:col w:w="11200"/>
          </w:cols>
          <w:pgMar w:left="320" w:top="229" w:right="379" w:bottom="1440" w:gutter="0" w:footer="0" w:header="0"/>
        </w:sectPr>
      </w:pPr>
    </w:p>
    <w:p>
      <w:pPr>
        <w:spacing w:after="0" w:line="154"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1040"/>
        <w:spacing w:after="0"/>
        <w:rPr>
          <w:sz w:val="20"/>
          <w:szCs w:val="20"/>
          <w:color w:val="auto"/>
        </w:rPr>
      </w:pPr>
      <w:r>
        <w:rPr>
          <w:rFonts w:ascii="Arial" w:cs="Arial" w:eastAsia="Arial" w:hAnsi="Arial"/>
          <w:sz w:val="14"/>
          <w:szCs w:val="14"/>
          <w:b w:val="1"/>
          <w:bCs w:val="1"/>
          <w:color w:val="auto"/>
        </w:rPr>
        <w:t>Trading Symbol</w:t>
      </w:r>
    </w:p>
    <w:p>
      <w:pPr>
        <w:spacing w:after="0" w:line="69"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FTNT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700" w:space="720"/>
            <w:col w:w="2160" w:space="720"/>
            <w:col w:w="3900"/>
          </w:cols>
          <w:pgMar w:left="320" w:top="229" w:right="379" w:bottom="1440" w:gutter="0" w:footer="0" w:header="0"/>
          <w:type w:val="continuous"/>
        </w:sectPr>
      </w:pPr>
    </w:p>
    <w:p>
      <w:pPr>
        <w:spacing w:after="0" w:line="146" w:lineRule="exact"/>
        <w:rPr>
          <w:sz w:val="24"/>
          <w:szCs w:val="24"/>
          <w:color w:val="auto"/>
        </w:rPr>
      </w:pPr>
    </w:p>
    <w:p>
      <w:pPr>
        <w:ind w:right="220"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right="40" w:firstLine="283"/>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firstLine="28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38"/>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firstLine="283"/>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81" w:lineRule="exact"/>
        <w:rPr>
          <w:sz w:val="20"/>
          <w:szCs w:val="20"/>
          <w:color w:val="auto"/>
        </w:rPr>
      </w:pPr>
    </w:p>
    <w:p>
      <w:pPr>
        <w:ind w:left="300" w:right="1860"/>
        <w:spacing w:after="0" w:line="3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As of July 29, 2022, there were 788,520,766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400"/>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Balance Sheets as of June 30, 2022 and December 31, 2021</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7840" w:type="dxa"/>
            <w:vAlign w:val="bottom"/>
            <w:gridSpan w:val="14"/>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 xml:space="preserve">Condensed Consolidated Statements of Income for the Three </w:t>
              </w:r>
            </w:hyperlink>
            <w:r>
              <w:rPr>
                <w:rFonts w:ascii="Arial" w:cs="Arial" w:eastAsia="Arial" w:hAnsi="Arial"/>
                <w:sz w:val="18"/>
                <w:szCs w:val="18"/>
                <w:color w:val="0000FF"/>
                <w:w w:val="89"/>
              </w:rPr>
              <w:t xml:space="preserve">and </w:t>
            </w:r>
            <w:hyperlink w:anchor="page6">
              <w:r>
                <w:rPr>
                  <w:rFonts w:ascii="Arial" w:cs="Arial" w:eastAsia="Arial" w:hAnsi="Arial"/>
                  <w:sz w:val="18"/>
                  <w:szCs w:val="18"/>
                  <w:color w:val="0000FF"/>
                  <w:w w:val="89"/>
                </w:rPr>
                <w:t xml:space="preserve">Six Months Ended June </w:t>
              </w:r>
            </w:hyperlink>
            <w:r>
              <w:rPr>
                <w:rFonts w:ascii="Arial" w:cs="Arial" w:eastAsia="Arial" w:hAnsi="Arial"/>
                <w:sz w:val="18"/>
                <w:szCs w:val="18"/>
                <w:color w:val="0000FF"/>
                <w:w w:val="89"/>
              </w:rPr>
              <w:t xml:space="preserve">30, </w:t>
            </w:r>
            <w:hyperlink w:anchor="page6">
              <w:r>
                <w:rPr>
                  <w:rFonts w:ascii="Arial" w:cs="Arial" w:eastAsia="Arial" w:hAnsi="Arial"/>
                  <w:sz w:val="18"/>
                  <w:szCs w:val="18"/>
                  <w:color w:val="0000FF"/>
                  <w:w w:val="89"/>
                </w:rPr>
                <w:t>2022 and 2021</w:t>
              </w:r>
            </w:hyperlink>
          </w:p>
        </w:tc>
        <w:tc>
          <w:tcPr>
            <w:tcW w:w="1800" w:type="dxa"/>
            <w:vAlign w:val="bottom"/>
            <w:gridSpan w:val="3"/>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color w:val="0000FF"/>
                <w:w w:val="95"/>
              </w:rPr>
            </w:pPr>
            <w:hyperlink w:anchor="page7">
              <w:r>
                <w:rPr>
                  <w:rFonts w:ascii="Arial" w:cs="Arial" w:eastAsia="Arial" w:hAnsi="Arial"/>
                  <w:sz w:val="18"/>
                  <w:szCs w:val="18"/>
                  <w:color w:val="0000FF"/>
                  <w:w w:val="95"/>
                </w:rPr>
                <w:t xml:space="preserve">Condensed Consolidated Statements of Comprehensive Income for the Three and Six Months Ended June </w:t>
              </w:r>
            </w:hyperlink>
            <w:r>
              <w:rPr>
                <w:rFonts w:ascii="Arial" w:cs="Arial" w:eastAsia="Arial" w:hAnsi="Arial"/>
                <w:sz w:val="18"/>
                <w:szCs w:val="18"/>
                <w:color w:val="0000FF"/>
                <w:w w:val="95"/>
              </w:rPr>
              <w:t xml:space="preserve">30, </w:t>
            </w:r>
            <w:hyperlink w:anchor="page7">
              <w:r>
                <w:rPr>
                  <w:rFonts w:ascii="Arial" w:cs="Arial" w:eastAsia="Arial" w:hAnsi="Arial"/>
                  <w:sz w:val="18"/>
                  <w:szCs w:val="18"/>
                  <w:color w:val="0000FF"/>
                  <w:w w:val="95"/>
                </w:rPr>
                <w:t>2022 and 2021</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440" w:type="dxa"/>
            <w:vAlign w:val="bottom"/>
            <w:gridSpan w:val="15"/>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Statements of Equity (Deficit) for the Three and Six Months Ended June 30, 2022 and 2021</w:t>
              </w:r>
            </w:hyperlink>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440" w:type="dxa"/>
            <w:vAlign w:val="bottom"/>
            <w:gridSpan w:val="15"/>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 xml:space="preserve">Condensed Consolidated Statements of Cash Flows for the Six Months Ended June </w:t>
              </w:r>
            </w:hyperlink>
            <w:r>
              <w:rPr>
                <w:rFonts w:ascii="Arial" w:cs="Arial" w:eastAsia="Arial" w:hAnsi="Arial"/>
                <w:sz w:val="18"/>
                <w:szCs w:val="18"/>
                <w:color w:val="0000FF"/>
              </w:rPr>
              <w:t xml:space="preserve">30, </w:t>
            </w:r>
            <w:hyperlink w:anchor="page10">
              <w:r>
                <w:rPr>
                  <w:rFonts w:ascii="Arial" w:cs="Arial" w:eastAsia="Arial" w:hAnsi="Arial"/>
                  <w:sz w:val="18"/>
                  <w:szCs w:val="18"/>
                  <w:color w:val="0000FF"/>
                </w:rPr>
                <w:t>2022 and 2021</w:t>
              </w:r>
            </w:hyperlink>
          </w:p>
        </w:tc>
        <w:tc>
          <w:tcPr>
            <w:tcW w:w="1200" w:type="dxa"/>
            <w:vAlign w:val="bottom"/>
            <w:gridSpan w:val="2"/>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360" w:type="dxa"/>
            <w:vAlign w:val="bottom"/>
            <w:gridSpan w:val="13"/>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Financial Statements</w:t>
              </w:r>
            </w:hyperlink>
          </w:p>
        </w:tc>
        <w:tc>
          <w:tcPr>
            <w:tcW w:w="2280" w:type="dxa"/>
            <w:vAlign w:val="bottom"/>
            <w:gridSpan w:val="4"/>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9640" w:type="dxa"/>
            <w:vAlign w:val="bottom"/>
            <w:gridSpan w:val="1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64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3.</w:t>
            </w:r>
          </w:p>
        </w:tc>
        <w:tc>
          <w:tcPr>
            <w:tcW w:w="43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gridSpan w:val="3"/>
          </w:tcPr>
          <w:p>
            <w:pPr>
              <w:spacing w:after="0"/>
              <w:rPr>
                <w:sz w:val="18"/>
                <w:szCs w:val="18"/>
                <w:color w:val="auto"/>
              </w:rPr>
            </w:pPr>
          </w:p>
        </w:tc>
        <w:tc>
          <w:tcPr>
            <w:tcW w:w="320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44</w:t>
              </w:r>
            </w:hyperlink>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4.</w:t>
            </w:r>
          </w:p>
        </w:tc>
        <w:tc>
          <w:tcPr>
            <w:tcW w:w="9640" w:type="dxa"/>
            <w:vAlign w:val="bottom"/>
            <w:gridSpan w:val="17"/>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Controls and Procedures</w:t>
              </w:r>
            </w:hyperlink>
          </w:p>
        </w:tc>
        <w:tc>
          <w:tcPr>
            <w:tcW w:w="64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380"/>
              <w:spacing w:after="0"/>
              <w:rPr>
                <w:sz w:val="20"/>
                <w:szCs w:val="20"/>
                <w:color w:val="auto"/>
              </w:rPr>
            </w:pPr>
            <w:r>
              <w:rPr>
                <w:rFonts w:ascii="Arial" w:cs="Arial" w:eastAsia="Arial" w:hAnsi="Arial"/>
                <w:sz w:val="18"/>
                <w:szCs w:val="18"/>
                <w:b w:val="1"/>
                <w:bCs w:val="1"/>
                <w:color w:val="auto"/>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1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64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832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45</w:t>
              </w:r>
            </w:hyperlink>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Unregistered Sales of Equity Securities and Use of Proceeds</w:t>
              </w:r>
            </w:hyperlink>
          </w:p>
        </w:tc>
        <w:tc>
          <w:tcPr>
            <w:tcW w:w="5300" w:type="dxa"/>
            <w:vAlign w:val="bottom"/>
            <w:gridSpan w:val="7"/>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79</w:t>
              </w:r>
            </w:hyperlink>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Exhibits</w:t>
              </w:r>
            </w:hyperlink>
          </w:p>
        </w:tc>
        <w:tc>
          <w:tcPr>
            <w:tcW w:w="9040" w:type="dxa"/>
            <w:vAlign w:val="bottom"/>
            <w:gridSpan w:val="16"/>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80</w:t>
              </w:r>
            </w:hyperlink>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83">
              <w:r>
                <w:rPr>
                  <w:rFonts w:ascii="Arial" w:cs="Arial" w:eastAsia="Arial" w:hAnsi="Arial"/>
                  <w:sz w:val="18"/>
                  <w:szCs w:val="18"/>
                  <w:color w:val="0000FF"/>
                  <w:w w:val="93"/>
                </w:rPr>
                <w:t>Exhibit Index</w:t>
              </w:r>
            </w:hyperlink>
          </w:p>
        </w:tc>
        <w:tc>
          <w:tcPr>
            <w:tcW w:w="8660" w:type="dxa"/>
            <w:vAlign w:val="bottom"/>
            <w:gridSpan w:val="1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80</w:t>
              </w:r>
            </w:hyperlink>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Signatures</w:t>
              </w:r>
            </w:hyperlink>
          </w:p>
        </w:tc>
        <w:tc>
          <w:tcPr>
            <w:tcW w:w="64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81</w:t>
              </w:r>
            </w:hyperlink>
          </w:p>
        </w:tc>
        <w:tc>
          <w:tcPr>
            <w:tcW w:w="20" w:type="dxa"/>
            <w:vAlign w:val="bottom"/>
          </w:tcPr>
          <w:p>
            <w:pPr>
              <w:spacing w:after="0"/>
              <w:rPr>
                <w:sz w:val="18"/>
                <w:szCs w:val="18"/>
                <w:color w:val="auto"/>
              </w:rPr>
            </w:pPr>
          </w:p>
        </w:tc>
      </w:tr>
      <w:tr>
        <w:trPr>
          <w:trHeight w:val="1715"/>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Summary of Risk Factors</w:t>
      </w:r>
    </w:p>
    <w:p>
      <w:pPr>
        <w:spacing w:after="0" w:line="21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principle risks and uncertainties include the following:</w:t>
      </w:r>
    </w:p>
    <w:p>
      <w:pPr>
        <w:spacing w:after="0" w:line="2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are likely to vary significantly and be unpredictable.</w:t>
      </w:r>
    </w:p>
    <w:p>
      <w:pPr>
        <w:spacing w:after="0" w:line="225" w:lineRule="exact"/>
        <w:rPr>
          <w:rFonts w:ascii="Arial" w:cs="Arial" w:eastAsia="Arial" w:hAnsi="Arial"/>
          <w:sz w:val="18"/>
          <w:szCs w:val="18"/>
          <w:color w:val="auto"/>
        </w:rPr>
      </w:pPr>
    </w:p>
    <w:p>
      <w:pPr>
        <w:jc w:val="both"/>
        <w:ind w:left="660" w:right="140" w:hanging="328"/>
        <w:spacing w:after="0" w:line="27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COVID-19 pandemic, including its ongoing variants, will likely continue to adversely affect our business in a significant way, for example, through product and component shortages, longer product lead times, changes in customer buying-behavior including delays in service contract registrations, accelerating or delaying purchases, changes in the mix of backlog and the related margins or a negative impact on demand.</w:t>
      </w:r>
    </w:p>
    <w:p>
      <w:pPr>
        <w:spacing w:after="0" w:line="188" w:lineRule="exact"/>
        <w:rPr>
          <w:rFonts w:ascii="Arial" w:cs="Arial" w:eastAsia="Arial" w:hAnsi="Arial"/>
          <w:sz w:val="16"/>
          <w:szCs w:val="16"/>
          <w:color w:val="auto"/>
        </w:rPr>
      </w:pPr>
    </w:p>
    <w:p>
      <w:pPr>
        <w:ind w:left="660" w:right="2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conditions, such as a possible recession and possible impacts of inflation or stagflation, or reduced information technology spending may adversely impact our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billings, revenue, and free cash flow growth may slow or may not continue, and our operating margins may decline.</w:t>
      </w:r>
    </w:p>
    <w:p>
      <w:pPr>
        <w:spacing w:after="0" w:line="238"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the continued services and performance of our senior management, as well as our ability to hire, retain and motivate qualified personnel, particularly for our sales organization.</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channel partners for substantially all of our revenue and a small number of distributors represents a large percentage of our revenue and accounts receivable.</w:t>
      </w:r>
    </w:p>
    <w:p>
      <w:pPr>
        <w:spacing w:after="0" w:line="184" w:lineRule="exact"/>
        <w:rPr>
          <w:rFonts w:ascii="Arial" w:cs="Arial" w:eastAsia="Arial" w:hAnsi="Arial"/>
          <w:sz w:val="18"/>
          <w:szCs w:val="18"/>
          <w:color w:val="auto"/>
        </w:rPr>
      </w:pPr>
    </w:p>
    <w:p>
      <w:pPr>
        <w:ind w:left="660" w:right="34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concentration of shipments at the end of the quarter could cause our billings and revenue to fall below expected levels or delay collections and the related addition to free cash flow.</w:t>
      </w:r>
    </w:p>
    <w:p>
      <w:pPr>
        <w:spacing w:after="0" w:line="21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significantly on revenue from FortiGuard security subscription and FortiCare technical support services, and revenue from these services may decline or fluctuate.</w:t>
      </w:r>
    </w:p>
    <w:p>
      <w:pPr>
        <w:spacing w:after="0" w:line="197"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indebtedness and may incur other debt in the future, which may adversely affect our financial condition and future financial results.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generate a majority of revenue and cash flow from sales outside of the United States.</w:t>
      </w:r>
    </w:p>
    <w:p>
      <w:pPr>
        <w:spacing w:after="0" w:line="23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 in Ukraine, related macroeconomic effects and our decision to suspend operations in Russia have affected and may continue to affect our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executing our strategy to increase our sales to large- and medium-sized end-customers.</w:t>
      </w:r>
    </w:p>
    <w:p>
      <w:pPr>
        <w:spacing w:after="0" w:line="238" w:lineRule="exact"/>
        <w:rPr>
          <w:rFonts w:ascii="Arial" w:cs="Arial" w:eastAsia="Arial" w:hAnsi="Arial"/>
          <w:sz w:val="18"/>
          <w:szCs w:val="18"/>
          <w:color w:val="auto"/>
        </w:rPr>
      </w:pPr>
    </w:p>
    <w:p>
      <w:pPr>
        <w:ind w:left="660" w:right="7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revenue is generated by sales to government organizations and customers, which are subject to a number of regulatory requirements, challenges and risks.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intense competition in our market and we may not maintain or improve our competitive position.</w:t>
      </w:r>
    </w:p>
    <w:p>
      <w:pPr>
        <w:spacing w:after="0" w:line="238" w:lineRule="exact"/>
        <w:rPr>
          <w:rFonts w:ascii="Arial" w:cs="Arial" w:eastAsia="Arial" w:hAnsi="Arial"/>
          <w:sz w:val="18"/>
          <w:szCs w:val="18"/>
          <w:color w:val="auto"/>
        </w:rPr>
      </w:pPr>
    </w:p>
    <w:p>
      <w:pPr>
        <w:ind w:left="660" w:right="260" w:hanging="328"/>
        <w:spacing w:after="0" w:line="284"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Insufficient inventory or components, including finished goods, chips and other components, and including component or inventory shortages related to the COVID-19 pandemic, manufacturer’s capacity, shipping challenges, delays in timing of receipts of inventory, or other factors affecting the global supply chain, may result in lost sales opportunities or delayed billings and revenue and increased costs, and may harm our gross margins and our product price increases designed to help mitigate lower gross margins may not be acceptable to customers.</w:t>
      </w:r>
    </w:p>
    <w:p>
      <w:pPr>
        <w:spacing w:after="0" w:line="168" w:lineRule="exact"/>
        <w:rPr>
          <w:rFonts w:ascii="Arial" w:cs="Arial" w:eastAsia="Arial" w:hAnsi="Arial"/>
          <w:sz w:val="16"/>
          <w:szCs w:val="16"/>
          <w:color w:val="auto"/>
        </w:rPr>
      </w:pPr>
    </w:p>
    <w:p>
      <w:pPr>
        <w:ind w:left="660" w:right="84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third-party manufacturers to provide various components for our products and build our products and are susceptible to manufacturing delays, capacity constraints and cost increases.</w:t>
      </w:r>
    </w:p>
    <w:p>
      <w:pPr>
        <w:spacing w:after="0" w:line="196" w:lineRule="exact"/>
        <w:rPr>
          <w:rFonts w:ascii="Arial" w:cs="Arial" w:eastAsia="Arial" w:hAnsi="Arial"/>
          <w:sz w:val="18"/>
          <w:szCs w:val="18"/>
          <w:color w:val="auto"/>
        </w:rPr>
      </w:pPr>
    </w:p>
    <w:p>
      <w:pPr>
        <w:ind w:left="660" w:right="32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adversely affected by the effects of inflation or stagflation in certain geographies and by the effects of an economic downturn and possible recession.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sectPr>
      </w:pPr>
    </w:p>
    <w:bookmarkStart w:id="4" w:name="page5"/>
    <w:bookmarkEnd w:id="4"/>
    <w:p>
      <w:pPr>
        <w:ind w:left="328" w:right="200" w:hanging="328"/>
        <w:spacing w:after="0" w:line="246"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supply chain constraints, supply shortages and disruptions, long lead times for components and finished goods and supply changes because some of the key components in our products come from limited sources of supply.</w:t>
      </w:r>
    </w:p>
    <w:p>
      <w:pPr>
        <w:spacing w:after="0" w:line="196" w:lineRule="exact"/>
        <w:rPr>
          <w:rFonts w:ascii="Arial" w:cs="Arial" w:eastAsia="Arial" w:hAnsi="Arial"/>
          <w:sz w:val="18"/>
          <w:szCs w:val="18"/>
          <w:color w:val="auto"/>
        </w:rPr>
      </w:pPr>
    </w:p>
    <w:p>
      <w:pPr>
        <w:jc w:val="both"/>
        <w:ind w:left="328" w:right="80" w:hanging="328"/>
        <w:spacing w:after="0" w:line="235"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defects or vulnerabilities in our products or services, as well as reputational harm from the failure or misuse of our products or services, and any actual or perceived defects or vulnerabilities in our products or services or the failure of our products or services to detect or prevent a security breach could harm our reputation.</w:t>
      </w:r>
    </w:p>
    <w:p>
      <w:pPr>
        <w:spacing w:after="0" w:line="242" w:lineRule="exact"/>
        <w:rPr>
          <w:rFonts w:ascii="Arial" w:cs="Arial" w:eastAsia="Arial" w:hAnsi="Arial"/>
          <w:sz w:val="18"/>
          <w:szCs w:val="18"/>
          <w:color w:val="auto"/>
        </w:rPr>
      </w:pPr>
    </w:p>
    <w:p>
      <w:pPr>
        <w:ind w:left="328" w:right="280" w:hanging="328"/>
        <w:spacing w:after="0" w:line="218"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 In addition, any potential future impairment of the value of our investment in Linksys Holdings, Inc. (“Linksys”) could negatively affect our financial condition and results of operations.</w:t>
      </w:r>
    </w:p>
    <w:p>
      <w:pPr>
        <w:spacing w:after="0" w:line="218" w:lineRule="exact"/>
        <w:rPr>
          <w:rFonts w:ascii="Arial" w:cs="Arial" w:eastAsia="Arial" w:hAnsi="Arial"/>
          <w:sz w:val="22"/>
          <w:szCs w:val="22"/>
          <w:color w:val="auto"/>
        </w:rPr>
      </w:pPr>
    </w:p>
    <w:p>
      <w:pPr>
        <w:ind w:left="328" w:right="140" w:hanging="328"/>
        <w:spacing w:after="0" w:line="261"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Investors’ and regulators’ expectations of our performance relating to environmental, social and governance factors may impose additional costs and expose us to new risks.</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exposed to fluctuations in currency exchange rates, which could negatively affect our financial condition and results of operations.</w:t>
      </w:r>
    </w:p>
    <w:p>
      <w:pPr>
        <w:spacing w:after="0" w:line="263"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proprietary rights may be difficult to enforce and we may be subject to claims by others that we infringe their proprietary technology.</w:t>
      </w:r>
    </w:p>
    <w:p>
      <w:pPr>
        <w:spacing w:after="0" w:line="250" w:lineRule="exact"/>
        <w:rPr>
          <w:rFonts w:ascii="Arial" w:cs="Arial" w:eastAsia="Arial" w:hAnsi="Arial"/>
          <w:sz w:val="17"/>
          <w:szCs w:val="17"/>
          <w:color w:val="auto"/>
        </w:rPr>
      </w:pPr>
    </w:p>
    <w:p>
      <w:pPr>
        <w:ind w:left="328" w:right="260" w:hanging="328"/>
        <w:spacing w:after="0" w:line="261"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trading price of our common stock may be volatile, which volatility may be exacerbated by share repurchases under our Share Repurchase Program (the “Repurchase Program”).</w:t>
      </w:r>
    </w:p>
    <w:p>
      <w:pPr>
        <w:spacing w:after="0" w:line="197" w:lineRule="exact"/>
        <w:rPr>
          <w:rFonts w:ascii="Arial" w:cs="Arial" w:eastAsia="Arial" w:hAnsi="Arial"/>
          <w:sz w:val="18"/>
          <w:szCs w:val="18"/>
          <w:color w:val="auto"/>
        </w:rPr>
      </w:pPr>
    </w:p>
    <w:p>
      <w:pPr>
        <w:ind w:left="328" w:right="100" w:hanging="328"/>
        <w:spacing w:after="0" w:line="261"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Anti-takeover provisions contained in our certificate of incorporation and bylaws, as well as provisions of Delaware law, could impair a takeover attempt.</w:t>
      </w:r>
    </w:p>
    <w:p>
      <w:pPr>
        <w:spacing w:after="0" w:line="197"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economic uncertainty and weakening product demand caused by political instability, changes in trade agreements and conflicts, such as the conflict between Russia and Ukraine, could adversely affect our business and financial performance.</w:t>
      </w:r>
    </w:p>
    <w:p>
      <w:pPr>
        <w:spacing w:after="0" w:line="200" w:lineRule="exact"/>
        <w:rPr>
          <w:sz w:val="20"/>
          <w:szCs w:val="20"/>
          <w:color w:val="auto"/>
        </w:rPr>
      </w:pPr>
    </w:p>
    <w:p>
      <w:pPr>
        <w:spacing w:after="0" w:line="308"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881" w:right="37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8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1,319.1</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1,194.0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Marketable equity securities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Accounts receivable—net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DEFERRED CONTRACT COSTS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 (DEFICIT)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Accrued payroll and compensation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1,777.4</w:t>
            </w:r>
          </w:p>
        </w:tc>
        <w:tc>
          <w:tcPr>
            <w:tcW w:w="0" w:type="dxa"/>
            <w:vAlign w:val="bottom"/>
          </w:tcPr>
          <w:p>
            <w:pPr>
              <w:spacing w:after="0"/>
              <w:rPr>
                <w:sz w:val="1"/>
                <w:szCs w:val="1"/>
                <w:color w:val="auto"/>
              </w:rPr>
            </w:pPr>
          </w:p>
        </w:tc>
      </w:tr>
      <w:tr>
        <w:trPr>
          <w:trHeight w:val="223"/>
        </w:trPr>
        <w:tc>
          <w:tcPr>
            <w:tcW w:w="806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2,318.1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1,675.5</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INCOME TAX LIABILITIES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5,120.7</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(DEFICIT):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60" w:type="dxa"/>
            <w:vAlign w:val="bottom"/>
          </w:tcPr>
          <w:p>
            <w:pPr>
              <w:ind w:left="480"/>
              <w:spacing w:after="0" w:line="176" w:lineRule="exact"/>
              <w:rPr>
                <w:sz w:val="20"/>
                <w:szCs w:val="20"/>
                <w:color w:val="auto"/>
              </w:rPr>
            </w:pPr>
            <w:r>
              <w:rPr>
                <w:rFonts w:ascii="Arial" w:cs="Arial" w:eastAsia="Arial" w:hAnsi="Arial"/>
                <w:sz w:val="18"/>
                <w:szCs w:val="18"/>
                <w:color w:val="auto"/>
                <w:w w:val="96"/>
              </w:rPr>
              <w:t>Common stock, $0.001 par value—1,500.0 shares authorized; 788.4 and 810.0 shares issued and</w:t>
            </w:r>
          </w:p>
        </w:tc>
        <w:tc>
          <w:tcPr>
            <w:tcW w:w="3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outstanding at June 30, 2022 and December 31, 2021, respectively</w:t>
            </w:r>
          </w:p>
        </w:tc>
        <w:tc>
          <w:tcPr>
            <w:tcW w:w="3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23"/>
        </w:trPr>
        <w:tc>
          <w:tcPr>
            <w:tcW w:w="8060" w:type="dxa"/>
            <w:vAlign w:val="bottom"/>
          </w:tcPr>
          <w:p>
            <w:pPr>
              <w:ind w:left="880"/>
              <w:spacing w:after="0"/>
              <w:rPr>
                <w:sz w:val="20"/>
                <w:szCs w:val="20"/>
                <w:color w:val="auto"/>
              </w:rPr>
            </w:pPr>
            <w:r>
              <w:rPr>
                <w:rFonts w:ascii="Arial" w:cs="Arial" w:eastAsia="Arial" w:hAnsi="Arial"/>
                <w:sz w:val="18"/>
                <w:szCs w:val="18"/>
                <w:color w:val="auto"/>
              </w:rPr>
              <w:t>Total Fortinet, Inc. stockholders’ equity (deficit)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781.7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equity (deficit)</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 (DEFICIT)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6"/>
                <w:szCs w:val="16"/>
                <w:color w:val="auto"/>
              </w:rPr>
            </w:pPr>
          </w:p>
        </w:tc>
        <w:tc>
          <w:tcPr>
            <w:tcW w:w="122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48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298.3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771.7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1,511.4</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48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48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gross profit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1,167.9</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30"/>
        </w:trPr>
        <w:tc>
          <w:tcPr>
            <w:tcW w:w="492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intellectual property matter</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(EXPENSE)—NET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5"/>
        </w:trPr>
        <w:tc>
          <w:tcPr>
            <w:tcW w:w="49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BEFORE INCOME TAXES AND LOSS FROM</w:t>
            </w:r>
          </w:p>
        </w:tc>
        <w:tc>
          <w:tcPr>
            <w:tcW w:w="2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w:t>
            </w:r>
          </w:p>
        </w:tc>
        <w:tc>
          <w:tcPr>
            <w:tcW w:w="2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920" w:type="dxa"/>
            <w:vAlign w:val="bottom"/>
          </w:tcPr>
          <w:p>
            <w:pPr>
              <w:ind w:left="20"/>
              <w:spacing w:after="0" w:line="156" w:lineRule="exact"/>
              <w:rPr>
                <w:sz w:val="20"/>
                <w:szCs w:val="20"/>
                <w:color w:val="auto"/>
              </w:rPr>
            </w:pPr>
            <w:r>
              <w:rPr>
                <w:rFonts w:ascii="Arial" w:cs="Arial" w:eastAsia="Arial" w:hAnsi="Arial"/>
                <w:sz w:val="18"/>
                <w:szCs w:val="18"/>
                <w:color w:val="auto"/>
              </w:rPr>
              <w:t>NET INCOME INCLUDING NON-CONTROLLING</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LESS: NET LOSS ATTRIBUTABLE TO NON-CONTROLLING</w:t>
            </w: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 NET OF TAX</w:t>
            </w:r>
          </w:p>
        </w:tc>
        <w:tc>
          <w:tcPr>
            <w:tcW w:w="2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Fortinet, Inc. (Note 9):</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4"/>
              </w:rPr>
              <w:t>Weighted-average shares used to compute 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attributable to Fortinet, Inc.:</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20" w:type="dxa"/>
            <w:vAlign w:val="bottom"/>
          </w:tcPr>
          <w:p>
            <w:pPr>
              <w:ind w:left="48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810.1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835.4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815.4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476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3"/>
                <w:szCs w:val="13"/>
                <w:color w:val="auto"/>
              </w:rPr>
            </w:pPr>
          </w:p>
        </w:tc>
        <w:tc>
          <w:tcPr>
            <w:tcW w:w="1180" w:type="dxa"/>
            <w:vAlign w:val="bottom"/>
          </w:tcPr>
          <w:p>
            <w:pPr>
              <w:jc w:val="right"/>
              <w:ind w:right="352"/>
              <w:spacing w:after="0" w:line="158"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173.4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Arial" w:cs="Arial" w:eastAsia="Arial" w:hAnsi="Arial"/>
                <w:sz w:val="18"/>
                <w:szCs w:val="18"/>
                <w:color w:val="auto"/>
              </w:rPr>
              <w:t>Change in unrealized losses on investments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6"/>
        </w:trPr>
        <w:tc>
          <w:tcPr>
            <w:tcW w:w="4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Less: tax benefit related to items of other comprehensive</w:t>
            </w:r>
          </w:p>
        </w:tc>
        <w:tc>
          <w:tcPr>
            <w:tcW w:w="11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or loss</w:t>
            </w:r>
          </w:p>
        </w:tc>
        <w:tc>
          <w:tcPr>
            <w:tcW w:w="114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1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(10.1)</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including non-controlling interests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163.3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w w:val="91"/>
              </w:rPr>
              <w:t>Less: comprehensive loss attributable to non-controlling interests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Fortinet, Inc.</w:t>
            </w:r>
          </w:p>
        </w:tc>
        <w:tc>
          <w:tcPr>
            <w:tcW w:w="1140" w:type="dxa"/>
            <w:vAlign w:val="bottom"/>
            <w:tcBorders>
              <w:top w:val="single" w:sz="8" w:color="auto"/>
              <w:bottom w:val="single" w:sz="8" w:color="auto"/>
            </w:tcBorders>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380"/>
              <w:spacing w:after="0"/>
              <w:rPr>
                <w:sz w:val="20"/>
                <w:szCs w:val="20"/>
                <w:color w:val="auto"/>
              </w:rPr>
            </w:pPr>
            <w:r>
              <w:rPr>
                <w:rFonts w:ascii="Arial" w:cs="Arial" w:eastAsia="Arial" w:hAnsi="Arial"/>
                <w:sz w:val="16"/>
                <w:szCs w:val="16"/>
                <w:b w:val="1"/>
                <w:bCs w:val="1"/>
                <w:color w:val="auto"/>
              </w:rPr>
              <w:t>Three Months Ended June 30, 2022</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40" w:type="dxa"/>
            <w:vAlign w:val="bottom"/>
          </w:tcPr>
          <w:p>
            <w:pPr>
              <w:spacing w:after="0"/>
              <w:rPr>
                <w:sz w:val="17"/>
                <w:szCs w:val="17"/>
                <w:color w:val="auto"/>
              </w:rPr>
            </w:pPr>
          </w:p>
        </w:tc>
        <w:tc>
          <w:tcPr>
            <w:tcW w:w="1700" w:type="dxa"/>
            <w:vAlign w:val="bottom"/>
            <w:gridSpan w:val="5"/>
          </w:tcPr>
          <w:p>
            <w:pPr>
              <w:ind w:left="26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3"/>
                <w:szCs w:val="3"/>
                <w:color w:val="auto"/>
              </w:rPr>
            </w:pPr>
          </w:p>
        </w:tc>
        <w:tc>
          <w:tcPr>
            <w:tcW w:w="76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line="20" w:lineRule="exact"/>
              <w:rPr>
                <w:sz w:val="1"/>
                <w:szCs w:val="1"/>
                <w:color w:val="auto"/>
              </w:rPr>
            </w:pPr>
          </w:p>
        </w:tc>
      </w:tr>
      <w:tr>
        <w:trPr>
          <w:trHeight w:val="162"/>
        </w:trPr>
        <w:tc>
          <w:tcPr>
            <w:tcW w:w="4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Controlling</w:t>
            </w:r>
          </w:p>
        </w:tc>
        <w:tc>
          <w:tcPr>
            <w:tcW w:w="140" w:type="dxa"/>
            <w:vAlign w:val="bottom"/>
          </w:tcPr>
          <w:p>
            <w:pPr>
              <w:spacing w:after="0"/>
              <w:rPr>
                <w:sz w:val="14"/>
                <w:szCs w:val="14"/>
                <w:color w:val="auto"/>
              </w:rPr>
            </w:pPr>
          </w:p>
        </w:tc>
        <w:tc>
          <w:tcPr>
            <w:tcW w:w="76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Arial" w:cs="Arial" w:eastAsia="Arial" w:hAnsi="Arial"/>
                <w:sz w:val="16"/>
                <w:szCs w:val="16"/>
                <w:b w:val="1"/>
                <w:bCs w:val="1"/>
                <w:color w:val="auto"/>
                <w:w w:val="97"/>
              </w:rPr>
              <w:t>(Deficit)</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$ 1,235.7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(1,003.4)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176"/>
        </w:trPr>
        <w:tc>
          <w:tcPr>
            <w:tcW w:w="454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on investments - net of tax</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54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BALANCE—June 30, 2022</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$ 1,237.3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(1,607.6)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380"/>
              <w:spacing w:after="0"/>
              <w:rPr>
                <w:sz w:val="20"/>
                <w:szCs w:val="20"/>
                <w:color w:val="auto"/>
              </w:rPr>
            </w:pPr>
            <w:r>
              <w:rPr>
                <w:rFonts w:ascii="Arial" w:cs="Arial" w:eastAsia="Arial" w:hAnsi="Arial"/>
                <w:sz w:val="16"/>
                <w:szCs w:val="16"/>
                <w:b w:val="1"/>
                <w:bCs w:val="1"/>
                <w:color w:val="auto"/>
              </w:rPr>
              <w:t>Three Months Ended June 30, 2021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40" w:type="dxa"/>
            <w:vAlign w:val="bottom"/>
          </w:tcPr>
          <w:p>
            <w:pPr>
              <w:spacing w:after="0"/>
              <w:rPr>
                <w:sz w:val="17"/>
                <w:szCs w:val="17"/>
                <w:color w:val="auto"/>
              </w:rPr>
            </w:pPr>
          </w:p>
        </w:tc>
        <w:tc>
          <w:tcPr>
            <w:tcW w:w="1700" w:type="dxa"/>
            <w:vAlign w:val="bottom"/>
            <w:gridSpan w:val="5"/>
          </w:tcPr>
          <w:p>
            <w:pPr>
              <w:ind w:left="26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Non-</w:t>
            </w: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Controlling</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Capital</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Interests</w:t>
            </w:r>
          </w:p>
        </w:tc>
        <w:tc>
          <w:tcPr>
            <w:tcW w:w="16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$ 1,224.6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0" w:type="dxa"/>
            <w:vAlign w:val="bottom"/>
          </w:tcPr>
          <w:p>
            <w:pPr>
              <w:spacing w:after="0"/>
              <w:rPr>
                <w:sz w:val="1"/>
                <w:szCs w:val="1"/>
                <w:color w:val="auto"/>
              </w:rPr>
            </w:pPr>
          </w:p>
        </w:tc>
      </w:tr>
      <w:tr>
        <w:trPr>
          <w:trHeight w:val="175"/>
        </w:trPr>
        <w:tc>
          <w:tcPr>
            <w:tcW w:w="454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0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454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on investments - net of tax</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5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$ 1,245.2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480"/>
              <w:spacing w:after="0"/>
              <w:rPr>
                <w:sz w:val="20"/>
                <w:szCs w:val="20"/>
                <w:color w:val="auto"/>
              </w:rPr>
            </w:pPr>
            <w:r>
              <w:rPr>
                <w:rFonts w:ascii="Arial" w:cs="Arial" w:eastAsia="Arial" w:hAnsi="Arial"/>
                <w:sz w:val="16"/>
                <w:szCs w:val="16"/>
                <w:b w:val="1"/>
                <w:bCs w:val="1"/>
                <w:color w:val="auto"/>
              </w:rPr>
              <w:t>Six Months Ended June 30, 2022</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80" w:type="dxa"/>
            <w:vAlign w:val="bottom"/>
          </w:tcPr>
          <w:p>
            <w:pPr>
              <w:spacing w:after="0"/>
              <w:rPr>
                <w:sz w:val="17"/>
                <w:szCs w:val="17"/>
                <w:color w:val="auto"/>
              </w:rPr>
            </w:pPr>
          </w:p>
        </w:tc>
        <w:tc>
          <w:tcPr>
            <w:tcW w:w="1700" w:type="dxa"/>
            <w:vAlign w:val="bottom"/>
            <w:gridSpan w:val="5"/>
          </w:tcPr>
          <w:p>
            <w:pPr>
              <w:ind w:left="26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48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3"/>
                <w:szCs w:val="3"/>
                <w:color w:val="auto"/>
              </w:rPr>
            </w:pPr>
          </w:p>
        </w:tc>
        <w:tc>
          <w:tcPr>
            <w:tcW w:w="76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line="20" w:lineRule="exact"/>
              <w:rPr>
                <w:sz w:val="1"/>
                <w:szCs w:val="1"/>
                <w:color w:val="auto"/>
              </w:rPr>
            </w:pPr>
          </w:p>
        </w:tc>
      </w:tr>
      <w:tr>
        <w:trPr>
          <w:trHeight w:val="162"/>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Controlling</w:t>
            </w:r>
          </w:p>
        </w:tc>
        <w:tc>
          <w:tcPr>
            <w:tcW w:w="140" w:type="dxa"/>
            <w:vAlign w:val="bottom"/>
          </w:tcPr>
          <w:p>
            <w:pPr>
              <w:spacing w:after="0"/>
              <w:rPr>
                <w:sz w:val="14"/>
                <w:szCs w:val="14"/>
                <w:color w:val="auto"/>
              </w:rPr>
            </w:pPr>
          </w:p>
        </w:tc>
        <w:tc>
          <w:tcPr>
            <w:tcW w:w="76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Arial" w:cs="Arial" w:eastAsia="Arial" w:hAnsi="Arial"/>
                <w:sz w:val="16"/>
                <w:szCs w:val="16"/>
                <w:b w:val="1"/>
                <w:bCs w:val="1"/>
                <w:color w:val="auto"/>
                <w:w w:val="97"/>
              </w:rPr>
              <w:t>(Deficit)</w:t>
            </w:r>
          </w:p>
        </w:tc>
        <w:tc>
          <w:tcPr>
            <w:tcW w:w="0" w:type="dxa"/>
            <w:vAlign w:val="bottom"/>
          </w:tcPr>
          <w:p>
            <w:pPr>
              <w:spacing w:after="0"/>
              <w:rPr>
                <w:sz w:val="1"/>
                <w:szCs w:val="1"/>
                <w:color w:val="auto"/>
              </w:rPr>
            </w:pPr>
          </w:p>
        </w:tc>
      </w:tr>
      <w:tr>
        <w:trPr>
          <w:trHeight w:val="226"/>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$ 1,253.6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176"/>
        </w:trPr>
        <w:tc>
          <w:tcPr>
            <w:tcW w:w="4480" w:type="dxa"/>
            <w:vAlign w:val="bottom"/>
          </w:tcPr>
          <w:p>
            <w:pPr>
              <w:ind w:left="20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Arial" w:cs="Arial" w:eastAsia="Arial" w:hAnsi="Arial"/>
                <w:sz w:val="18"/>
                <w:szCs w:val="18"/>
                <w:color w:val="auto"/>
              </w:rPr>
              <w:t>incentive plans - net of tax withholding</w:t>
            </w: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and retirement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(1,491.2)</w:t>
            </w: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unrealized loss on investments - net of tax</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BALANCE—June 30, 2022</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$ 1,237.3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(1,607.6)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r>
              <w:rPr>
                <w:rFonts w:ascii="Arial" w:cs="Arial" w:eastAsia="Arial" w:hAnsi="Arial"/>
                <w:sz w:val="18"/>
                <w:szCs w:val="18"/>
                <w:u w:val="single" w:color="auto"/>
                <w:color w:val="auto"/>
              </w:rPr>
              <w:t>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6"/>
        </w:trPr>
        <w:tc>
          <w:tcPr>
            <w:tcW w:w="44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ind w:left="480"/>
              <w:spacing w:after="0"/>
              <w:rPr>
                <w:sz w:val="20"/>
                <w:szCs w:val="20"/>
                <w:color w:val="auto"/>
              </w:rPr>
            </w:pPr>
            <w:r>
              <w:rPr>
                <w:rFonts w:ascii="Arial" w:cs="Arial" w:eastAsia="Arial" w:hAnsi="Arial"/>
                <w:sz w:val="16"/>
                <w:szCs w:val="16"/>
                <w:b w:val="1"/>
                <w:bCs w:val="1"/>
                <w:color w:val="auto"/>
              </w:rPr>
              <w:t>Six Months Ended June 30, 2021</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80" w:type="dxa"/>
            <w:vAlign w:val="bottom"/>
          </w:tcPr>
          <w:p>
            <w:pPr>
              <w:spacing w:after="0"/>
              <w:rPr>
                <w:sz w:val="17"/>
                <w:szCs w:val="17"/>
                <w:color w:val="auto"/>
              </w:rPr>
            </w:pPr>
          </w:p>
        </w:tc>
        <w:tc>
          <w:tcPr>
            <w:tcW w:w="1700" w:type="dxa"/>
            <w:vAlign w:val="bottom"/>
            <w:gridSpan w:val="5"/>
          </w:tcPr>
          <w:p>
            <w:pPr>
              <w:ind w:left="26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48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Controlling</w:t>
            </w: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Capital</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26"/>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$ 1,206.6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176"/>
        </w:trPr>
        <w:tc>
          <w:tcPr>
            <w:tcW w:w="4480" w:type="dxa"/>
            <w:vAlign w:val="bottom"/>
          </w:tcPr>
          <w:p>
            <w:pPr>
              <w:ind w:left="20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Arial" w:cs="Arial" w:eastAsia="Arial" w:hAnsi="Arial"/>
                <w:sz w:val="18"/>
                <w:szCs w:val="18"/>
                <w:color w:val="auto"/>
              </w:rPr>
              <w:t>incentive plans - net of tax withholding</w:t>
            </w: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and retirement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unrealized gain on investments - net of tax</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BALANCE—June 30,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$ 1,245.2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r>
              <w:rPr>
                <w:rFonts w:ascii="Arial" w:cs="Arial" w:eastAsia="Arial" w:hAnsi="Arial"/>
                <w:sz w:val="18"/>
                <w:szCs w:val="18"/>
                <w:u w:val="single" w:color="auto"/>
                <w:color w:val="auto"/>
              </w:rPr>
              <w:t>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3"/>
                <w:szCs w:val="13"/>
                <w:color w:val="auto"/>
              </w:rPr>
            </w:pPr>
          </w:p>
        </w:tc>
        <w:tc>
          <w:tcPr>
            <w:tcW w:w="1140" w:type="dxa"/>
            <w:vAlign w:val="bottom"/>
          </w:tcPr>
          <w:p>
            <w:pPr>
              <w:jc w:val="right"/>
              <w:ind w:right="328"/>
              <w:spacing w:after="0" w:line="158"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Net income including non-controlling interests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311.7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Amortization of deferred contract costs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Amortization of investment premiums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Loss from equity method investment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Changes in operating assets and liabilities, net of impact of business combinations: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Accounts receivable—net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Inventory</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Deferred contract costs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Deferred tax assets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Accrued payroll and compensation</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Other liabilities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300.1</w:t>
            </w:r>
          </w:p>
        </w:tc>
        <w:tc>
          <w:tcPr>
            <w:tcW w:w="0" w:type="dxa"/>
            <w:vAlign w:val="bottom"/>
          </w:tcPr>
          <w:p>
            <w:pPr>
              <w:spacing w:after="0"/>
              <w:rPr>
                <w:sz w:val="1"/>
                <w:szCs w:val="1"/>
                <w:color w:val="auto"/>
              </w:rPr>
            </w:pPr>
          </w:p>
        </w:tc>
      </w:tr>
      <w:tr>
        <w:trPr>
          <w:trHeight w:val="179"/>
        </w:trPr>
        <w:tc>
          <w:tcPr>
            <w:tcW w:w="8340" w:type="dxa"/>
            <w:vAlign w:val="bottom"/>
            <w:tcBorders>
              <w:bottom w:val="single" w:sz="8" w:color="CCEEFF"/>
            </w:tcBorders>
          </w:tcPr>
          <w:p>
            <w:pPr>
              <w:ind w:left="18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734.1</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Purchases of investments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(1,262.5)</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Sales of investments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Maturities of investments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600.3</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Purchase of investment in privately held company</w:t>
            </w:r>
          </w:p>
        </w:tc>
        <w:tc>
          <w:tcPr>
            <w:tcW w:w="2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Payments made in connection with business combinations, net of cash acquired</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9"/>
        </w:trPr>
        <w:tc>
          <w:tcPr>
            <w:tcW w:w="8340" w:type="dxa"/>
            <w:vAlign w:val="bottom"/>
            <w:tcBorders>
              <w:bottom w:val="single" w:sz="8" w:color="CCEEFF"/>
            </w:tcBorders>
          </w:tcPr>
          <w:p>
            <w:pPr>
              <w:ind w:left="184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248.7</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(751.7)</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Proceeds from long-term borrowings, net of discount and underwriting fees</w:t>
            </w:r>
          </w:p>
        </w:tc>
        <w:tc>
          <w:tcPr>
            <w:tcW w:w="2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989.4</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Payments for debt issuance costs</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Repurchase and retirement of common stock</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(1,491.2)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issuance of common stock</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Taxes paid related to net share settlement of equity awards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9"/>
        </w:trPr>
        <w:tc>
          <w:tcPr>
            <w:tcW w:w="8340" w:type="dxa"/>
            <w:vAlign w:val="bottom"/>
            <w:tcBorders>
              <w:bottom w:val="single" w:sz="8" w:color="CCEEFF"/>
            </w:tcBorders>
          </w:tcPr>
          <w:p>
            <w:pPr>
              <w:ind w:left="184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(1,576.3)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835.1</w:t>
            </w: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34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817.5</w:t>
            </w:r>
          </w:p>
        </w:tc>
        <w:tc>
          <w:tcPr>
            <w:tcW w:w="0" w:type="dxa"/>
            <w:vAlign w:val="bottom"/>
          </w:tcPr>
          <w:p>
            <w:pPr>
              <w:spacing w:after="0"/>
              <w:rPr>
                <w:sz w:val="1"/>
                <w:szCs w:val="1"/>
                <w:color w:val="auto"/>
              </w:rPr>
            </w:pPr>
          </w:p>
        </w:tc>
      </w:tr>
      <w:tr>
        <w:trPr>
          <w:trHeight w:val="189"/>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1,061.8</w:t>
            </w:r>
          </w:p>
        </w:tc>
        <w:tc>
          <w:tcPr>
            <w:tcW w:w="0" w:type="dxa"/>
            <w:vAlign w:val="bottom"/>
          </w:tcPr>
          <w:p>
            <w:pPr>
              <w:spacing w:after="0"/>
              <w:rPr>
                <w:sz w:val="1"/>
                <w:szCs w:val="1"/>
                <w:color w:val="auto"/>
              </w:rPr>
            </w:pPr>
          </w:p>
        </w:tc>
      </w:tr>
      <w:tr>
        <w:trPr>
          <w:trHeight w:val="186"/>
        </w:trPr>
        <w:tc>
          <w:tcPr>
            <w:tcW w:w="8340" w:type="dxa"/>
            <w:vAlign w:val="bottom"/>
          </w:tcPr>
          <w:p>
            <w:pPr>
              <w:ind w:left="20"/>
              <w:spacing w:after="0"/>
              <w:rPr>
                <w:sz w:val="20"/>
                <w:szCs w:val="20"/>
                <w:color w:val="auto"/>
              </w:rPr>
            </w:pPr>
            <w:r>
              <w:rPr>
                <w:rFonts w:ascii="Arial" w:cs="Arial" w:eastAsia="Arial" w:hAnsi="Arial"/>
                <w:sz w:val="14"/>
                <w:szCs w:val="14"/>
                <w:color w:val="auto"/>
              </w:rPr>
              <w:t>CASH AND CASH EQUIVALENTS—End of period</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1,879.3</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SUPPLEMENTAL DISCLOSURES OF CASH FLOW INFORMATION:</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40" w:type="dxa"/>
            <w:vAlign w:val="bottom"/>
          </w:tcPr>
          <w:p>
            <w:pPr>
              <w:ind w:left="480"/>
              <w:spacing w:after="0"/>
              <w:rPr>
                <w:sz w:val="20"/>
                <w:szCs w:val="20"/>
                <w:color w:val="auto"/>
              </w:rPr>
            </w:pPr>
            <w:r>
              <w:rPr>
                <w:rFonts w:ascii="Arial" w:cs="Arial" w:eastAsia="Arial" w:hAnsi="Arial"/>
                <w:sz w:val="14"/>
                <w:szCs w:val="14"/>
                <w:color w:val="auto"/>
              </w:rPr>
              <w:t>Cash paid for income taxes—net</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ind w:left="480"/>
              <w:spacing w:after="0"/>
              <w:rPr>
                <w:sz w:val="20"/>
                <w:szCs w:val="20"/>
                <w:color w:val="auto"/>
              </w:rPr>
            </w:pPr>
            <w:r>
              <w:rPr>
                <w:rFonts w:ascii="Arial" w:cs="Arial" w:eastAsia="Arial" w:hAnsi="Arial"/>
                <w:sz w:val="14"/>
                <w:szCs w:val="14"/>
                <w:color w:val="auto"/>
              </w:rPr>
              <w:t>Liability for purchase of property and equipment</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Liability incurred in connection with business acquisition</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b w:val="1"/>
          <w:bCs w:val="1"/>
          <w:color w:val="auto"/>
        </w:rPr>
        <w:t>Basis of Presentation and Preparation</w:t>
      </w:r>
      <w:r>
        <w:rPr>
          <w:rFonts w:ascii="Arial" w:cs="Arial" w:eastAsia="Arial" w:hAnsi="Arial"/>
          <w:sz w:val="16"/>
          <w:szCs w:val="16"/>
          <w:color w:val="auto"/>
        </w:rPr>
        <w:t>—The unaudited condensed consolidated financial statements of Fortinet, Inc. and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2021, contained in our Annual Report on Form 10-K filed with the SEC on February 25, 2022. In the opinion of management, all adjustments, which include normal recurring adjustments, considered necessary for a fair presentation, have been included. The results of operations for the three and six months ended June 30,</w:t>
      </w:r>
    </w:p>
    <w:p>
      <w:pPr>
        <w:spacing w:after="0" w:line="1"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2022 are not necessarily indicative of the results to be expected for the full year or for any future periods. The condensed consolidated balance sheet as of December 31, 2021 is derived from the audited consolidated financial statements for the year ended December 31, 2021.</w:t>
      </w:r>
    </w:p>
    <w:p>
      <w:pPr>
        <w:spacing w:after="0" w:line="188"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w:t>
      </w:r>
    </w:p>
    <w:p>
      <w:pPr>
        <w:spacing w:after="0" w:line="151"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April 14, 2022, our Board of Directors approved a five-for-one forward stock split of our common stock (the "Forward Stock Split"), which was conditioned upon obtaining stockholder approval for the Forward Stock Split, and to increase the number of our authorized shares of common stock. On June 17, 2022, at our 2022 Annual Meeting of Stockholders, our stockholders approved the Forward Stock Split and the amendment and restatement of our amended and restated certificate of incorporation to increase the number of authorized shares of common stock from 300 million to 1.5 billion. The par value of our common stock was not adjusted as a result of the Forward Stock Split. Effective June 22, 2022, we filed our amended and restated certification of incorporation and completed the Forward Stock Split. All share and per share amounts and related stockholders’ equity (deficit) balances presented herein have been retroactively adjusted to reflect the Forward Stock Split.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material changes to our significant accounting policies as of and for the three and six months ended June 30, 2022.</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and Recently Issued Accounting Standards</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There were no recently adopted accounting standards which would have a material effect on our condensed consolidated financial statements and accompanying disclosures, and no recently issued accounting standards that are expected to have a material impact on our condensed consolidated financial statements and accompanying disclosures.</w:t>
      </w:r>
    </w:p>
    <w:p>
      <w:pPr>
        <w:spacing w:after="0" w:line="20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We sell cybersecurity solutions to a variety of organizations, such as enterprises, communication service providers, government organizations and small to medium-sized enterprises. Our revenue consists of product and service revenue. Product revenue is generated by our Core Platform (previously referred to as FortiGate network security and other products), our Platform Extensions (previously referred to as Fortinet Security Fabric products and other products). Service revenue relates to sales of our security subscription services, which mainly consists of our FortiGuard security subscriptions, as well as our FortiCare technical support services and other services.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9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73"/>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73"/>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subscription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w:t>
            </w:r>
          </w:p>
        </w:tc>
      </w:tr>
      <w:tr>
        <w:trPr>
          <w:trHeight w:val="229"/>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Technical support and other</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r>
      <w:tr>
        <w:trPr>
          <w:trHeight w:val="223"/>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1,511.4</w:t>
            </w:r>
          </w:p>
        </w:tc>
      </w:tr>
      <w:tr>
        <w:trPr>
          <w:trHeight w:val="21"/>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52"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During the three and six months ended June 30, 2022, we recognized $457.6 million and $964.9 million in service revenue that was included in the deferred revenue balance as of December 31, 2021, respectively. During the three and six months ended June 30, 2021, we recognized $371.2 million and $789.1 million in service revenue that was included in the deferred revenue balance as of December 31,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As of June 30, 2022, the aggregate amount of the transaction price allocated to remaining performance obligations was $3.93 billion, which was substantially comprised of deferred security subscription and technical support services revenue. We expect to recognize approximately $2.01 billion as revenue over the next 12 months and the remainder thereafter.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Trade accounts receivable are recorded at the invoiced amount. Our accounts receivable balance is reduced by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 Expected credit losses are recorded as general and administrative expenses on our consolidated statements of income.</w:t>
      </w:r>
    </w:p>
    <w:p>
      <w:pPr>
        <w:spacing w:after="0" w:line="175" w:lineRule="exact"/>
        <w:rPr>
          <w:sz w:val="20"/>
          <w:szCs w:val="20"/>
          <w:color w:val="auto"/>
        </w:rPr>
      </w:pPr>
    </w:p>
    <w:p>
      <w:pPr>
        <w:ind w:right="140" w:firstLine="583"/>
        <w:spacing w:after="0" w:line="246" w:lineRule="auto"/>
        <w:rPr>
          <w:sz w:val="20"/>
          <w:szCs w:val="20"/>
          <w:color w:val="auto"/>
        </w:rPr>
      </w:pPr>
      <w:r>
        <w:rPr>
          <w:rFonts w:ascii="Arial" w:cs="Arial" w:eastAsia="Arial" w:hAnsi="Arial"/>
          <w:sz w:val="18"/>
          <w:szCs w:val="18"/>
          <w:color w:val="auto"/>
        </w:rPr>
        <w:t>The allowance for credit losses was $5.2 million and $2.4 million as of June 30, 2022 and December 31, 2021, respectively. Provisions, write-offs and recoveries were not material during the six months ended June 30, 2022 and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of deferred contract costs during the three months ended June 30, 2022 and 2021 were $54.6 million and $42.1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deferred contract costs during the six months ended June 30, 2022 and 2021 were $107.1 million and $81.8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available-for-sale securities (in millions):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820"/>
              <w:spacing w:after="0"/>
              <w:rPr>
                <w:sz w:val="20"/>
                <w:szCs w:val="20"/>
                <w:color w:val="auto"/>
              </w:rPr>
            </w:pPr>
            <w:r>
              <w:rPr>
                <w:rFonts w:ascii="Arial" w:cs="Arial" w:eastAsia="Arial" w:hAnsi="Arial"/>
                <w:sz w:val="16"/>
                <w:szCs w:val="16"/>
                <w:b w:val="1"/>
                <w:bCs w:val="1"/>
                <w:color w:val="auto"/>
              </w:rPr>
              <w:t>June 30, 2022</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9"/>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3"/>
                <w:szCs w:val="13"/>
                <w:color w:val="auto"/>
              </w:rPr>
            </w:pPr>
          </w:p>
        </w:tc>
        <w:tc>
          <w:tcPr>
            <w:tcW w:w="1160" w:type="dxa"/>
            <w:vAlign w:val="bottom"/>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8"/>
                <w:szCs w:val="18"/>
                <w:color w:val="auto"/>
              </w:rPr>
            </w:pPr>
          </w:p>
        </w:tc>
        <w:tc>
          <w:tcPr>
            <w:tcW w:w="116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374.1</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498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1,209.1</w:t>
            </w:r>
          </w:p>
        </w:tc>
      </w:tr>
      <w:tr>
        <w:trPr>
          <w:trHeight w:val="21"/>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15"/>
        </w:trPr>
        <w:tc>
          <w:tcPr>
            <w:tcW w:w="4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December 31, 2021</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8"/>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3"/>
                <w:szCs w:val="13"/>
                <w:color w:val="auto"/>
              </w:rPr>
            </w:pPr>
          </w:p>
        </w:tc>
        <w:tc>
          <w:tcPr>
            <w:tcW w:w="1160" w:type="dxa"/>
            <w:vAlign w:val="bottom"/>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8"/>
                <w:szCs w:val="18"/>
                <w:color w:val="auto"/>
              </w:rPr>
            </w:pPr>
          </w:p>
        </w:tc>
        <w:tc>
          <w:tcPr>
            <w:tcW w:w="116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r>
      <w:tr>
        <w:trPr>
          <w:trHeight w:val="232"/>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355.1</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169.0</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498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1,634.8</w:t>
            </w:r>
          </w:p>
        </w:tc>
      </w:tr>
      <w:tr>
        <w:trPr>
          <w:trHeight w:val="21"/>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 w:firstLine="648"/>
        <w:spacing w:after="0" w:line="274" w:lineRule="auto"/>
        <w:rPr>
          <w:sz w:val="20"/>
          <w:szCs w:val="20"/>
          <w:color w:val="auto"/>
        </w:rPr>
      </w:pPr>
      <w:r>
        <w:rPr>
          <w:rFonts w:ascii="Arial" w:cs="Arial" w:eastAsia="Arial" w:hAnsi="Arial"/>
          <w:sz w:val="18"/>
          <w:szCs w:val="18"/>
          <w:color w:val="auto"/>
        </w:rPr>
        <w:t>The following tables show the gross unrealized losses and the related fair values of our available-for-sale securities that have been in a continuous unrealized loss position (in millions):</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June 30, 2022</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1"/>
              </w:rPr>
              <w:t>Unrealized</w:t>
            </w:r>
          </w:p>
        </w:tc>
        <w:tc>
          <w:tcPr>
            <w:tcW w:w="2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3"/>
              </w:rPr>
              <w:t>Losses</w:t>
            </w:r>
          </w:p>
        </w:tc>
      </w:tr>
      <w:tr>
        <w:trPr>
          <w:trHeight w:val="232"/>
        </w:trPr>
        <w:tc>
          <w:tcPr>
            <w:tcW w:w="20" w:type="dxa"/>
            <w:vAlign w:val="bottom"/>
          </w:tcPr>
          <w:p>
            <w:pPr>
              <w:spacing w:after="0"/>
              <w:rPr>
                <w:sz w:val="20"/>
                <w:szCs w:val="20"/>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7"/>
              </w:rPr>
              <w:t>(0.4)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ind w:left="58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1"/>
              </w:rPr>
              <w:t>Unrealized</w:t>
            </w:r>
          </w:p>
        </w:tc>
        <w:tc>
          <w:tcPr>
            <w:tcW w:w="2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3"/>
              </w:rPr>
              <w:t>Losses</w:t>
            </w:r>
          </w:p>
        </w:tc>
      </w:tr>
      <w:tr>
        <w:trPr>
          <w:trHeight w:val="232"/>
        </w:trPr>
        <w:tc>
          <w:tcPr>
            <w:tcW w:w="20" w:type="dxa"/>
            <w:vAlign w:val="bottom"/>
          </w:tcPr>
          <w:p>
            <w:pPr>
              <w:spacing w:after="0"/>
              <w:rPr>
                <w:sz w:val="20"/>
                <w:szCs w:val="20"/>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5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4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2021</w:t>
            </w:r>
          </w:p>
        </w:tc>
      </w:tr>
      <w:tr>
        <w:trPr>
          <w:trHeight w:val="22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22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w:t>
            </w:r>
          </w:p>
        </w:tc>
      </w:tr>
      <w:tr>
        <w:trPr>
          <w:trHeight w:val="229"/>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within one to three years</w:t>
            </w: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r>
      <w:tr>
        <w:trPr>
          <w:trHeight w:val="248"/>
        </w:trPr>
        <w:tc>
          <w:tcPr>
            <w:tcW w:w="7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Available-for-sale securities are reported at fair value, with unrealized gains and losses and the related tax impact included as a separate component of equity (deficit)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on available-for-sale securities were insignificant in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Equity Securities</w:t>
      </w:r>
    </w:p>
    <w:p>
      <w:pPr>
        <w:spacing w:after="0" w:line="239" w:lineRule="exact"/>
        <w:rPr>
          <w:sz w:val="20"/>
          <w:szCs w:val="20"/>
          <w:color w:val="auto"/>
        </w:rPr>
      </w:pPr>
    </w:p>
    <w:p>
      <w:pPr>
        <w:jc w:val="both"/>
        <w:ind w:right="180" w:firstLine="648"/>
        <w:spacing w:after="0" w:line="231" w:lineRule="auto"/>
        <w:rPr>
          <w:sz w:val="20"/>
          <w:szCs w:val="20"/>
          <w:color w:val="auto"/>
        </w:rPr>
      </w:pPr>
      <w:r>
        <w:rPr>
          <w:rFonts w:ascii="Arial" w:cs="Arial" w:eastAsia="Arial" w:hAnsi="Arial"/>
          <w:sz w:val="18"/>
          <w:szCs w:val="18"/>
          <w:color w:val="auto"/>
        </w:rPr>
        <w:t>Our marketable equity securities were $24.3 million and $38.6 million as of June 30, 2022 and December 31, 2021. The changes in fair value of our marketable equity securities are recorded in other expense, net on the condensed consolidated statements of income. We recognized $8.1 million and $14.3 million loss during the three and six months ended June 30, 2022, respectively. We recognized $0.5 million and $0.8 million gain during the three and six months ended June 30, 2021,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97" w:lineRule="exact"/>
        <w:rPr>
          <w:sz w:val="20"/>
          <w:szCs w:val="20"/>
          <w:color w:val="auto"/>
        </w:rPr>
      </w:pPr>
    </w:p>
    <w:p>
      <w:pPr>
        <w:ind w:left="1300" w:right="3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9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52"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fair value of our financial assets measured at fair value on a recurring basis (in millions):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0"/>
                <w:szCs w:val="10"/>
                <w:color w:val="auto"/>
              </w:rPr>
            </w:pPr>
          </w:p>
        </w:tc>
        <w:tc>
          <w:tcPr>
            <w:tcW w:w="92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Prices in</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4"/>
              </w:rPr>
              <w:t>Prices 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center"/>
              <w:ind w:right="75"/>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Active</w:t>
            </w:r>
          </w:p>
        </w:tc>
        <w:tc>
          <w:tcPr>
            <w:tcW w:w="12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76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920" w:type="dxa"/>
            <w:vAlign w:val="bottom"/>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Observable</w:t>
            </w:r>
          </w:p>
        </w:tc>
        <w:tc>
          <w:tcPr>
            <w:tcW w:w="140" w:type="dxa"/>
            <w:vAlign w:val="bottom"/>
          </w:tcPr>
          <w:p>
            <w:pPr>
              <w:spacing w:after="0"/>
              <w:rPr>
                <w:sz w:val="10"/>
                <w:szCs w:val="10"/>
                <w:color w:val="auto"/>
              </w:rPr>
            </w:pPr>
          </w:p>
        </w:tc>
        <w:tc>
          <w:tcPr>
            <w:tcW w:w="920" w:type="dxa"/>
            <w:vAlign w:val="bottom"/>
          </w:tcPr>
          <w:p>
            <w:pPr>
              <w:jc w:val="center"/>
              <w:ind w:right="60"/>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0"/>
                <w:szCs w:val="10"/>
                <w:color w:val="auto"/>
              </w:rPr>
            </w:pPr>
          </w:p>
        </w:tc>
        <w:tc>
          <w:tcPr>
            <w:tcW w:w="760" w:type="dxa"/>
            <w:vAlign w:val="bottom"/>
          </w:tcPr>
          <w:p>
            <w:pPr>
              <w:jc w:val="center"/>
              <w:ind w:right="55"/>
              <w:spacing w:after="0" w:line="122"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0"/>
                <w:szCs w:val="10"/>
                <w:color w:val="auto"/>
              </w:rPr>
            </w:pPr>
          </w:p>
        </w:tc>
        <w:tc>
          <w:tcPr>
            <w:tcW w:w="920" w:type="dxa"/>
            <w:vAlign w:val="bottom"/>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0"/>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5"/>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4"/>
              </w:rPr>
              <w:t>Assets</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5"/>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5"/>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5"/>
              </w:rPr>
              <w:t>U.S. government and agency</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364.6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345.2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Certificates of deposit and</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deposits</w:t>
            </w: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w w:val="99"/>
              </w:rPr>
              <w:t>Marketable equity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666.6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441.3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r>
              <w:rPr>
                <w:rFonts w:ascii="Arial" w:cs="Arial" w:eastAsia="Arial" w:hAnsi="Arial"/>
                <w:sz w:val="18"/>
                <w:szCs w:val="18"/>
                <w:u w:val="single" w:color="auto"/>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Marketable equity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six months ended June 30, 2022 and year ended December 31, 2021.</w:t>
      </w:r>
    </w:p>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2021</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80" w:type="dxa"/>
            <w:vAlign w:val="bottom"/>
            <w:shd w:val="clear" w:color="auto" w:fill="CCEEFF"/>
          </w:tcPr>
          <w:p>
            <w:pPr>
              <w:jc w:val="right"/>
              <w:ind w:right="10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Work in process</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Inventory</w:t>
            </w:r>
          </w:p>
        </w:tc>
        <w:tc>
          <w:tcPr>
            <w:tcW w:w="1280" w:type="dxa"/>
            <w:vAlign w:val="bottom"/>
            <w:tcBorders>
              <w:bottom w:val="single" w:sz="8" w:color="auto"/>
            </w:tcBorders>
          </w:tcPr>
          <w:p>
            <w:pPr>
              <w:jc w:val="right"/>
              <w:ind w:right="10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r>
      <w:tr>
        <w:trPr>
          <w:trHeight w:val="21"/>
        </w:trPr>
        <w:tc>
          <w:tcPr>
            <w:tcW w:w="7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2021</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2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416.2</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Evaluation units</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3"/>
        </w:trPr>
        <w:tc>
          <w:tcPr>
            <w:tcW w:w="7360" w:type="dxa"/>
            <w:vAlign w:val="bottom"/>
          </w:tcPr>
          <w:p>
            <w:pPr>
              <w:ind w:left="460"/>
              <w:spacing w:after="0"/>
              <w:rPr>
                <w:sz w:val="20"/>
                <w:szCs w:val="20"/>
                <w:color w:val="auto"/>
              </w:rPr>
            </w:pPr>
            <w:r>
              <w:rPr>
                <w:rFonts w:ascii="Arial" w:cs="Arial" w:eastAsia="Arial" w:hAnsi="Arial"/>
                <w:sz w:val="18"/>
                <w:szCs w:val="18"/>
                <w:color w:val="auto"/>
              </w:rPr>
              <w:t>Total property and equipment</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1,057.2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899.3</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220" w:type="dxa"/>
            <w:vAlign w:val="bottom"/>
            <w:tcBorders>
              <w:bottom w:val="single" w:sz="8" w:color="auto"/>
            </w:tcBorders>
          </w:tcPr>
          <w:p>
            <w:pPr>
              <w:jc w:val="right"/>
              <w:ind w:right="103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w:t>
            </w:r>
          </w:p>
        </w:tc>
      </w:tr>
      <w:tr>
        <w:trPr>
          <w:trHeight w:val="21"/>
        </w:trPr>
        <w:tc>
          <w:tcPr>
            <w:tcW w:w="7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Depreciation expense was $19.1 million and $15.3 million during the three months ended June 30, 2022 and 2021, respectively. Depreciation expense was $38.2 million and $29.3 million during the six months ended June 30, 2022 and 2021, respectively.</w:t>
      </w:r>
    </w:p>
    <w:p>
      <w:pPr>
        <w:spacing w:after="0" w:line="16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Linksys Holdings, Inc.</w:t>
      </w:r>
    </w:p>
    <w:p>
      <w:pPr>
        <w:spacing w:after="0" w:line="239" w:lineRule="exact"/>
        <w:rPr>
          <w:sz w:val="20"/>
          <w:szCs w:val="20"/>
          <w:color w:val="auto"/>
        </w:rPr>
      </w:pPr>
    </w:p>
    <w:p>
      <w:pPr>
        <w:jc w:val="both"/>
        <w:ind w:right="60" w:firstLine="648"/>
        <w:spacing w:after="0" w:line="231" w:lineRule="auto"/>
        <w:rPr>
          <w:sz w:val="20"/>
          <w:szCs w:val="20"/>
          <w:color w:val="auto"/>
        </w:rPr>
      </w:pPr>
      <w:r>
        <w:rPr>
          <w:rFonts w:ascii="Arial" w:cs="Arial" w:eastAsia="Arial" w:hAnsi="Arial"/>
          <w:sz w:val="18"/>
          <w:szCs w:val="18"/>
          <w:color w:val="auto"/>
        </w:rPr>
        <w:t>On March 19, 2021, we invested $75.0 million in cash for shares of the Series A Preferred Stock of Linksys for a 32.6% ownership interest in this privately-held company. On September 24, 2021, we invested an additional $85.0 million in cash for shares of Series A Preferred Stock of Linksys, and as of June 30, 2022 and December 31, 2021, we held 50.8% of the outstanding common stock (on an as-converted basis) of Linksys. Linksys provides router connectivity solutions to the consumer and small business markets.</w:t>
      </w:r>
    </w:p>
    <w:p>
      <w:pPr>
        <w:spacing w:after="0" w:line="202" w:lineRule="exact"/>
        <w:rPr>
          <w:sz w:val="20"/>
          <w:szCs w:val="20"/>
          <w:color w:val="auto"/>
        </w:rPr>
      </w:pPr>
    </w:p>
    <w:p>
      <w:pPr>
        <w:ind w:right="80" w:firstLine="648"/>
        <w:spacing w:after="0" w:line="236" w:lineRule="auto"/>
        <w:rPr>
          <w:sz w:val="20"/>
          <w:szCs w:val="20"/>
          <w:color w:val="auto"/>
        </w:rPr>
      </w:pPr>
      <w:r>
        <w:rPr>
          <w:rFonts w:ascii="Arial" w:cs="Arial" w:eastAsia="Arial" w:hAnsi="Arial"/>
          <w:sz w:val="17"/>
          <w:szCs w:val="17"/>
          <w:color w:val="auto"/>
        </w:rPr>
        <w:t>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Determining that we have significant influence but not control over the operating and financial policies of Linksys required significant judgement of many factors, including but not limited to the ownership interest in Linksys, board representation, participation in policy-making processes and participation rights in certain significant financial and operating decisions of Linksys in the ordinary course of business. Therefore, we determined to account for this investment using the equity method of accounting. We record our share of Linksys’ financial results on a three-month lag basis. We determined that there was a basis difference between the cost of our investment in Linksys and the amount of underlying equity in net assets of Linksys. Our share of loss of Linksys’ financial results, as well as our share of the amortization of the basis differences, in total was $8.1 million and $16.6 million for the three and six months ended June 30, 2022, and has been recorded in loss from equity method investment on the condensed consolidated statements of income. As of June 30, 2022 and December 31, 2021, the investment was included in other assets on our condensed consolidated balance sheets. Transaction costs related to this investment were not material.</w:t>
      </w:r>
    </w:p>
    <w:p>
      <w:pPr>
        <w:spacing w:after="0" w:line="208"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Due to the presence of impairment indicators, such as a series of operating losses, we evaluated our equity method investment for an other-than-temporary impairment (“OTTI”) during the three months ended June 30, 2022. We considered various factors in determining whether an OTTI has occurred, including the limited operating history available, our ability and intent to hold the investment until its fair value recovers, the implied revenue valuation multiples compared to guideline public companies, Linksys’ ability to achieve milestones and any notable operational and strategic changes. After the evaluation, we determined that an OTTI has not occurred as of June 30, 2022 and as of the date of this Quarterly Report on Form 10-Q. However, we may be required to recognize an impairment loss in future reporting periods if and when our evaluation of the aforementioned factors indicates that the investment in Linksys is determined to be other than temporarily impaired. Such determination will be based on the prevailing facts and circumstances at that time, including the reported results and disclosures of Linksys.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2021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Alaxala Networks Corporation</w:t>
      </w:r>
    </w:p>
    <w:p>
      <w:pPr>
        <w:spacing w:after="0" w:line="279" w:lineRule="exact"/>
        <w:rPr>
          <w:sz w:val="20"/>
          <w:szCs w:val="20"/>
          <w:color w:val="auto"/>
        </w:rPr>
      </w:pPr>
    </w:p>
    <w:p>
      <w:pPr>
        <w:ind w:right="180" w:firstLine="648"/>
        <w:spacing w:after="0" w:line="231" w:lineRule="auto"/>
        <w:rPr>
          <w:sz w:val="20"/>
          <w:szCs w:val="20"/>
          <w:color w:val="auto"/>
        </w:rPr>
      </w:pPr>
      <w:r>
        <w:rPr>
          <w:rFonts w:ascii="Arial" w:cs="Arial" w:eastAsia="Arial" w:hAnsi="Arial"/>
          <w:sz w:val="18"/>
          <w:szCs w:val="18"/>
          <w:color w:val="auto"/>
        </w:rPr>
        <w:t>On August 31, 2021, we closed an acquisition of 75% of equity interests as controlling interests in Alaxala Networks Corporation (“Alaxala”), a privately held network hardware equipment company in Japan, for $64.2 million in cash. We acquired the equity interests in Alaxala to broaden our offering of secure switches integrated with our Core Platform and Platform Extension functionality, and, over time, to innovate and rebrand certain of Alaxala’s switches to offer a broader suite of secure switches globally.</w:t>
      </w:r>
    </w:p>
    <w:p>
      <w:pPr>
        <w:spacing w:after="0" w:line="216"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Under the acquisition method of accounting in accordance with ASC 805, the total purchase price was allocated to Alaxala’s identifiable tangible and intangible assets acquired and liabilities assumed based on their estimated fair values using management’s best estimates and assumptions to assign fair value as of the acquisition date. The following table provides the assets acquired and liabilities assumed as of the date of acquisition: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Estimated Fair Value</w:t>
            </w:r>
          </w:p>
        </w:tc>
      </w:tr>
      <w:tr>
        <w:trPr>
          <w:trHeight w:val="21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30"/>
        </w:trPr>
        <w:tc>
          <w:tcPr>
            <w:tcW w:w="8980" w:type="dxa"/>
            <w:vAlign w:val="bottom"/>
          </w:tcPr>
          <w:p>
            <w:pPr>
              <w:ind w:left="44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receivable—net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8980" w:type="dxa"/>
            <w:vAlign w:val="bottom"/>
          </w:tcPr>
          <w:p>
            <w:pPr>
              <w:ind w:left="440"/>
              <w:spacing w:after="0"/>
              <w:rPr>
                <w:sz w:val="20"/>
                <w:szCs w:val="20"/>
                <w:color w:val="auto"/>
              </w:rPr>
            </w:pPr>
            <w:r>
              <w:rPr>
                <w:rFonts w:ascii="Arial" w:cs="Arial" w:eastAsia="Arial" w:hAnsi="Arial"/>
                <w:sz w:val="18"/>
                <w:szCs w:val="18"/>
                <w:color w:val="auto"/>
              </w:rPr>
              <w:t>Other intangible assets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3"/>
        </w:trPr>
        <w:tc>
          <w:tcPr>
            <w:tcW w:w="8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8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98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49"/>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purchase consideration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excess of the purchase consideration and the fair value of non-controlling interests over the fair value of net tangible and identified intangible assets acquired was recorded as goodwill, which is not deductible for tax purposes. Goodwill is primarily attributable to the assembled workforce of Alaxala and the anticipated operational synergies.</w:t>
      </w:r>
    </w:p>
    <w:p>
      <w:pPr>
        <w:spacing w:after="0" w:line="202"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The fair value of the non-controlling interests of $17.8 million was estimated based on the non-controlling interests’ respective share of the fair value of Alaxala.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Identified intangible assets acquired and their estimated useful lives (in years) as of August 31, 2021, were as follows (in millions, except years):</w:t>
      </w: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66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Fair Value</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2"/>
              </w:rPr>
              <w:t>Estimated Useful Life (in years)</w:t>
            </w:r>
          </w:p>
        </w:tc>
      </w:tr>
      <w:tr>
        <w:trPr>
          <w:trHeight w:val="226"/>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80" w:type="dxa"/>
            <w:vAlign w:val="bottom"/>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30"/>
        </w:trPr>
        <w:tc>
          <w:tcPr>
            <w:tcW w:w="66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w:t>
            </w:r>
          </w:p>
        </w:tc>
        <w:tc>
          <w:tcPr>
            <w:tcW w:w="1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3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79"/>
              </w:rPr>
              <w:t>1</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identified intangible assets:</w:t>
            </w: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left="100" w:right="100" w:firstLine="648"/>
        <w:spacing w:after="0" w:line="231" w:lineRule="auto"/>
        <w:rPr>
          <w:sz w:val="20"/>
          <w:szCs w:val="20"/>
          <w:color w:val="auto"/>
        </w:rPr>
      </w:pPr>
      <w:r>
        <w:rPr>
          <w:rFonts w:ascii="Arial" w:cs="Arial" w:eastAsia="Arial" w:hAnsi="Arial"/>
          <w:sz w:val="18"/>
          <w:szCs w:val="18"/>
          <w:color w:val="auto"/>
        </w:rPr>
        <w:t>Developed technology relates to Alaxala’s network equipment. We valued the developed technology using the relief-from-royalty method under the income approach. This method reflects the present value of the projected cost savings that are expected to be realized by the owner of the royalty granted in exchange for the use of the asset. The economic useful life was determined based on the technology cycle related to each developed technology, as well as the cash flows over the forecast period.</w:t>
      </w:r>
    </w:p>
    <w:p>
      <w:pPr>
        <w:spacing w:after="0" w:line="202" w:lineRule="exact"/>
        <w:rPr>
          <w:sz w:val="20"/>
          <w:szCs w:val="20"/>
          <w:color w:val="auto"/>
        </w:rPr>
      </w:pPr>
    </w:p>
    <w:p>
      <w:pPr>
        <w:ind w:left="100" w:right="80" w:firstLine="648"/>
        <w:spacing w:after="0" w:line="246" w:lineRule="auto"/>
        <w:rPr>
          <w:sz w:val="20"/>
          <w:szCs w:val="20"/>
          <w:color w:val="auto"/>
        </w:rPr>
      </w:pPr>
      <w:r>
        <w:rPr>
          <w:rFonts w:ascii="Arial" w:cs="Arial" w:eastAsia="Arial" w:hAnsi="Arial"/>
          <w:sz w:val="17"/>
          <w:szCs w:val="17"/>
          <w:color w:val="auto"/>
        </w:rPr>
        <w:t>Customer relationships represent the fair value of future projected revenue that will be derived from sales to existing customers of Alaxala. Customer contracts and related relationships were valued using the multi-period excess earnings method. This method reflects the present value of the projected cash flows that are expected to be generated by the customer contracts and relationships less charges representing the contribution of other assets to those cash flows. The economic useful life was determined based on historical customer turnover rates.</w:t>
      </w:r>
    </w:p>
    <w:p>
      <w:pPr>
        <w:spacing w:after="0" w:line="198" w:lineRule="exact"/>
        <w:rPr>
          <w:sz w:val="20"/>
          <w:szCs w:val="20"/>
          <w:color w:val="auto"/>
        </w:rPr>
      </w:pPr>
    </w:p>
    <w:p>
      <w:pPr>
        <w:ind w:left="100" w:right="240" w:firstLine="648"/>
        <w:spacing w:after="0" w:line="235" w:lineRule="auto"/>
        <w:rPr>
          <w:sz w:val="20"/>
          <w:szCs w:val="20"/>
          <w:color w:val="auto"/>
        </w:rPr>
      </w:pPr>
      <w:r>
        <w:rPr>
          <w:rFonts w:ascii="Arial" w:cs="Arial" w:eastAsia="Arial" w:hAnsi="Arial"/>
          <w:sz w:val="18"/>
          <w:szCs w:val="18"/>
          <w:color w:val="auto"/>
        </w:rPr>
        <w:t>Trade name relates to the “Alaxala” trade name. The fair value was determined by applying the relief-from-royalty method under the income approach. This method is based on the application of a royalty rate to forecasted revenue under the trade name. The economic useful life was determined based on the expected life of the trade name and the cash flows anticipated over the forecast period.</w:t>
      </w:r>
    </w:p>
    <w:p>
      <w:pPr>
        <w:spacing w:after="0" w:line="202" w:lineRule="exact"/>
        <w:rPr>
          <w:sz w:val="20"/>
          <w:szCs w:val="20"/>
          <w:color w:val="auto"/>
        </w:rPr>
      </w:pPr>
    </w:p>
    <w:p>
      <w:pPr>
        <w:ind w:left="100" w:right="140" w:firstLine="648"/>
        <w:spacing w:after="0" w:line="231" w:lineRule="auto"/>
        <w:rPr>
          <w:sz w:val="20"/>
          <w:szCs w:val="20"/>
          <w:color w:val="auto"/>
        </w:rPr>
      </w:pPr>
      <w:r>
        <w:rPr>
          <w:rFonts w:ascii="Arial" w:cs="Arial" w:eastAsia="Arial" w:hAnsi="Arial"/>
          <w:sz w:val="18"/>
          <w:szCs w:val="18"/>
          <w:color w:val="auto"/>
        </w:rPr>
        <w:t>Customer backlog relates to the unfulfilled customer contract orders. Backlog was valued using the multi-period excess earnings method. This method reflects the present value of the projected cash flows that are expected to be generated by the execution of the unfulfilled customer contract orders less charges representing the contribution of other assets to those cash flows. The economic useful life was determined based on the anticipated contract orders’ execution timeframe.</w:t>
      </w:r>
    </w:p>
    <w:p>
      <w:pPr>
        <w:spacing w:after="0" w:line="202" w:lineRule="exact"/>
        <w:rPr>
          <w:sz w:val="20"/>
          <w:szCs w:val="20"/>
          <w:color w:val="auto"/>
        </w:rPr>
      </w:pPr>
    </w:p>
    <w:p>
      <w:pPr>
        <w:ind w:left="100" w:right="40" w:firstLine="648"/>
        <w:spacing w:after="0" w:line="276" w:lineRule="auto"/>
        <w:rPr>
          <w:sz w:val="20"/>
          <w:szCs w:val="20"/>
          <w:color w:val="auto"/>
        </w:rPr>
      </w:pPr>
      <w:r>
        <w:rPr>
          <w:rFonts w:ascii="Arial" w:cs="Arial" w:eastAsia="Arial" w:hAnsi="Arial"/>
          <w:sz w:val="16"/>
          <w:szCs w:val="16"/>
          <w:color w:val="auto"/>
        </w:rPr>
        <w:t>In connection with our acquisition of Alaxala, we assumed certain current debt liabilities of $20.2 million as of August 31, 2021. We concluded that the fair value of this debt approximated its book value as of the acquisition date. We repaid this debt in full in September and October 2021. During the post-acquisition period from September 1, 2021 through the repayment dates, interest expense related to Alaxala debt was not material.</w:t>
      </w:r>
    </w:p>
    <w:p>
      <w:pPr>
        <w:spacing w:after="0" w:line="175" w:lineRule="exact"/>
        <w:rPr>
          <w:sz w:val="20"/>
          <w:szCs w:val="20"/>
          <w:color w:val="auto"/>
        </w:rPr>
      </w:pPr>
    </w:p>
    <w:p>
      <w:pPr>
        <w:ind w:left="100" w:right="240" w:firstLine="648"/>
        <w:spacing w:after="0" w:line="225" w:lineRule="auto"/>
        <w:rPr>
          <w:sz w:val="20"/>
          <w:szCs w:val="20"/>
          <w:color w:val="auto"/>
        </w:rPr>
      </w:pPr>
      <w:r>
        <w:rPr>
          <w:rFonts w:ascii="Arial" w:cs="Arial" w:eastAsia="Arial" w:hAnsi="Arial"/>
          <w:sz w:val="18"/>
          <w:szCs w:val="18"/>
          <w:color w:val="auto"/>
        </w:rPr>
        <w:t>The following unaudited pro forma financial information presents the combined results of operations of Fortinet, Inc. and Alaxala, as if Alaxala had been acquired as of the beginning of business on January 1, 2020. The unaudited pro forma financial information is presented for informational purposes only and is not necessarily indicative of our consolidated results of operations of the combined business that would have been achieved if the acquisition had taken place at the beginning of business on January 1, 2020, or of the results of our future operations of the combined business. The following unaudited pro forma financial information for all periods presented includes purchase accounting adjustments for amortization of acquired intangible assets, depreciation of acquired property and equipment, the purchase accounting effect on inventory acquired and related tax effects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jc w:val="right"/>
              <w:ind w:right="815"/>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tcPr>
          <w:p>
            <w:pPr>
              <w:jc w:val="right"/>
              <w:ind w:right="815"/>
              <w:spacing w:after="0" w:line="158" w:lineRule="exact"/>
              <w:rPr>
                <w:sz w:val="20"/>
                <w:szCs w:val="20"/>
                <w:color w:val="auto"/>
              </w:rPr>
            </w:pPr>
            <w:r>
              <w:rPr>
                <w:rFonts w:ascii="Arial" w:cs="Arial" w:eastAsia="Arial" w:hAnsi="Arial"/>
                <w:sz w:val="16"/>
                <w:szCs w:val="16"/>
                <w:b w:val="1"/>
                <w:bCs w:val="1"/>
                <w:color w:val="auto"/>
              </w:rPr>
              <w:t>June 30,</w:t>
            </w: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8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915"/>
              <w:spacing w:after="0"/>
              <w:rPr>
                <w:sz w:val="20"/>
                <w:szCs w:val="20"/>
                <w:color w:val="auto"/>
              </w:rPr>
            </w:pPr>
            <w:r>
              <w:rPr>
                <w:rFonts w:ascii="Arial" w:cs="Arial" w:eastAsia="Arial" w:hAnsi="Arial"/>
                <w:sz w:val="16"/>
                <w:szCs w:val="16"/>
                <w:b w:val="1"/>
                <w:bCs w:val="1"/>
                <w:color w:val="auto"/>
              </w:rPr>
              <w:t>2021</w:t>
            </w:r>
          </w:p>
        </w:tc>
      </w:tr>
      <w:tr>
        <w:trPr>
          <w:trHeight w:val="229"/>
        </w:trPr>
        <w:tc>
          <w:tcPr>
            <w:tcW w:w="2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1,572.6</w:t>
            </w:r>
          </w:p>
        </w:tc>
      </w:tr>
      <w:tr>
        <w:trPr>
          <w:trHeight w:val="243"/>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Pro forma net income attributable to Fortinet, Inc.</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134.9</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242.4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GOODWILL AND OTHER INTANGIBLE ASSETS—Net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carrying amount of goodwill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Amount</w:t>
            </w:r>
          </w:p>
        </w:tc>
      </w:tr>
      <w:tr>
        <w:trPr>
          <w:trHeight w:val="22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2022</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to goodwill during the six months ended June 30, 2022 or during prior periods.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(in millions, except years):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w w:val="90"/>
              </w:rPr>
              <w:t>June 30, 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Arial" w:cs="Arial" w:eastAsia="Arial" w:hAnsi="Arial"/>
                <w:sz w:val="18"/>
                <w:szCs w:val="18"/>
                <w:color w:val="auto"/>
              </w:rPr>
              <w:t>Customer relationships</w:t>
            </w:r>
          </w:p>
        </w:tc>
        <w:tc>
          <w:tcPr>
            <w:tcW w:w="14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5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w w:val="90"/>
              </w:rPr>
              <w:t>December 31, 2021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Arial" w:cs="Arial" w:eastAsia="Arial" w:hAnsi="Arial"/>
                <w:sz w:val="18"/>
                <w:szCs w:val="18"/>
                <w:color w:val="auto"/>
              </w:rPr>
              <w:t>Customer relationships</w:t>
            </w: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Amortization expense was $6.0 million and $3.5 million during the three months ended June 30, 2022 and 2021, respectively. Amortization expense was $12.4 million and $6.9 million during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Amount</w:t>
            </w:r>
          </w:p>
        </w:tc>
      </w:tr>
      <w:tr>
        <w:trPr>
          <w:trHeight w:val="212"/>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9"/>
        </w:trPr>
        <w:tc>
          <w:tcPr>
            <w:tcW w:w="9000" w:type="dxa"/>
            <w:vAlign w:val="bottom"/>
          </w:tcPr>
          <w:p>
            <w:pPr>
              <w:ind w:left="340"/>
              <w:spacing w:after="0"/>
              <w:rPr>
                <w:sz w:val="20"/>
                <w:szCs w:val="20"/>
                <w:color w:val="auto"/>
              </w:rPr>
            </w:pPr>
            <w:r>
              <w:rPr>
                <w:rFonts w:ascii="Arial" w:cs="Arial" w:eastAsia="Arial" w:hAnsi="Arial"/>
                <w:sz w:val="18"/>
                <w:szCs w:val="18"/>
                <w:color w:val="auto"/>
              </w:rPr>
              <w:t>2022 (the remainder of 2022)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9000" w:type="dxa"/>
            <w:vAlign w:val="bottom"/>
          </w:tcPr>
          <w:p>
            <w:pPr>
              <w:ind w:left="34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000" w:type="dxa"/>
            <w:vAlign w:val="bottom"/>
          </w:tcPr>
          <w:p>
            <w:pPr>
              <w:ind w:left="34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r>
      <w:tr>
        <w:trPr>
          <w:trHeight w:val="20"/>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43" w:lineRule="exact"/>
        <w:rPr>
          <w:sz w:val="20"/>
          <w:szCs w:val="20"/>
          <w:color w:val="auto"/>
        </w:rPr>
      </w:pPr>
    </w:p>
    <w:p>
      <w:pPr>
        <w:ind w:right="240" w:firstLine="648"/>
        <w:spacing w:after="0" w:line="231" w:lineRule="auto"/>
        <w:rPr>
          <w:sz w:val="20"/>
          <w:szCs w:val="20"/>
          <w:color w:val="auto"/>
        </w:rPr>
      </w:pPr>
      <w:r>
        <w:rPr>
          <w:rFonts w:ascii="Arial" w:cs="Arial" w:eastAsia="Arial" w:hAnsi="Arial"/>
          <w:sz w:val="18"/>
          <w:szCs w:val="18"/>
          <w:color w:val="auto"/>
        </w:rPr>
        <w:t>Basic net income per share is computed by dividing net income attributable to Fortinet, Inc., by the weighted-average number of shares of common stock outstanding during the period. Diluted net income per share is computed by dividing net income attributable to Fortinet, Inc. by the weighted-average number of shares of common stock outstanding during the period, plus the dilutive effects of restricted stock units (“RSUs”) and stock options. Dilutive shares of common stock are determined by applying the treasury stock method.</w:t>
      </w:r>
    </w:p>
    <w:p>
      <w:pPr>
        <w:spacing w:after="0" w:line="216"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attributable to Fortinet, Inc. is as follows (in millions, except per share amounts):</w:t>
      </w: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64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72"/>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140"/>
              <w:spacing w:after="0" w:line="158" w:lineRule="exact"/>
              <w:rPr>
                <w:sz w:val="20"/>
                <w:szCs w:val="20"/>
                <w:color w:val="auto"/>
              </w:rPr>
            </w:pPr>
            <w:r>
              <w:rPr>
                <w:rFonts w:ascii="Arial" w:cs="Arial" w:eastAsia="Arial" w:hAnsi="Arial"/>
                <w:sz w:val="16"/>
                <w:szCs w:val="16"/>
                <w:b w:val="1"/>
                <w:bCs w:val="1"/>
                <w:color w:val="auto"/>
              </w:rPr>
              <w:t>June 30,</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32"/>
              <w:spacing w:after="0" w:line="158"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311.7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attributable to non-controlling interests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shares: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815.9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880"/>
              <w:spacing w:after="0"/>
              <w:rPr>
                <w:sz w:val="20"/>
                <w:szCs w:val="20"/>
                <w:color w:val="auto"/>
              </w:rPr>
            </w:pPr>
            <w:r>
              <w:rPr>
                <w:rFonts w:ascii="Arial" w:cs="Arial" w:eastAsia="Arial" w:hAnsi="Arial"/>
                <w:sz w:val="18"/>
                <w:szCs w:val="18"/>
                <w:color w:val="auto"/>
              </w:rPr>
              <w:t>RSUs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56"/>
        </w:trPr>
        <w:tc>
          <w:tcPr>
            <w:tcW w:w="5120" w:type="dxa"/>
            <w:vAlign w:val="bottom"/>
          </w:tcPr>
          <w:p>
            <w:pPr>
              <w:ind w:left="20"/>
              <w:spacing w:after="0" w:line="156" w:lineRule="exact"/>
              <w:rPr>
                <w:sz w:val="20"/>
                <w:szCs w:val="20"/>
                <w:color w:val="auto"/>
              </w:rPr>
            </w:pPr>
            <w:r>
              <w:rPr>
                <w:rFonts w:ascii="Arial" w:cs="Arial" w:eastAsia="Arial" w:hAnsi="Arial"/>
                <w:sz w:val="18"/>
                <w:szCs w:val="18"/>
                <w:color w:val="auto"/>
                <w:w w:val="96"/>
              </w:rPr>
              <w:t>Weighted-average shares used to compute diluted net income per</w:t>
            </w:r>
          </w:p>
        </w:tc>
        <w:tc>
          <w:tcPr>
            <w:tcW w:w="2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810.1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835.4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815.4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share attributable to Fortinet, Inc.</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Fortinet, Inc.:</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weighted-average shares of common stock were excluded from the computation of diluted net income per share attributable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Fortinet, Inc. for the periods presented, as their effect would have been antidilutive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2720" w:type="dxa"/>
            <w:vAlign w:val="bottom"/>
            <w:tcBorders>
              <w:bottom w:val="single" w:sz="8" w:color="auto"/>
            </w:tcBorders>
            <w:gridSpan w:val="4"/>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Borders>
              <w:bottom w:val="single" w:sz="8" w:color="auto"/>
            </w:tcBorders>
            <w:gridSpan w:val="4"/>
          </w:tcPr>
          <w:p>
            <w:pPr>
              <w:ind w:left="820"/>
              <w:spacing w:after="0"/>
              <w:rPr>
                <w:sz w:val="20"/>
                <w:szCs w:val="20"/>
                <w:color w:val="auto"/>
              </w:rPr>
            </w:pPr>
            <w:r>
              <w:rPr>
                <w:rFonts w:ascii="Arial" w:cs="Arial" w:eastAsia="Arial" w:hAnsi="Arial"/>
                <w:sz w:val="16"/>
                <w:szCs w:val="16"/>
                <w:b w:val="1"/>
                <w:bCs w:val="1"/>
                <w:color w:val="auto"/>
              </w:rPr>
              <w:t>Six Months Ended</w:t>
            </w:r>
          </w:p>
        </w:tc>
        <w:tc>
          <w:tcPr>
            <w:tcW w:w="360" w:type="dxa"/>
            <w:vAlign w:val="bottom"/>
            <w:tcBorders>
              <w:bottom w:val="single" w:sz="8" w:color="auto"/>
            </w:tcBorders>
          </w:tcPr>
          <w:p>
            <w:pPr>
              <w:spacing w:after="0"/>
              <w:rPr>
                <w:sz w:val="18"/>
                <w:szCs w:val="18"/>
                <w:color w:val="auto"/>
              </w:rPr>
            </w:pPr>
          </w:p>
        </w:tc>
      </w:tr>
      <w:tr>
        <w:trPr>
          <w:trHeight w:val="158"/>
        </w:trPr>
        <w:tc>
          <w:tcPr>
            <w:tcW w:w="5120" w:type="dxa"/>
            <w:vAlign w:val="bottom"/>
          </w:tcPr>
          <w:p>
            <w:pPr>
              <w:spacing w:after="0"/>
              <w:rPr>
                <w:sz w:val="13"/>
                <w:szCs w:val="13"/>
                <w:color w:val="auto"/>
              </w:rPr>
            </w:pPr>
          </w:p>
        </w:tc>
        <w:tc>
          <w:tcPr>
            <w:tcW w:w="1120" w:type="dxa"/>
            <w:vAlign w:val="bottom"/>
          </w:tcPr>
          <w:p>
            <w:pPr>
              <w:jc w:val="center"/>
              <w:ind w:left="279"/>
              <w:spacing w:after="0" w:line="158" w:lineRule="exact"/>
              <w:rPr>
                <w:sz w:val="20"/>
                <w:szCs w:val="20"/>
                <w:color w:val="auto"/>
              </w:rPr>
            </w:pPr>
            <w:r>
              <w:rPr>
                <w:rFonts w:ascii="Arial" w:cs="Arial" w:eastAsia="Arial" w:hAnsi="Arial"/>
                <w:sz w:val="16"/>
                <w:szCs w:val="16"/>
                <w:b w:val="1"/>
                <w:bCs w:val="1"/>
                <w:color w:val="auto"/>
                <w:w w:val="87"/>
              </w:rPr>
              <w:t>June 30,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299"/>
              <w:spacing w:after="0" w:line="158" w:lineRule="exact"/>
              <w:rPr>
                <w:sz w:val="20"/>
                <w:szCs w:val="20"/>
                <w:color w:val="auto"/>
              </w:rPr>
            </w:pPr>
            <w:r>
              <w:rPr>
                <w:rFonts w:ascii="Arial" w:cs="Arial" w:eastAsia="Arial" w:hAnsi="Arial"/>
                <w:sz w:val="16"/>
                <w:szCs w:val="16"/>
                <w:b w:val="1"/>
                <w:bCs w:val="1"/>
                <w:color w:val="auto"/>
                <w:w w:val="90"/>
              </w:rPr>
              <w:t>June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279"/>
              <w:spacing w:after="0" w:line="158" w:lineRule="exact"/>
              <w:rPr>
                <w:sz w:val="20"/>
                <w:szCs w:val="20"/>
                <w:color w:val="auto"/>
              </w:rPr>
            </w:pPr>
            <w:r>
              <w:rPr>
                <w:rFonts w:ascii="Arial" w:cs="Arial" w:eastAsia="Arial" w:hAnsi="Arial"/>
                <w:sz w:val="16"/>
                <w:szCs w:val="16"/>
                <w:b w:val="1"/>
                <w:bCs w:val="1"/>
                <w:color w:val="auto"/>
                <w:w w:val="90"/>
              </w:rPr>
              <w:t>June 30,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259"/>
              <w:spacing w:after="0" w:line="158" w:lineRule="exact"/>
              <w:rPr>
                <w:sz w:val="20"/>
                <w:szCs w:val="20"/>
                <w:color w:val="auto"/>
              </w:rPr>
            </w:pPr>
            <w:r>
              <w:rPr>
                <w:rFonts w:ascii="Arial" w:cs="Arial" w:eastAsia="Arial" w:hAnsi="Arial"/>
                <w:sz w:val="16"/>
                <w:szCs w:val="16"/>
                <w:b w:val="1"/>
                <w:bCs w:val="1"/>
                <w:color w:val="auto"/>
                <w:w w:val="90"/>
              </w:rPr>
              <w:t>June 30,</w:t>
            </w:r>
          </w:p>
        </w:tc>
        <w:tc>
          <w:tcPr>
            <w:tcW w:w="360" w:type="dxa"/>
            <w:vAlign w:val="bottom"/>
          </w:tcPr>
          <w:p>
            <w:pPr>
              <w:spacing w:after="0"/>
              <w:rPr>
                <w:sz w:val="13"/>
                <w:szCs w:val="13"/>
                <w:color w:val="auto"/>
              </w:rPr>
            </w:pPr>
          </w:p>
        </w:tc>
      </w:tr>
      <w:tr>
        <w:trPr>
          <w:trHeight w:val="213"/>
        </w:trPr>
        <w:tc>
          <w:tcPr>
            <w:tcW w:w="62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60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15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15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8"/>
                <w:szCs w:val="18"/>
                <w:color w:val="auto"/>
              </w:rPr>
            </w:pP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and 2031 Senior 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5, 2021, we issued $1.0 billion aggregate principal amount of senior notes (collectively, the “Senior Notes”), consisting of</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June 30, 2022 and December 31, 2021, the Senior Notes were recorded as long-term debt, net of discount and issuance costs, which are amortized to interest expense over the respective contractual terms of these notes using the effective interest method.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outstanding debt is summarized below (in millions, except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Coupon Rate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Effective Interest</w:t>
            </w: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160" w:type="dxa"/>
            <w:vAlign w:val="bottom"/>
          </w:tcPr>
          <w:p>
            <w:pPr>
              <w:jc w:val="right"/>
              <w:ind w:right="9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Rate</w:t>
            </w:r>
          </w:p>
        </w:tc>
        <w:tc>
          <w:tcPr>
            <w:tcW w:w="240" w:type="dxa"/>
            <w:vAlign w:val="bottom"/>
          </w:tcPr>
          <w:p>
            <w:pPr>
              <w:spacing w:after="0"/>
              <w:rPr>
                <w:sz w:val="18"/>
                <w:szCs w:val="18"/>
                <w:color w:val="auto"/>
              </w:rPr>
            </w:pPr>
          </w:p>
        </w:tc>
        <w:tc>
          <w:tcPr>
            <w:tcW w:w="1100" w:type="dxa"/>
            <w:vAlign w:val="bottom"/>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2026 Senior Notes</w:t>
            </w:r>
          </w:p>
        </w:tc>
        <w:tc>
          <w:tcPr>
            <w:tcW w:w="14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March 2026</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2031 Senior Notes</w:t>
            </w:r>
          </w:p>
        </w:tc>
        <w:tc>
          <w:tcPr>
            <w:tcW w:w="14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2031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Less: Unamortized discount and debt issuance costs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of June 30, 2022 and December 31, 2021, we accrued interest payable of $4.7 million, and there are no financial covenants with which we must comply. During the three months ended June 30, 2022 and 2021 we recorded $4.5 million of total interest expense in relation to these Senior Notes in each quarter. During the six months ended June 30, 2022 and 2021 we recorded $9.0 million and $5.8 million of total interest expense in relation to these Senior Notes, respectively. No interest costs were capitalized for the three months or six months ended June 30, 2022 and 2021, as the costs that qualified for capitalization were not material.</w:t>
      </w:r>
    </w:p>
    <w:p>
      <w:pPr>
        <w:spacing w:after="0" w:line="21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total estimated fair value of the outstanding Senior Notes was approximately $848.4 million, including accrued and unpaid interest, as of June 30, 2022. The fair value was determined based on observable market prices of identical instruments in less active markets. The estimated fair values are based on Level 2 inputs.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inventory purchase commitments as of June 30, 2022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2"/>
          </w:tcPr>
          <w:p>
            <w:pPr>
              <w:ind w:left="340"/>
              <w:spacing w:after="0"/>
              <w:rPr>
                <w:sz w:val="20"/>
                <w:szCs w:val="20"/>
                <w:color w:val="auto"/>
              </w:rPr>
            </w:pPr>
            <w:r>
              <w:rPr>
                <w:rFonts w:ascii="Arial" w:cs="Arial" w:eastAsia="Arial" w:hAnsi="Arial"/>
                <w:sz w:val="16"/>
                <w:szCs w:val="16"/>
                <w:b w:val="1"/>
                <w:bCs w:val="1"/>
                <w:color w:val="auto"/>
              </w:rPr>
              <w:t>Total</w:t>
            </w:r>
          </w:p>
        </w:tc>
        <w:tc>
          <w:tcPr>
            <w:tcW w:w="1100" w:type="dxa"/>
            <w:vAlign w:val="bottom"/>
          </w:tcPr>
          <w:p>
            <w:pPr>
              <w:spacing w:after="0"/>
              <w:rPr>
                <w:sz w:val="18"/>
                <w:szCs w:val="18"/>
                <w:color w:val="auto"/>
              </w:rPr>
            </w:pPr>
          </w:p>
        </w:tc>
        <w:tc>
          <w:tcPr>
            <w:tcW w:w="1460" w:type="dxa"/>
            <w:vAlign w:val="bottom"/>
          </w:tcPr>
          <w:p>
            <w:pPr>
              <w:jc w:val="right"/>
              <w:ind w:right="69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jc w:val="right"/>
              <w:ind w:right="475"/>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34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Inventory purchase commitments</w:t>
            </w:r>
          </w:p>
        </w:tc>
        <w:tc>
          <w:tcPr>
            <w:tcW w:w="11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r>
    </w:tbl>
    <w:p>
      <w:pPr>
        <w:spacing w:after="0" w:line="306" w:lineRule="exact"/>
        <w:rPr>
          <w:sz w:val="20"/>
          <w:szCs w:val="20"/>
          <w:color w:val="auto"/>
        </w:rPr>
      </w:pPr>
    </w:p>
    <w:p>
      <w:pPr>
        <w:ind w:firstLine="648"/>
        <w:spacing w:after="0"/>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and certain component suppliers procure components and build</w:t>
      </w:r>
      <w:r>
        <w:rPr>
          <w:rFonts w:ascii="Arial" w:cs="Arial" w:eastAsia="Arial" w:hAnsi="Arial"/>
          <w:sz w:val="17"/>
          <w:szCs w:val="17"/>
          <w:b w:val="1"/>
          <w:bCs w:val="1"/>
          <w:color w:val="auto"/>
        </w:rPr>
        <w:t xml:space="preserve"> </w:t>
      </w:r>
      <w:r>
        <w:rPr>
          <w:rFonts w:ascii="Arial" w:cs="Arial" w:eastAsia="Arial" w:hAnsi="Arial"/>
          <w:sz w:val="17"/>
          <w:szCs w:val="17"/>
          <w:color w:val="auto"/>
        </w:rPr>
        <w:t>our products based on our forecasts and the availability of various components. These forecasts are based on estimates of future demand for our products, which are in turn based on historical trends and an analysis from our sales and marketing organizations, adjusted for extended lead times, changes in supplier delivery commitments and other supply chain matters and other market conditions. In order to manage manufacturing lead times, plan for adequate component supply and incentivize suppliers to deliver, we may issue purchase orders to some of our independent contract manufacturers which are non-cancelable. As of June 30, 2022 and December 31, 2021, we had $1.49 billion and $1.14 billion, respectively, of open purchase orders with our independent contract manufacturers that are non-cancelable.</w:t>
      </w:r>
    </w:p>
    <w:p>
      <w:pPr>
        <w:spacing w:after="0" w:line="211"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b w:val="1"/>
          <w:bCs w:val="1"/>
          <w:color w:val="auto"/>
        </w:rPr>
        <w:t>Other Contractual Commitments and Open Purchase Orders</w:t>
      </w:r>
      <w:r>
        <w:rPr>
          <w:rFonts w:ascii="Arial" w:cs="Arial" w:eastAsia="Arial" w:hAnsi="Arial"/>
          <w:sz w:val="16"/>
          <w:szCs w:val="16"/>
          <w:color w:val="auto"/>
        </w:rPr>
        <w:t>—In addition to commitments with contract manufacturers, we have open</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orders and contractual obligations in the ordinary course of business for which we have not received goods or services. A significant portion of our reported purchase commitments consist of firm and non-cancelable commitments. In certain instances, contractual commitments allow us the option to cancel, reschedule and adjust our requirements based on our business needs prior to firm orders being placed. As of June 30, 2022 and December 31, 2021, we had $117.1 million and $126.7 million, respectively, in other contractual commitments having a remaining term in excess of one year that are non-cancelable and an additional $80.0 million and $68.9 million, respectively, in contractual commitments for operating lease liabilities.</w:t>
      </w:r>
    </w:p>
    <w:p>
      <w:pPr>
        <w:spacing w:after="0" w:line="173" w:lineRule="exact"/>
        <w:rPr>
          <w:sz w:val="20"/>
          <w:szCs w:val="20"/>
          <w:color w:val="auto"/>
        </w:rPr>
      </w:pPr>
    </w:p>
    <w:p>
      <w:pPr>
        <w:ind w:right="40" w:firstLine="648"/>
        <w:spacing w:after="0" w:line="237"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w:t>
      </w:r>
    </w:p>
    <w:p>
      <w:pPr>
        <w:spacing w:after="0" w:line="21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December 2021, we entered into an agreement that provided for settlement and dismissal of an existing patent infringement lawsuit and a mutual covenant-not-to-sue for a defined duration of time. We have settled and paid $10.0 million in cash, of which $5.6 million was related to the dismissal of the lawsuit and was expensed as a general and administrative expense, and $4.4 million was deferred and will be expensed over time as royalty cost of revenue. Litigation loss contingency accruals associated with other outstanding cases were not material as of June 30, 2022 and December 31, 2021.</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Indemnification and Other Matters</w:t>
      </w:r>
      <w:r>
        <w:rPr>
          <w:rFonts w:ascii="Arial" w:cs="Arial" w:eastAsia="Arial" w:hAnsi="Arial"/>
          <w:sz w:val="17"/>
          <w:szCs w:val="17"/>
          <w:color w:val="auto"/>
        </w:rPr>
        <w:t>—Under the indemnification provisions of our standard sales contracts, we agree to defend our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03"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Similar to other security companies and companies in other industries, we have in the past experienced, and we may in the future experience, cybersecurity threats, malicious activity directed against our information technology infrastructure 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color w:val="auto"/>
        </w:rPr>
        <w:t>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14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EQUITY (DEFICIT)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5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We maintain the Amended and Restated Fortinet, Inc. 2009 Equity Incentive Plan (the “Amended Plan”) pursuant to which we have granted RSUs and stock options. As of June 30, 2022, there were a total of 57.3 million shares of common stock available for grant under the Amended Plan.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56" w:lineRule="exact"/>
        <w:rPr>
          <w:sz w:val="20"/>
          <w:szCs w:val="20"/>
          <w:color w:val="auto"/>
        </w:rPr>
      </w:pPr>
    </w:p>
    <w:p>
      <w:pPr>
        <w:ind w:right="500" w:firstLine="648"/>
        <w:spacing w:after="0" w:line="274"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tbl>
      <w:tblPr>
        <w:tblLayout w:type="fixed"/>
        <w:tblInd w:w="2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Number of Shares</w:t>
            </w:r>
          </w:p>
        </w:tc>
        <w:tc>
          <w:tcPr>
            <w:tcW w:w="17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4"/>
              </w:rPr>
              <w:t>Grant Date Fair Value</w:t>
            </w:r>
          </w:p>
        </w:tc>
        <w:tc>
          <w:tcPr>
            <w:tcW w:w="0" w:type="dxa"/>
            <w:vAlign w:val="bottom"/>
          </w:tcPr>
          <w:p>
            <w:pPr>
              <w:spacing w:after="0"/>
              <w:rPr>
                <w:sz w:val="1"/>
                <w:szCs w:val="1"/>
                <w:color w:val="auto"/>
              </w:rPr>
            </w:pPr>
          </w:p>
        </w:tc>
      </w:tr>
      <w:tr>
        <w:trPr>
          <w:trHeight w:val="213"/>
        </w:trPr>
        <w:tc>
          <w:tcPr>
            <w:tcW w:w="758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per Share</w:t>
            </w:r>
          </w:p>
        </w:tc>
        <w:tc>
          <w:tcPr>
            <w:tcW w:w="0" w:type="dxa"/>
            <w:vAlign w:val="bottom"/>
          </w:tcPr>
          <w:p>
            <w:pPr>
              <w:spacing w:after="0"/>
              <w:rPr>
                <w:sz w:val="1"/>
                <w:szCs w:val="1"/>
                <w:color w:val="auto"/>
              </w:rPr>
            </w:pPr>
          </w:p>
        </w:tc>
      </w:tr>
      <w:tr>
        <w:trPr>
          <w:trHeight w:val="226"/>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30"/>
        </w:trPr>
        <w:tc>
          <w:tcPr>
            <w:tcW w:w="7580" w:type="dxa"/>
            <w:vAlign w:val="bottom"/>
          </w:tcPr>
          <w:p>
            <w:pPr>
              <w:ind w:left="46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Stock compensation expense is recognized on a straight-line basis over the vesting period of each RSU. As of June 30, 2022, total compensation expense related to unvested RSUs granted to employees and non-employees under the Amended Plan, but not yet recognized, was $413.7 million, with a weighted-average remaining vesting period of 2.7 years.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4980" w:type="dxa"/>
            <w:vAlign w:val="bottom"/>
          </w:tcPr>
          <w:p>
            <w:pPr>
              <w:spacing w:after="0"/>
              <w:rPr>
                <w:sz w:val="13"/>
                <w:szCs w:val="13"/>
                <w:color w:val="auto"/>
              </w:rPr>
            </w:pPr>
          </w:p>
        </w:tc>
        <w:tc>
          <w:tcPr>
            <w:tcW w:w="1080" w:type="dxa"/>
            <w:vAlign w:val="bottom"/>
          </w:tcPr>
          <w:p>
            <w:pPr>
              <w:jc w:val="center"/>
              <w:ind w:left="337"/>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left="336"/>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3"/>
                <w:szCs w:val="13"/>
                <w:color w:val="auto"/>
              </w:rPr>
            </w:pPr>
          </w:p>
        </w:tc>
        <w:tc>
          <w:tcPr>
            <w:tcW w:w="1200" w:type="dxa"/>
            <w:vAlign w:val="bottom"/>
          </w:tcPr>
          <w:p>
            <w:pPr>
              <w:jc w:val="right"/>
              <w:ind w:right="355"/>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35.3</w:t>
            </w:r>
          </w:p>
        </w:tc>
        <w:tc>
          <w:tcPr>
            <w:tcW w:w="100" w:type="dxa"/>
            <w:vAlign w:val="bottom"/>
          </w:tcPr>
          <w:p>
            <w:pPr>
              <w:spacing w:after="0"/>
              <w:rPr>
                <w:sz w:val="20"/>
                <w:szCs w:val="20"/>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34.7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76.1</w:t>
            </w:r>
          </w:p>
        </w:tc>
      </w:tr>
    </w:tbl>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3380" w:type="dxa"/>
            <w:vAlign w:val="bottom"/>
            <w:gridSpan w:val="4"/>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320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660" w:type="dxa"/>
            <w:vAlign w:val="bottom"/>
          </w:tcPr>
          <w:p>
            <w:pPr>
              <w:spacing w:after="0"/>
              <w:rPr>
                <w:sz w:val="13"/>
                <w:szCs w:val="13"/>
                <w:color w:val="auto"/>
              </w:rPr>
            </w:pPr>
          </w:p>
        </w:tc>
        <w:tc>
          <w:tcPr>
            <w:tcW w:w="1700" w:type="dxa"/>
            <w:vAlign w:val="bottom"/>
            <w:tcBorders>
              <w:top w:val="single" w:sz="8" w:color="auto"/>
            </w:tcBorders>
            <w:gridSpan w:val="2"/>
          </w:tcPr>
          <w:p>
            <w:pPr>
              <w:ind w:left="500"/>
              <w:spacing w:after="0" w:line="158" w:lineRule="exact"/>
              <w:rPr>
                <w:sz w:val="20"/>
                <w:szCs w:val="20"/>
                <w:color w:val="auto"/>
              </w:rPr>
            </w:pPr>
            <w:r>
              <w:rPr>
                <w:rFonts w:ascii="Arial" w:cs="Arial" w:eastAsia="Arial" w:hAnsi="Arial"/>
                <w:sz w:val="16"/>
                <w:szCs w:val="16"/>
                <w:b w:val="1"/>
                <w:bCs w:val="1"/>
                <w:color w:val="auto"/>
              </w:rPr>
              <w:t>June 30,</w:t>
            </w:r>
          </w:p>
        </w:tc>
        <w:tc>
          <w:tcPr>
            <w:tcW w:w="1580" w:type="dxa"/>
            <w:vAlign w:val="bottom"/>
            <w:tcBorders>
              <w:top w:val="single" w:sz="8" w:color="auto"/>
            </w:tcBorders>
          </w:tcPr>
          <w:p>
            <w:pPr>
              <w:jc w:val="right"/>
              <w:ind w:right="413"/>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1640" w:type="dxa"/>
            <w:vAlign w:val="bottom"/>
            <w:tcBorders>
              <w:top w:val="single" w:sz="8" w:color="auto"/>
            </w:tcBorders>
            <w:gridSpan w:val="2"/>
          </w:tcPr>
          <w:p>
            <w:pPr>
              <w:ind w:left="480"/>
              <w:spacing w:after="0" w:line="158" w:lineRule="exact"/>
              <w:rPr>
                <w:sz w:val="20"/>
                <w:szCs w:val="20"/>
                <w:color w:val="auto"/>
              </w:rPr>
            </w:pPr>
            <w:r>
              <w:rPr>
                <w:rFonts w:ascii="Arial" w:cs="Arial" w:eastAsia="Arial" w:hAnsi="Arial"/>
                <w:sz w:val="16"/>
                <w:szCs w:val="16"/>
                <w:b w:val="1"/>
                <w:bCs w:val="1"/>
                <w:color w:val="auto"/>
              </w:rPr>
              <w:t>June 30,</w:t>
            </w:r>
          </w:p>
        </w:tc>
        <w:tc>
          <w:tcPr>
            <w:tcW w:w="1560" w:type="dxa"/>
            <w:vAlign w:val="bottom"/>
            <w:tcBorders>
              <w:top w:val="single" w:sz="8" w:color="auto"/>
            </w:tcBorders>
          </w:tcPr>
          <w:p>
            <w:pPr>
              <w:jc w:val="right"/>
              <w:ind w:right="393"/>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6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580" w:type="dxa"/>
            <w:vAlign w:val="bottom"/>
          </w:tcPr>
          <w:p>
            <w:pPr>
              <w:jc w:val="right"/>
              <w:spacing w:after="0"/>
              <w:rPr>
                <w:sz w:val="20"/>
                <w:szCs w:val="20"/>
                <w:color w:val="auto"/>
              </w:rPr>
            </w:pPr>
            <w:r>
              <w:rPr>
                <w:rFonts w:ascii="Arial" w:cs="Arial" w:eastAsia="Arial" w:hAnsi="Arial"/>
                <w:sz w:val="18"/>
                <w:szCs w:val="18"/>
                <w:color w:val="auto"/>
              </w:rPr>
              <w:t>43.6 %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41.1 %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39.4 %</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firstLine="648"/>
        <w:spacing w:after="0" w:line="274"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tbl>
      <w:tblPr>
        <w:tblLayout w:type="fixed"/>
        <w:tblInd w:w="2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Average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Exercise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line="20" w:lineRule="exact"/>
              <w:rPr>
                <w:sz w:val="1"/>
                <w:szCs w:val="1"/>
                <w:color w:val="auto"/>
              </w:rPr>
            </w:pPr>
          </w:p>
        </w:tc>
      </w:tr>
      <w:tr>
        <w:trPr>
          <w:trHeight w:val="203"/>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vest—June 30, 2022</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22.83</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exercisable—June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June 30, 2022 for all in-the-money stock options. Stock compensation expense is recognized on a straight-line basis over the vesting period of each stock option. As of June 30, 2022, total compensation expense related to unvested stock options granted to employees but not yet recognized was $61.6 million, with a weighted-average remaining vesting period of 2.9 years.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60" w:type="dxa"/>
            <w:vAlign w:val="bottom"/>
            <w:gridSpan w:val="4"/>
          </w:tcPr>
          <w:p>
            <w:pPr>
              <w:jc w:val="right"/>
              <w:ind w:right="794"/>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49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74"/>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54"/>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bl>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Stock-based compensation expense, including stock-based compensation expense related to awards classified as liabilities, is included in costs and expenses as follows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498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3"/>
                <w:szCs w:val="13"/>
                <w:color w:val="auto"/>
              </w:rPr>
            </w:pPr>
          </w:p>
        </w:tc>
        <w:tc>
          <w:tcPr>
            <w:tcW w:w="1200" w:type="dxa"/>
            <w:vAlign w:val="bottom"/>
          </w:tcPr>
          <w:p>
            <w:pPr>
              <w:jc w:val="right"/>
              <w:ind w:right="352"/>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26.4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4980" w:type="dxa"/>
            <w:vAlign w:val="bottom"/>
          </w:tcPr>
          <w:p>
            <w:pPr>
              <w:ind w:left="460"/>
              <w:spacing w:after="0"/>
              <w:rPr>
                <w:sz w:val="20"/>
                <w:szCs w:val="20"/>
                <w:color w:val="auto"/>
              </w:rPr>
            </w:pPr>
            <w:r>
              <w:rPr>
                <w:rFonts w:ascii="Arial" w:cs="Arial" w:eastAsia="Arial" w:hAnsi="Arial"/>
                <w:sz w:val="18"/>
                <w:szCs w:val="18"/>
                <w:color w:val="auto"/>
              </w:rPr>
              <w:t>Total stock-based compensation expense</w:t>
            </w:r>
          </w:p>
        </w:tc>
        <w:tc>
          <w:tcPr>
            <w:tcW w:w="108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55.3</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r>
      <w:tr>
        <w:trPr>
          <w:trHeight w:val="20"/>
        </w:trPr>
        <w:tc>
          <w:tcPr>
            <w:tcW w:w="4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including stock-based compensation expense related to awards classified as liabilities, by award type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980" w:type="dxa"/>
            <w:vAlign w:val="bottom"/>
          </w:tcPr>
          <w:p>
            <w:pPr>
              <w:spacing w:after="0"/>
              <w:rPr>
                <w:sz w:val="13"/>
                <w:szCs w:val="13"/>
                <w:color w:val="auto"/>
              </w:rPr>
            </w:pPr>
          </w:p>
        </w:tc>
        <w:tc>
          <w:tcPr>
            <w:tcW w:w="1080" w:type="dxa"/>
            <w:vAlign w:val="bottom"/>
          </w:tcPr>
          <w:p>
            <w:pPr>
              <w:jc w:val="center"/>
              <w:ind w:left="356"/>
              <w:spacing w:after="0" w:line="158" w:lineRule="exact"/>
              <w:rPr>
                <w:sz w:val="20"/>
                <w:szCs w:val="20"/>
                <w:color w:val="auto"/>
              </w:rPr>
            </w:pPr>
            <w:r>
              <w:rPr>
                <w:rFonts w:ascii="Arial" w:cs="Arial" w:eastAsia="Arial" w:hAnsi="Arial"/>
                <w:sz w:val="16"/>
                <w:szCs w:val="16"/>
                <w:b w:val="1"/>
                <w:bCs w:val="1"/>
                <w:color w:val="auto"/>
                <w:w w:val="87"/>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5"/>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90"/>
              </w:rPr>
              <w:t>June 30,</w:t>
            </w:r>
          </w:p>
        </w:tc>
        <w:tc>
          <w:tcPr>
            <w:tcW w:w="280" w:type="dxa"/>
            <w:vAlign w:val="bottom"/>
          </w:tcPr>
          <w:p>
            <w:pPr>
              <w:spacing w:after="0"/>
              <w:rPr>
                <w:sz w:val="13"/>
                <w:szCs w:val="13"/>
                <w:color w:val="auto"/>
              </w:rPr>
            </w:pPr>
          </w:p>
        </w:tc>
        <w:tc>
          <w:tcPr>
            <w:tcW w:w="1200" w:type="dxa"/>
            <w:vAlign w:val="bottom"/>
          </w:tcPr>
          <w:p>
            <w:pPr>
              <w:jc w:val="center"/>
              <w:ind w:right="175"/>
              <w:spacing w:after="0" w:line="158" w:lineRule="exact"/>
              <w:rPr>
                <w:sz w:val="20"/>
                <w:szCs w:val="20"/>
                <w:color w:val="auto"/>
              </w:rPr>
            </w:pPr>
            <w:r>
              <w:rPr>
                <w:rFonts w:ascii="Arial" w:cs="Arial" w:eastAsia="Arial" w:hAnsi="Arial"/>
                <w:sz w:val="16"/>
                <w:szCs w:val="16"/>
                <w:b w:val="1"/>
                <w:bCs w:val="1"/>
                <w:color w:val="auto"/>
                <w:w w:val="90"/>
              </w:rPr>
              <w:t>June 30,</w:t>
            </w:r>
          </w:p>
        </w:tc>
      </w:tr>
      <w:tr>
        <w:trPr>
          <w:trHeight w:val="213"/>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56"/>
              <w:spacing w:after="0"/>
              <w:rPr>
                <w:sz w:val="20"/>
                <w:szCs w:val="20"/>
                <w:color w:val="auto"/>
              </w:rPr>
            </w:pPr>
            <w:r>
              <w:rPr>
                <w:rFonts w:ascii="Arial" w:cs="Arial" w:eastAsia="Arial" w:hAnsi="Arial"/>
                <w:sz w:val="16"/>
                <w:szCs w:val="16"/>
                <w:b w:val="1"/>
                <w:bCs w:val="1"/>
                <w:color w:val="auto"/>
                <w:w w:val="89"/>
              </w:rPr>
              <w:t>2022</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15"/>
              <w:spacing w:after="0"/>
              <w:rPr>
                <w:sz w:val="20"/>
                <w:szCs w:val="20"/>
                <w:color w:val="auto"/>
              </w:rPr>
            </w:pPr>
            <w:r>
              <w:rPr>
                <w:rFonts w:ascii="Arial" w:cs="Arial" w:eastAsia="Arial" w:hAnsi="Arial"/>
                <w:sz w:val="16"/>
                <w:szCs w:val="16"/>
                <w:b w:val="1"/>
                <w:bCs w:val="1"/>
                <w:color w:val="auto"/>
                <w:w w:val="89"/>
              </w:rPr>
              <w:t>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5"/>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5"/>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49.0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48"/>
        </w:trPr>
        <w:tc>
          <w:tcPr>
            <w:tcW w:w="4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stock-based compensation expense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0"/>
        </w:trPr>
        <w:tc>
          <w:tcPr>
            <w:tcW w:w="11240" w:type="dxa"/>
            <w:vAlign w:val="bottom"/>
            <w:gridSpan w:val="12"/>
          </w:tcPr>
          <w:p>
            <w:pPr>
              <w:jc w:val="right"/>
              <w:ind w:right="195"/>
              <w:spacing w:after="0"/>
              <w:rPr>
                <w:sz w:val="20"/>
                <w:szCs w:val="20"/>
                <w:color w:val="auto"/>
              </w:rPr>
            </w:pPr>
            <w:r>
              <w:rPr>
                <w:rFonts w:ascii="Arial" w:cs="Arial" w:eastAsia="Arial" w:hAnsi="Arial"/>
                <w:sz w:val="18"/>
                <w:szCs w:val="18"/>
                <w:color w:val="auto"/>
                <w:w w:val="95"/>
              </w:rPr>
              <w:t>Total income tax benefit associated with stock-based compensation that is recognized in the condensed consolidated statements of income is as</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follows (in millions):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4"/>
        </w:trPr>
        <w:tc>
          <w:tcPr>
            <w:tcW w:w="49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980" w:type="dxa"/>
            <w:vAlign w:val="bottom"/>
          </w:tcPr>
          <w:p>
            <w:pPr>
              <w:spacing w:after="0"/>
              <w:rPr>
                <w:sz w:val="13"/>
                <w:szCs w:val="13"/>
                <w:color w:val="auto"/>
              </w:rPr>
            </w:pPr>
          </w:p>
        </w:tc>
        <w:tc>
          <w:tcPr>
            <w:tcW w:w="1080" w:type="dxa"/>
            <w:vAlign w:val="bottom"/>
          </w:tcPr>
          <w:p>
            <w:pPr>
              <w:jc w:val="center"/>
              <w:ind w:left="356"/>
              <w:spacing w:after="0" w:line="158" w:lineRule="exact"/>
              <w:rPr>
                <w:sz w:val="20"/>
                <w:szCs w:val="20"/>
                <w:color w:val="auto"/>
              </w:rPr>
            </w:pPr>
            <w:r>
              <w:rPr>
                <w:rFonts w:ascii="Arial" w:cs="Arial" w:eastAsia="Arial" w:hAnsi="Arial"/>
                <w:sz w:val="16"/>
                <w:szCs w:val="16"/>
                <w:b w:val="1"/>
                <w:bCs w:val="1"/>
                <w:color w:val="auto"/>
                <w:w w:val="87"/>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5"/>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90"/>
              </w:rPr>
              <w:t>June 30,</w:t>
            </w:r>
          </w:p>
        </w:tc>
        <w:tc>
          <w:tcPr>
            <w:tcW w:w="280" w:type="dxa"/>
            <w:vAlign w:val="bottom"/>
          </w:tcPr>
          <w:p>
            <w:pPr>
              <w:spacing w:after="0"/>
              <w:rPr>
                <w:sz w:val="13"/>
                <w:szCs w:val="13"/>
                <w:color w:val="auto"/>
              </w:rPr>
            </w:pPr>
          </w:p>
        </w:tc>
        <w:tc>
          <w:tcPr>
            <w:tcW w:w="1200" w:type="dxa"/>
            <w:vAlign w:val="bottom"/>
          </w:tcPr>
          <w:p>
            <w:pPr>
              <w:jc w:val="center"/>
              <w:ind w:right="175"/>
              <w:spacing w:after="0" w:line="158" w:lineRule="exact"/>
              <w:rPr>
                <w:sz w:val="20"/>
                <w:szCs w:val="20"/>
                <w:color w:val="auto"/>
              </w:rPr>
            </w:pPr>
            <w:r>
              <w:rPr>
                <w:rFonts w:ascii="Arial" w:cs="Arial" w:eastAsia="Arial" w:hAnsi="Arial"/>
                <w:sz w:val="16"/>
                <w:szCs w:val="16"/>
                <w:b w:val="1"/>
                <w:bCs w:val="1"/>
                <w:color w:val="auto"/>
                <w:w w:val="90"/>
              </w:rPr>
              <w:t>June 30,</w:t>
            </w:r>
          </w:p>
        </w:tc>
      </w:tr>
      <w:tr>
        <w:trPr>
          <w:trHeight w:val="213"/>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56"/>
              <w:spacing w:after="0"/>
              <w:rPr>
                <w:sz w:val="20"/>
                <w:szCs w:val="20"/>
                <w:color w:val="auto"/>
              </w:rPr>
            </w:pPr>
            <w:r>
              <w:rPr>
                <w:rFonts w:ascii="Arial" w:cs="Arial" w:eastAsia="Arial" w:hAnsi="Arial"/>
                <w:sz w:val="16"/>
                <w:szCs w:val="16"/>
                <w:b w:val="1"/>
                <w:bCs w:val="1"/>
                <w:color w:val="auto"/>
                <w:w w:val="89"/>
              </w:rPr>
              <w:t>2022</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15"/>
              <w:spacing w:after="0"/>
              <w:rPr>
                <w:sz w:val="20"/>
                <w:szCs w:val="20"/>
                <w:color w:val="auto"/>
              </w:rPr>
            </w:pPr>
            <w:r>
              <w:rPr>
                <w:rFonts w:ascii="Arial" w:cs="Arial" w:eastAsia="Arial" w:hAnsi="Arial"/>
                <w:sz w:val="16"/>
                <w:szCs w:val="16"/>
                <w:b w:val="1"/>
                <w:bCs w:val="1"/>
                <w:color w:val="auto"/>
                <w:w w:val="89"/>
              </w:rPr>
              <w:t>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5"/>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5"/>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Income tax benefit associated with stock-based compensation</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43" w:lineRule="exact"/>
        <w:rPr>
          <w:sz w:val="20"/>
          <w:szCs w:val="20"/>
          <w:color w:val="auto"/>
        </w:rPr>
      </w:pPr>
    </w:p>
    <w:p>
      <w:pPr>
        <w:ind w:right="20" w:firstLine="648"/>
        <w:spacing w:after="0" w:line="227" w:lineRule="auto"/>
        <w:rPr>
          <w:sz w:val="20"/>
          <w:szCs w:val="20"/>
          <w:color w:val="auto"/>
        </w:rPr>
      </w:pPr>
      <w:r>
        <w:rPr>
          <w:rFonts w:ascii="Arial" w:cs="Arial" w:eastAsia="Arial" w:hAnsi="Arial"/>
          <w:sz w:val="18"/>
          <w:szCs w:val="18"/>
          <w:color w:val="auto"/>
        </w:rPr>
        <w:t>In October 2021, under the Share Repurchase Program originally approved by our board of directors in January 2016 (the “Repurchase Program”), our board of directors approved a $1.25 billion increase and extended the term to February 28, 2023, bringing the aggregate amount authorized to be repurchased to $4.25 billion.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 Refer to Note 16. Subsequent Events for information of the approved $1.0 billion increase in the authorized stock repurchase under the Repurchase Program in July 2022.</w:t>
      </w:r>
    </w:p>
    <w:p>
      <w:pPr>
        <w:spacing w:after="0" w:line="216"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During the three and six months ended June 30, 2022, we repurchased 14.4 million and 25.8 million shares of common stock, respectively, under the Repurchase Program in open-market transactions at a weighted-average price of $55.45 per share and $57.82 per share, respectively, for an aggregate purchase price of $800.0 million and $1.49 billion, respectively. As of June 30, 2022, $29.6 million remained available for future share repurchases under the Repurchase Program.</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INCOME TAXES</w:t>
      </w:r>
    </w:p>
    <w:p>
      <w:pPr>
        <w:spacing w:after="0" w:line="243" w:lineRule="exact"/>
        <w:rPr>
          <w:sz w:val="20"/>
          <w:szCs w:val="20"/>
          <w:color w:val="auto"/>
        </w:rPr>
      </w:pPr>
    </w:p>
    <w:p>
      <w:pPr>
        <w:ind w:right="20" w:firstLine="648"/>
        <w:spacing w:after="0" w:line="255" w:lineRule="auto"/>
        <w:rPr>
          <w:sz w:val="20"/>
          <w:szCs w:val="20"/>
          <w:color w:val="auto"/>
        </w:rPr>
      </w:pPr>
      <w:r>
        <w:rPr>
          <w:rFonts w:ascii="Arial" w:cs="Arial" w:eastAsia="Arial" w:hAnsi="Arial"/>
          <w:sz w:val="16"/>
          <w:szCs w:val="16"/>
          <w:color w:val="auto"/>
        </w:rPr>
        <w:t>Our effective tax rate was 1% for the three months ended June 30, 2022, compared to an effective tax rate of 5% for the same period last year. Our effective tax rate was negative 2% for the six months ended June 30, 2022, compared to an effective tax rate of 7% for the same period last year. The effective tax rates for the periods presented are primarily comprised of U.S. federal and state taxes, withholding taxes, foreign taxes, the tax benefit from foreign-derived intangible income deduction (the “FDII deduction”) and excess tax benefits from stock-based compensation expense. The tax rates for the three months ended June 30, 2022 and 2021 were composed of U.S. federal and state taxes, withholding taxes and foreign taxes that amounted to $54.5 million and $38.0 million, respectively. The tax rate for the three months ended June 30, 2022 was impacted by a tax benefit of $18.6 million from the FDII</w:t>
      </w:r>
    </w:p>
    <w:p>
      <w:pPr>
        <w:spacing w:after="0" w:line="2"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deduction, excess tax benefits from stock-based compensation expense of $17.3 million and release of reserves of $16.2 million on uncertain tax positions and the accrued interest thereon due to the expiration of the statute of limitations. The tax rate for the three months ended June 30, 2021 was impacted by a</w:t>
      </w:r>
    </w:p>
    <w:p>
      <w:pPr>
        <w:spacing w:after="0" w:line="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tax benefit of $7.1 million from the FDII deduction, excess tax benefits from stock-based compensation expense of $18.2 million and release of reserves of $5.2 million on uncertain tax positions and the accrued interest thereon due to the expiration of the statute of limitations.</w:t>
      </w:r>
    </w:p>
    <w:p>
      <w:pPr>
        <w:spacing w:after="0" w:line="198"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The tax rates for the six months ended June 30, 2022 and 2021 were composed of U.S. federal and state taxes, withholding taxes and foreign taxes that amounted to $93.3 million and $75.4 million, respectively. The tax rate for the six months ended June 30, 2022 was impacted by a tax benefit of $33.3 million from the FDII deduction, excess tax benefits from stock-based compensation expense of $49.5 million and release of reserves of</w:t>
      </w:r>
    </w:p>
    <w:p>
      <w:pPr>
        <w:spacing w:after="0" w:line="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$16.2 million on uncertain tax positions and the accrued interest thereon due to the expiration of the statute of limitations. The tax rate for the six months ended June 30, 2021 was impacted by a tax benefit of $15.2 million from the FDII deduction, excess tax benefits from stock-based compensation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expense of $35.3 million and release of reserves of $5.2 million on uncertain tax positions and the accrued interest thereon due to the expiration of the statute of limitations.</w:t>
      </w:r>
    </w:p>
    <w:p>
      <w:pPr>
        <w:spacing w:after="0" w:line="197" w:lineRule="exact"/>
        <w:rPr>
          <w:sz w:val="20"/>
          <w:szCs w:val="20"/>
          <w:color w:val="auto"/>
        </w:rPr>
      </w:pPr>
    </w:p>
    <w:p>
      <w:pPr>
        <w:ind w:right="220" w:firstLine="648"/>
        <w:spacing w:after="0"/>
        <w:rPr>
          <w:sz w:val="20"/>
          <w:szCs w:val="20"/>
          <w:color w:val="auto"/>
        </w:rPr>
      </w:pPr>
      <w:r>
        <w:rPr>
          <w:rFonts w:ascii="Arial" w:cs="Arial" w:eastAsia="Arial" w:hAnsi="Arial"/>
          <w:sz w:val="17"/>
          <w:szCs w:val="17"/>
          <w:color w:val="auto"/>
        </w:rPr>
        <w:t>As of June 30, 2022 and December 31, 2021, unrecognized tax benefits were $64.9 million and $73.3 million, respectively. If recognized, $56.6 million of the unrecognized tax benefits as of June 30, 2022 would favorably affect our effective tax rate. It is our policy to include accrued interest and penalties related to unrecognized tax benefits in income tax expense. As of June 30, 2022 and December 31, 2021, accrued interest and penalties were $9.8 million and $13.3 million, respectively. It is reasonably possible that our gross unrecognized tax benefits will decrease by up to $21.1 million in the next 12 months, due to the lapse of statutes of limitation in various jurisdictions. This decrease, if recognized, would favorably impact our effective tax rate, and would be recognized as additional tax benefits.</w:t>
      </w:r>
    </w:p>
    <w:p>
      <w:pPr>
        <w:spacing w:after="0" w:line="21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examination by U.S federal income tax authorities for tax years prior to 2015. We are no longer subject to U.S. state and foreign income tax examinations by tax authorities for tax years prior to 2010. We currently have ongoing tax audits in the United Kingdom, Canada, Germany and several other foreign jurisdictions. The focus of these audits is the inter-company profit allocation.</w:t>
      </w:r>
    </w:p>
    <w:p>
      <w:pPr>
        <w:spacing w:after="0" w:line="200"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On September 29, 2020, the United States Department of the Treasury (the “U.S. Treasury”) and the Internal Revenue Service (the “IRS”) released final regulations related to foreign tax credits that were the subject of proposed regulations issued in December 2019 and proposed certain provisions in proposed regulations issued in December 2019. The final and proposed regulations provide administrative guidance for the foreign tax credit regime, which was updated in the 2017 Tax Cuts and Jobs Act (the “2017 Tax Act”). Generally, the provisions that were included in the 2019 proposed regulations apply to taxable years ended on or after December 16, 2019, except as otherwise specified. On December 28, 2021, the U.S. Treasury and the IRS released final regulations addressing various aspects of the foreign tax credit regime, which did not have a material impact on our consolidated financial statements as of December 31, 2021. On January 4, 2022, the U.S. Treasury and the IRS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These final regulations adversely impact our ability to claim foreign tax credits in the United States for certain taxes imposed by certain foreign jurisdictions. These final regulations increased our tax expense in the six months ended June 30, 2022 by approximately $9.3 million.</w:t>
      </w:r>
    </w:p>
    <w:p>
      <w:pPr>
        <w:spacing w:after="0" w:line="21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the three months ended June 30, 2022 and 2021 were $3.2 million and $2.7 million, respectively. Our matching contributions to our 401(k) Plan and the RRSP for the six months ended June 30, 2022 and 2021 were $6.6 million and $5.4 million, respectively.</w:t>
      </w:r>
    </w:p>
    <w:p>
      <w:pPr>
        <w:spacing w:after="0" w:line="2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right="20" w:firstLine="648"/>
        <w:spacing w:after="0" w:line="274"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ind w:left="76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6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3"/>
                <w:szCs w:val="13"/>
                <w:color w:val="auto"/>
              </w:rPr>
            </w:pPr>
          </w:p>
        </w:tc>
        <w:tc>
          <w:tcPr>
            <w:tcW w:w="1440" w:type="dxa"/>
            <w:vAlign w:val="bottom"/>
            <w:gridSpan w:val="4"/>
          </w:tcPr>
          <w:p>
            <w:pPr>
              <w:ind w:left="300"/>
              <w:spacing w:after="0" w:line="158" w:lineRule="exact"/>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3"/>
                <w:szCs w:val="13"/>
                <w:color w:val="auto"/>
              </w:rPr>
            </w:pPr>
          </w:p>
        </w:tc>
        <w:tc>
          <w:tcPr>
            <w:tcW w:w="1280" w:type="dxa"/>
            <w:vAlign w:val="bottom"/>
            <w:gridSpan w:val="3"/>
          </w:tcPr>
          <w:p>
            <w:pPr>
              <w:jc w:val="right"/>
              <w:ind w:right="440"/>
              <w:spacing w:after="0" w:line="158" w:lineRule="exact"/>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4"/>
          </w:tcPr>
          <w:p>
            <w:pPr>
              <w:ind w:left="320"/>
              <w:spacing w:after="0" w:line="158" w:lineRule="exact"/>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320"/>
              <w:spacing w:after="0" w:line="158"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314"/>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33"/>
              <w:spacing w:after="0" w:line="175" w:lineRule="exact"/>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ind w:left="440"/>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73"/>
              <w:spacing w:after="0" w:line="175" w:lineRule="exact"/>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Americas: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4"/>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251.7</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center"/>
              <w:ind w:left="753"/>
              <w:spacing w:after="0"/>
              <w:rPr>
                <w:sz w:val="20"/>
                <w:szCs w:val="20"/>
                <w:color w:val="auto"/>
              </w:rPr>
            </w:pPr>
            <w:r>
              <w:rPr>
                <w:rFonts w:ascii="Arial" w:cs="Arial" w:eastAsia="Arial" w:hAnsi="Arial"/>
                <w:sz w:val="18"/>
                <w:szCs w:val="18"/>
                <w:color w:val="auto"/>
                <w:w w:val="88"/>
              </w:rPr>
              <w:t>598.7</w:t>
            </w:r>
          </w:p>
        </w:tc>
        <w:tc>
          <w:tcPr>
            <w:tcW w:w="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9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center"/>
              <w:ind w:left="753"/>
              <w:spacing w:after="0"/>
              <w:rPr>
                <w:sz w:val="20"/>
                <w:szCs w:val="20"/>
                <w:color w:val="auto"/>
              </w:rPr>
            </w:pPr>
            <w:r>
              <w:rPr>
                <w:rFonts w:ascii="Arial" w:cs="Arial" w:eastAsia="Arial" w:hAnsi="Arial"/>
                <w:sz w:val="18"/>
                <w:szCs w:val="18"/>
                <w:color w:val="auto"/>
                <w:w w:val="88"/>
              </w:rPr>
              <w:t>197.5</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4"/>
          </w:tcPr>
          <w:p>
            <w:pPr>
              <w:ind w:left="420"/>
              <w:spacing w:after="0"/>
              <w:rPr>
                <w:sz w:val="20"/>
                <w:szCs w:val="20"/>
                <w:color w:val="auto"/>
              </w:rPr>
            </w:pPr>
            <w:r>
              <w:rPr>
                <w:rFonts w:ascii="Arial" w:cs="Arial" w:eastAsia="Arial" w:hAnsi="Arial"/>
                <w:sz w:val="18"/>
                <w:szCs w:val="18"/>
                <w:color w:val="auto"/>
              </w:rPr>
              <w:t>Total Americas</w:t>
            </w:r>
          </w:p>
        </w:tc>
        <w:tc>
          <w:tcPr>
            <w:tcW w:w="16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337.0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center"/>
              <w:ind w:left="753"/>
              <w:spacing w:after="0"/>
              <w:rPr>
                <w:sz w:val="20"/>
                <w:szCs w:val="20"/>
                <w:color w:val="auto"/>
              </w:rPr>
            </w:pPr>
            <w:r>
              <w:rPr>
                <w:rFonts w:ascii="Arial" w:cs="Arial" w:eastAsia="Arial" w:hAnsi="Arial"/>
                <w:sz w:val="18"/>
                <w:szCs w:val="18"/>
                <w:color w:val="auto"/>
                <w:w w:val="88"/>
              </w:rPr>
              <w:t>796.2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center"/>
              <w:ind w:left="753"/>
              <w:spacing w:after="0"/>
              <w:rPr>
                <w:sz w:val="20"/>
                <w:szCs w:val="20"/>
                <w:color w:val="auto"/>
              </w:rPr>
            </w:pPr>
            <w:r>
              <w:rPr>
                <w:rFonts w:ascii="Arial" w:cs="Arial" w:eastAsia="Arial" w:hAnsi="Arial"/>
                <w:sz w:val="18"/>
                <w:szCs w:val="18"/>
                <w:color w:val="auto"/>
                <w:w w:val="88"/>
              </w:rPr>
              <w:t>737.8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Asia Pacific (“APAC”)</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157.9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left="753"/>
              <w:spacing w:after="0"/>
              <w:rPr>
                <w:sz w:val="20"/>
                <w:szCs w:val="20"/>
                <w:color w:val="auto"/>
              </w:rPr>
            </w:pPr>
            <w:r>
              <w:rPr>
                <w:rFonts w:ascii="Arial" w:cs="Arial" w:eastAsia="Arial" w:hAnsi="Arial"/>
                <w:sz w:val="18"/>
                <w:szCs w:val="18"/>
                <w:color w:val="auto"/>
                <w:w w:val="88"/>
              </w:rPr>
              <w:t>450.9</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4"/>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801.1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shd w:val="clear" w:color="auto" w:fill="CCEEFF"/>
          </w:tcPr>
          <w:p>
            <w:pPr>
              <w:ind w:left="720"/>
              <w:spacing w:after="0"/>
              <w:rPr>
                <w:sz w:val="20"/>
                <w:szCs w:val="20"/>
                <w:color w:val="auto"/>
              </w:rPr>
            </w:pPr>
            <w:r>
              <w:rPr>
                <w:rFonts w:ascii="Arial" w:cs="Arial" w:eastAsia="Arial" w:hAnsi="Arial"/>
                <w:sz w:val="18"/>
                <w:szCs w:val="18"/>
                <w:color w:val="auto"/>
                <w:w w:val="89"/>
              </w:rPr>
              <w:t>1,984.9</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7"/>
                <w:szCs w:val="17"/>
                <w:color w:val="auto"/>
              </w:rPr>
              <w:t>—</w:t>
            </w:r>
            <w:r>
              <w:rPr>
                <w:rFonts w:ascii="Arial" w:cs="Arial" w:eastAsia="Arial" w:hAnsi="Arial"/>
                <w:sz w:val="16"/>
                <w:szCs w:val="16"/>
                <w:b w:val="1"/>
                <w:bCs w:val="1"/>
                <w:color w:val="auto"/>
              </w:rPr>
              <w:t>net</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0"/>
              </w:rPr>
              <w:t>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3"/>
              <w:spacing w:after="0" w:line="175" w:lineRule="exact"/>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113"/>
              <w:spacing w:after="0" w:line="175" w:lineRule="exact"/>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Americas: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4"/>
          </w:tcPr>
          <w:p>
            <w:pPr>
              <w:ind w:left="200"/>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564.0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Latin America</w:t>
            </w: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 Americas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4"/>
          </w:tcPr>
          <w:p>
            <w:pPr>
              <w:spacing w:after="0"/>
              <w:rPr>
                <w:sz w:val="20"/>
                <w:szCs w:val="20"/>
                <w:color w:val="auto"/>
              </w:rPr>
            </w:pPr>
            <w:r>
              <w:rPr>
                <w:rFonts w:ascii="Arial" w:cs="Arial" w:eastAsia="Arial" w:hAnsi="Arial"/>
                <w:sz w:val="18"/>
                <w:szCs w:val="18"/>
                <w:color w:val="auto"/>
              </w:rPr>
              <w:t>EMEA</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APAC</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4"/>
          </w:tcPr>
          <w:p>
            <w:pPr>
              <w:ind w:left="440"/>
              <w:spacing w:after="0"/>
              <w:rPr>
                <w:sz w:val="20"/>
                <w:szCs w:val="20"/>
                <w:color w:val="auto"/>
              </w:rPr>
            </w:pPr>
            <w:r>
              <w:rPr>
                <w:rFonts w:ascii="Arial" w:cs="Arial" w:eastAsia="Arial" w:hAnsi="Arial"/>
                <w:sz w:val="18"/>
                <w:szCs w:val="18"/>
                <w:color w:val="auto"/>
              </w:rPr>
              <w:t>Total property and equipment—net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814.6</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60" w:type="dxa"/>
            <w:vAlign w:val="bottom"/>
            <w:gridSpan w:val="8"/>
            <w:vMerge w:val="restart"/>
          </w:tcPr>
          <w:p>
            <w:pPr>
              <w:ind w:left="40"/>
              <w:spacing w:after="0"/>
              <w:rPr>
                <w:sz w:val="20"/>
                <w:szCs w:val="20"/>
                <w:color w:val="auto"/>
              </w:rPr>
            </w:pPr>
            <w:r>
              <w:rPr>
                <w:rFonts w:ascii="Arial" w:cs="Arial" w:eastAsia="Arial" w:hAnsi="Arial"/>
                <w:sz w:val="18"/>
                <w:szCs w:val="18"/>
                <w:color w:val="auto"/>
              </w:rPr>
              <w:t>The following distributors accounted for 10% or more of our revenue:</w:t>
            </w: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8"/>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8"/>
          </w:tcPr>
          <w:p>
            <w:pPr>
              <w:jc w:val="right"/>
              <w:ind w:right="100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9"/>
          </w:tcPr>
          <w:p>
            <w:pPr>
              <w:ind w:left="70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ind w:left="60"/>
              <w:spacing w:after="0" w:line="158" w:lineRule="exact"/>
              <w:rPr>
                <w:sz w:val="20"/>
                <w:szCs w:val="20"/>
                <w:color w:val="auto"/>
              </w:rPr>
            </w:pPr>
            <w:r>
              <w:rPr>
                <w:rFonts w:ascii="Arial" w:cs="Arial" w:eastAsia="Arial" w:hAnsi="Arial"/>
                <w:sz w:val="16"/>
                <w:szCs w:val="16"/>
                <w:b w:val="1"/>
                <w:bCs w:val="1"/>
                <w:color w:val="auto"/>
              </w:rPr>
              <w:t>June 30,</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520"/>
              <w:spacing w:after="0" w:line="158" w:lineRule="exact"/>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4"/>
          </w:tcPr>
          <w:p>
            <w:pPr>
              <w:jc w:val="center"/>
              <w:ind w:right="320"/>
              <w:spacing w:after="0" w:line="158" w:lineRule="exact"/>
              <w:rPr>
                <w:sz w:val="20"/>
                <w:szCs w:val="20"/>
                <w:color w:val="auto"/>
              </w:rPr>
            </w:pPr>
            <w:r>
              <w:rPr>
                <w:rFonts w:ascii="Arial" w:cs="Arial" w:eastAsia="Arial" w:hAnsi="Arial"/>
                <w:sz w:val="16"/>
                <w:szCs w:val="16"/>
                <w:b w:val="1"/>
                <w:bCs w:val="1"/>
                <w:color w:val="auto"/>
                <w:w w:val="90"/>
              </w:rPr>
              <w:t>June 30,</w:t>
            </w: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5"/>
              </w:rPr>
              <w:t>2021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Distributor A</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center"/>
              <w:ind w:left="773"/>
              <w:spacing w:after="0"/>
              <w:rPr>
                <w:sz w:val="20"/>
                <w:szCs w:val="20"/>
                <w:color w:val="auto"/>
              </w:rPr>
            </w:pPr>
            <w:r>
              <w:rPr>
                <w:rFonts w:ascii="Arial" w:cs="Arial" w:eastAsia="Arial" w:hAnsi="Arial"/>
                <w:sz w:val="18"/>
                <w:szCs w:val="18"/>
                <w:color w:val="auto"/>
                <w:w w:val="92"/>
              </w:rPr>
              <w:t>29 %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5"/>
          </w:tcPr>
          <w:p>
            <w:pPr>
              <w:spacing w:after="0"/>
              <w:rPr>
                <w:sz w:val="20"/>
                <w:szCs w:val="20"/>
                <w:color w:val="auto"/>
              </w:rPr>
            </w:pPr>
            <w:r>
              <w:rPr>
                <w:rFonts w:ascii="Arial" w:cs="Arial" w:eastAsia="Arial" w:hAnsi="Arial"/>
                <w:sz w:val="18"/>
                <w:szCs w:val="18"/>
                <w:color w:val="auto"/>
              </w:rPr>
              <w:t>Distributor B</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center"/>
              <w:ind w:left="773"/>
              <w:spacing w:after="0"/>
              <w:rPr>
                <w:sz w:val="20"/>
                <w:szCs w:val="20"/>
                <w:color w:val="auto"/>
              </w:rPr>
            </w:pPr>
            <w:r>
              <w:rPr>
                <w:rFonts w:ascii="Arial" w:cs="Arial" w:eastAsia="Arial" w:hAnsi="Arial"/>
                <w:sz w:val="18"/>
                <w:szCs w:val="18"/>
                <w:color w:val="auto"/>
                <w:w w:val="92"/>
              </w:rPr>
              <w:t>14 %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Distributor C</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center"/>
              <w:ind w:left="773"/>
              <w:spacing w:after="0"/>
              <w:rPr>
                <w:sz w:val="20"/>
                <w:szCs w:val="20"/>
                <w:color w:val="auto"/>
              </w:rPr>
            </w:pPr>
            <w:r>
              <w:rPr>
                <w:rFonts w:ascii="Arial" w:cs="Arial" w:eastAsia="Arial" w:hAnsi="Arial"/>
                <w:sz w:val="18"/>
                <w:szCs w:val="18"/>
                <w:color w:val="auto"/>
                <w:w w:val="92"/>
              </w:rPr>
              <w:t>14 %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980" w:type="dxa"/>
            <w:vAlign w:val="bottom"/>
            <w:gridSpan w:val="6"/>
          </w:tcPr>
          <w:p>
            <w:pPr>
              <w:spacing w:after="0"/>
              <w:rPr>
                <w:sz w:val="20"/>
                <w:szCs w:val="20"/>
                <w:color w:val="auto"/>
              </w:rPr>
            </w:pPr>
            <w:r>
              <w:rPr>
                <w:rFonts w:ascii="Arial" w:cs="Arial" w:eastAsia="Arial" w:hAnsi="Arial"/>
                <w:sz w:val="16"/>
                <w:szCs w:val="16"/>
                <w:color w:val="auto"/>
              </w:rPr>
              <w:t>* Represents less than 10%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8"/>
          </w:tcPr>
          <w:p>
            <w:pPr>
              <w:ind w:left="40"/>
              <w:spacing w:after="0"/>
              <w:rPr>
                <w:sz w:val="20"/>
                <w:szCs w:val="20"/>
                <w:color w:val="auto"/>
              </w:rPr>
            </w:pPr>
            <w:r>
              <w:rPr>
                <w:rFonts w:ascii="Arial" w:cs="Arial" w:eastAsia="Arial" w:hAnsi="Arial"/>
                <w:sz w:val="18"/>
                <w:szCs w:val="18"/>
                <w:color w:val="auto"/>
                <w:w w:val="92"/>
              </w:rPr>
              <w:t>The following distributors accounted for 10% or more of net accounts receivable: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Distributor A</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2"/>
              </w:rPr>
              <w:t>30 %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4"/>
          </w:tcPr>
          <w:p>
            <w:pPr>
              <w:spacing w:after="0"/>
              <w:rPr>
                <w:sz w:val="20"/>
                <w:szCs w:val="20"/>
                <w:color w:val="auto"/>
              </w:rPr>
            </w:pPr>
            <w:r>
              <w:rPr>
                <w:rFonts w:ascii="Arial" w:cs="Arial" w:eastAsia="Arial" w:hAnsi="Arial"/>
                <w:sz w:val="18"/>
                <w:szCs w:val="18"/>
                <w:color w:val="auto"/>
              </w:rPr>
              <w:t>Distributor B</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740"/>
              <w:spacing w:after="0"/>
              <w:rPr>
                <w:sz w:val="20"/>
                <w:szCs w:val="20"/>
                <w:color w:val="auto"/>
              </w:rPr>
            </w:pPr>
            <w:r>
              <w:rPr>
                <w:rFonts w:ascii="Arial" w:cs="Arial" w:eastAsia="Arial" w:hAnsi="Arial"/>
                <w:sz w:val="18"/>
                <w:szCs w:val="18"/>
                <w:color w:val="auto"/>
                <w:w w:val="92"/>
              </w:rPr>
              <w:t>12 %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Distributor C</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2"/>
              </w:rPr>
              <w:t>16 %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left="660" w:right="8620" w:hanging="652"/>
        <w:spacing w:after="0" w:line="601" w:lineRule="auto"/>
        <w:tabs>
          <w:tab w:leader="none" w:pos="462"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Real property purchase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July 2022, we purchased real property in Union City totaling approximately 59,000 square feet for a cash payment of $65.3 million.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July 2022, our board of directors approved a $1.00 billion increase in the authorized stock repurchase under our share repurchase program. As of August 4, 2022, approximately $1.03 billion remained available for future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11" w:lineRule="exact"/>
        <w:rPr>
          <w:sz w:val="20"/>
          <w:szCs w:val="20"/>
          <w:color w:val="auto"/>
        </w:rPr>
      </w:pPr>
    </w:p>
    <w:p>
      <w:pPr>
        <w:ind w:left="1300" w:right="540" w:hanging="644"/>
        <w:spacing w:after="0" w:line="277" w:lineRule="auto"/>
        <w:tabs>
          <w:tab w:leader="none" w:pos="129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supply chain constraints and the global chip and component shortages and other factors affecting our manufacturing capacity, delivery, cost and inventory management;</w:t>
      </w:r>
    </w:p>
    <w:p>
      <w:pPr>
        <w:spacing w:after="0" w:line="197" w:lineRule="exact"/>
        <w:rPr>
          <w:rFonts w:ascii="Arial" w:cs="Arial" w:eastAsia="Arial" w:hAnsi="Arial"/>
          <w:sz w:val="18"/>
          <w:szCs w:val="18"/>
          <w:i w:val="1"/>
          <w:iCs w:val="1"/>
          <w:color w:val="auto"/>
        </w:rPr>
      </w:pPr>
    </w:p>
    <w:p>
      <w:pPr>
        <w:ind w:left="1300" w:right="380" w:hanging="644"/>
        <w:spacing w:after="0" w:line="277" w:lineRule="auto"/>
        <w:tabs>
          <w:tab w:leader="none" w:pos="129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duration and impact of the COVID-19 pandemic, including various COVID-19 variants, the implementation of “return to office” plans and marketing events and employee travel;</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effects of the war in Ukraine, related macroeconomic effects and the impact of our decision to suspend operations in Russia;</w:t>
      </w:r>
    </w:p>
    <w:p>
      <w:pPr>
        <w:spacing w:after="0" w:line="238"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effects of increased inflation in many geographies;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52" w:lineRule="exact"/>
        <w:rPr>
          <w:rFonts w:ascii="Arial" w:cs="Arial" w:eastAsia="Arial" w:hAnsi="Arial"/>
          <w:sz w:val="18"/>
          <w:szCs w:val="18"/>
          <w:i w:val="1"/>
          <w:iCs w:val="1"/>
          <w:color w:val="auto"/>
        </w:rPr>
      </w:pPr>
    </w:p>
    <w:p>
      <w:pPr>
        <w:ind w:left="1300" w:right="480" w:hanging="644"/>
        <w:spacing w:after="0" w:line="277" w:lineRule="auto"/>
        <w:tabs>
          <w:tab w:leader="none" w:pos="129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macro-economic, geopolitical factors and other disruption on our manufacturing or sales, including the impact of the COVID-19 pandemic and other public health issues and natural disasters;</w:t>
      </w:r>
    </w:p>
    <w:p>
      <w:pPr>
        <w:spacing w:after="0" w:line="197" w:lineRule="exact"/>
        <w:rPr>
          <w:rFonts w:ascii="Arial" w:cs="Arial" w:eastAsia="Arial" w:hAnsi="Arial"/>
          <w:sz w:val="18"/>
          <w:szCs w:val="18"/>
          <w:i w:val="1"/>
          <w:iCs w:val="1"/>
          <w:color w:val="auto"/>
        </w:rPr>
      </w:pPr>
    </w:p>
    <w:p>
      <w:pPr>
        <w:ind w:left="1300" w:right="60" w:hanging="644"/>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product and service revenue, and the mix of billings between products and services, the mix of backlog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effects of government regulation, tariffs and other policies;</w:t>
      </w:r>
    </w:p>
    <w:p>
      <w:pPr>
        <w:spacing w:after="0" w:line="252" w:lineRule="exact"/>
        <w:rPr>
          <w:rFonts w:ascii="Arial" w:cs="Arial" w:eastAsia="Arial" w:hAnsi="Arial"/>
          <w:sz w:val="18"/>
          <w:szCs w:val="18"/>
          <w:color w:val="auto"/>
        </w:rPr>
      </w:pPr>
    </w:p>
    <w:p>
      <w:pPr>
        <w:ind w:left="1300" w:right="160" w:hanging="644"/>
        <w:spacing w:after="0" w:line="261"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sales productivity and capacity, functionality and value in our subscription service offerings;</w:t>
      </w:r>
    </w:p>
    <w:p>
      <w:pPr>
        <w:spacing w:after="0" w:line="197" w:lineRule="exact"/>
        <w:rPr>
          <w:rFonts w:ascii="Arial" w:cs="Arial" w:eastAsia="Arial" w:hAnsi="Arial"/>
          <w:sz w:val="18"/>
          <w:szCs w:val="18"/>
          <w:color w:val="auto"/>
        </w:rPr>
      </w:pPr>
    </w:p>
    <w:p>
      <w:pPr>
        <w:ind w:left="1300" w:hanging="644"/>
        <w:spacing w:after="0" w:line="259"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growing our sales to businesses, service providers and government organizations, our ability to execute these sales and the complexity of selling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52" w:lineRule="exact"/>
        <w:rPr>
          <w:rFonts w:ascii="Arial" w:cs="Arial" w:eastAsia="Arial" w:hAnsi="Arial"/>
          <w:sz w:val="18"/>
          <w:szCs w:val="18"/>
          <w:color w:val="auto"/>
        </w:rPr>
      </w:pPr>
    </w:p>
    <w:p>
      <w:pPr>
        <w:ind w:left="1300" w:right="60" w:hanging="644"/>
        <w:spacing w:after="0" w:line="263" w:lineRule="auto"/>
        <w:tabs>
          <w:tab w:leader="none" w:pos="129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risks and expectations related to acquisitions and equity interests in private and public companies, including integration issues related to product plans, employee groups, controls and processes and the acquired technology, and risks of negative impact by such acquisitions and equity investments on our financial results;</w:t>
      </w:r>
    </w:p>
    <w:p>
      <w:pPr>
        <w:spacing w:after="0" w:line="21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operating expense will increase in absolute dollars during 2022;</w:t>
      </w:r>
    </w:p>
    <w:p>
      <w:pPr>
        <w:spacing w:after="0" w:line="252" w:lineRule="exact"/>
        <w:rPr>
          <w:rFonts w:ascii="Arial" w:cs="Arial" w:eastAsia="Arial" w:hAnsi="Arial"/>
          <w:sz w:val="18"/>
          <w:szCs w:val="18"/>
          <w:i w:val="1"/>
          <w:iCs w:val="1"/>
          <w:color w:val="auto"/>
        </w:rPr>
      </w:pPr>
    </w:p>
    <w:p>
      <w:pPr>
        <w:ind w:left="1300" w:right="100" w:hanging="644"/>
        <w:spacing w:after="0" w:line="277" w:lineRule="auto"/>
        <w:tabs>
          <w:tab w:leader="none" w:pos="129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adversely impacted by the increased mix of restricted stock units versus stock options granted;</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260" w:hanging="644"/>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domestic and global tax rates, and the impact of the Tax Cuts and Jobs Act and the Coronavirus Aid, Relief, and Economic Security Act (the “CARES Act”);</w:t>
      </w:r>
    </w:p>
    <w:p>
      <w:pPr>
        <w:spacing w:after="0" w:line="197" w:lineRule="exact"/>
        <w:rPr>
          <w:rFonts w:ascii="Arial" w:cs="Arial" w:eastAsia="Arial" w:hAnsi="Arial"/>
          <w:sz w:val="18"/>
          <w:szCs w:val="18"/>
          <w:color w:val="auto"/>
        </w:rPr>
      </w:pPr>
    </w:p>
    <w:p>
      <w:pPr>
        <w:ind w:left="1300" w:right="300" w:hanging="644"/>
        <w:spacing w:after="0" w:line="261"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expectations regarding spending related to real estate acquisitions and development, data center investments, as well as other capital expenditures and to the impact on free cash flow;</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a range of 2022 spending on capital expenditures;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statements regarding expected outcomes and liabilities in litigation;</w:t>
      </w:r>
    </w:p>
    <w:p>
      <w:pPr>
        <w:spacing w:after="0" w:line="252" w:lineRule="exact"/>
        <w:rPr>
          <w:rFonts w:ascii="Arial" w:cs="Arial" w:eastAsia="Arial" w:hAnsi="Arial"/>
          <w:sz w:val="18"/>
          <w:szCs w:val="18"/>
          <w:color w:val="auto"/>
        </w:rPr>
      </w:pPr>
    </w:p>
    <w:p>
      <w:pPr>
        <w:ind w:left="1300" w:right="240" w:hanging="644"/>
        <w:spacing w:after="0" w:line="261"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39"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Fortinet is a global leader in cybersecurity solutions provided to a wide variety of organizations, including enterprises, communication service providers and security service providers, government organizations and small businesses. Our cybersecurity solutions are designed to provide broad visibility and segmentation of the digital attack surface through our integrated cybersecurity platform products and services providing a mesh architecture, which feature automated protection, detection and response along with consolidated visibility across both Fortinet developed solutions and a broad ecosystem of third-party solutions and technologies. Our cybersecurity platform portfolio leverages a common operating system or integration to this operating system across our product offerings and helps organizations better secure their environments and reduce their security and network complexities. The Fortinet operating system has an open architecture designed to integrate Fortinet solutions with third-party solutions in a single ecosystem, enabling automated detection and response across the attack surface.</w:t>
      </w:r>
    </w:p>
    <w:p>
      <w:pPr>
        <w:spacing w:after="0" w:line="204" w:lineRule="exact"/>
        <w:rPr>
          <w:sz w:val="20"/>
          <w:szCs w:val="20"/>
          <w:color w:val="auto"/>
        </w:rPr>
      </w:pPr>
    </w:p>
    <w:p>
      <w:pPr>
        <w:ind w:right="100" w:firstLine="648"/>
        <w:spacing w:after="0" w:line="231" w:lineRule="auto"/>
        <w:rPr>
          <w:sz w:val="20"/>
          <w:szCs w:val="20"/>
          <w:color w:val="auto"/>
        </w:rPr>
      </w:pPr>
      <w:r>
        <w:rPr>
          <w:rFonts w:ascii="Arial" w:cs="Arial" w:eastAsia="Arial" w:hAnsi="Arial"/>
          <w:sz w:val="18"/>
          <w:szCs w:val="18"/>
          <w:color w:val="auto"/>
        </w:rPr>
        <w:t>Our product offerings consist of our Core Platform (previously referred to as FortiGate network security physical and virtual products) and our Platform Extension (previously referred to as non-FortiGate physical and virtual, software and cloud-hosted products). In addition to high performing security and networking features, we offer a rich set of cloud-delivered security services that can be added to Platform Extension products and customized to the organization’s use cases.</w:t>
      </w:r>
    </w:p>
    <w:p>
      <w:pPr>
        <w:spacing w:after="0" w:line="202"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Our cloud- and hosted- Platform Extension products and services include sandboxing, endpoint detection and response (“EDR”), email security, web application and API security and cloud networking security as well as management and analytics.</w:t>
      </w:r>
    </w:p>
    <w:p>
      <w:pPr>
        <w:spacing w:after="0" w:line="197"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Our FortiGuard security services are enabled by FortiGuard Labs, which provides threat research and artificial intelligence capabilities from a cloud network to deliver coordinated protection for the ever-expanding attack surface through Core Platform appliance and virtual machine as well as all Platform Extension products that are registered by the end-customer.</w:t>
      </w:r>
    </w:p>
    <w:p>
      <w:pPr>
        <w:spacing w:after="0" w:line="202" w:lineRule="exact"/>
        <w:rPr>
          <w:sz w:val="20"/>
          <w:szCs w:val="20"/>
          <w:color w:val="auto"/>
        </w:rPr>
      </w:pPr>
    </w:p>
    <w:p>
      <w:pPr>
        <w:ind w:right="580" w:firstLine="648"/>
        <w:spacing w:after="0" w:line="246" w:lineRule="auto"/>
        <w:rPr>
          <w:sz w:val="20"/>
          <w:szCs w:val="20"/>
          <w:color w:val="auto"/>
        </w:rPr>
      </w:pPr>
      <w:r>
        <w:rPr>
          <w:rFonts w:ascii="Arial" w:cs="Arial" w:eastAsia="Arial" w:hAnsi="Arial"/>
          <w:sz w:val="18"/>
          <w:szCs w:val="18"/>
          <w:color w:val="auto"/>
        </w:rPr>
        <w:t>Our FortiCare services provide both technical support and professional services to help our customers deploy, maintain, and operationalize Fortinet’s Core Platform and Platform Extension products and services.</w:t>
      </w:r>
    </w:p>
    <w:p>
      <w:pPr>
        <w:spacing w:after="0" w:line="197"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Our proprietary Security Processing Units (“SPUs”) are Application-Specific Integrated Circuits that are implemented in our physical Core Platform appliances and are designed to enhance the security processing capabilities implemented 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software by accelerating computationally intensive tasks such as firewall policy enforcement, software-defined wide-area network (“SD-WAN”), network address translation, Intrusion Prevention Systems (“IPS”), threat detection and encryption. We also provide virtualized Security Processing Units (“vSPUs”) across our Core Platform virtual appliances to deliver similar accelerated capabilities when run in virtualized environments.</w:t>
      </w:r>
    </w:p>
    <w:p>
      <w:pPr>
        <w:spacing w:after="0" w:line="20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FortiOS operating system provides the foundation for the operation of all Core Platform and Platform Extension products, whether physical, virtual, private- or public-cloud based. FortiOS directs the operations of processors and SPUs and provides system management functions. We make regular updates to FortiOS available through our FortiCare support services.</w:t>
      </w:r>
    </w:p>
    <w:p>
      <w:pPr>
        <w:spacing w:after="0" w:line="21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Networking functionality and security capabilities are integrated into the FortiOS operating system to run both the Core Platform and Platform Extension capabilities of Fortinet’s cybersecurity mesh architecture. This approach to security combines discrete security solutions together into an integrated operating system which provides centralized management, visibility, automation and intelligence sharing to simplify operations and respond rapidly to threats.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39" w:lineRule="exact"/>
        <w:rPr>
          <w:sz w:val="20"/>
          <w:szCs w:val="20"/>
          <w:color w:val="auto"/>
        </w:rPr>
      </w:pPr>
    </w:p>
    <w:p>
      <w:pPr>
        <w:ind w:left="660" w:right="120" w:hanging="328"/>
        <w:spacing w:after="0" w:line="236"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Secure Networking</w:t>
      </w:r>
      <w:r>
        <w:rPr>
          <w:rFonts w:ascii="Arial" w:cs="Arial" w:eastAsia="Arial" w:hAnsi="Arial"/>
          <w:sz w:val="17"/>
          <w:szCs w:val="17"/>
          <w:color w:val="auto"/>
        </w:rPr>
        <w:t>—Our Security-Driven Networking solutions enables the convergence of networking and security across all edges to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next-generation firewall (“NGFW”), software-defined wide area network (“SD-WAN”), LAN Edge (Wi-Fi and switch) and secure access service edge (“SASE”). We derive a majority of product sales from our Core Platform network security appliances. Core Platform network security appliances include a broad set of built-in security and networking features and functionalities, including firewall, next-generation firewall, secure web gateway, secure sockets layer (“SSL”) inspection, software-defined wide area network (“SD-WAN”), Intrusion Prevention system (“IPS”), sandboxing, data leak prevention, virtual private network (“VPN”), switch and wireless controller and wide area network (“WAN”) edge. Our network security appliances are managed by our FortiOS network operating system, which provides the foundation for Core Platform security functions. We enhance the performance of our network security appliances from branch to data center by designing and implementing Security Processing Units (“SPUs”) technology within our appliances, enabling us to add security and network functionality with minimal impact to network throughput performance. Along with our secure Wi-Fi access points and switches, Fortinet helps organizations secure their networks across campuses, branches and work-from-home deployments.</w:t>
      </w:r>
    </w:p>
    <w:p>
      <w:pPr>
        <w:spacing w:after="0" w:line="207" w:lineRule="exact"/>
        <w:rPr>
          <w:rFonts w:ascii="Arial" w:cs="Arial" w:eastAsia="Arial" w:hAnsi="Arial"/>
          <w:sz w:val="17"/>
          <w:szCs w:val="17"/>
          <w:color w:val="auto"/>
        </w:rPr>
      </w:pPr>
    </w:p>
    <w:p>
      <w:pPr>
        <w:ind w:left="660" w:hanging="328"/>
        <w:spacing w:after="0" w:line="22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Zero Trust Access</w:t>
      </w:r>
      <w:r>
        <w:rPr>
          <w:rFonts w:ascii="Arial" w:cs="Arial" w:eastAsia="Arial" w:hAnsi="Arial"/>
          <w:sz w:val="18"/>
          <w:szCs w:val="18"/>
          <w:color w:val="auto"/>
        </w:rPr>
        <w:t>—Fortinet’s Platform Extension products and services extend beyond the network to create a cybersecurity mesh architecture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 other attack vectors. Our Zero Trust Access solutions enable customers to know and control who and what is on their network, in addition to providing security for work from anywhere (“WFA”). Zero Trust Access solutions include FortiNAC, FortiAuthenticator, FortiClient and FortiToken. Additionally, the proliferation of operational technology (“OT”) and internet of things (“IoT”) devices has generated new opportunities for us to grow our business. Our network access control solutions provide visibility, control and automated event responses in order to secure OT and IoT devices.</w:t>
      </w:r>
    </w:p>
    <w:p>
      <w:pPr>
        <w:spacing w:after="0" w:line="202" w:lineRule="exact"/>
        <w:rPr>
          <w:rFonts w:ascii="Arial" w:cs="Arial" w:eastAsia="Arial" w:hAnsi="Arial"/>
          <w:sz w:val="18"/>
          <w:szCs w:val="18"/>
          <w:color w:val="auto"/>
        </w:rPr>
      </w:pPr>
    </w:p>
    <w:p>
      <w:pPr>
        <w:ind w:left="660" w:right="80" w:hanging="328"/>
        <w:spacing w:after="0" w:line="237"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Cloud Security</w:t>
      </w:r>
      <w:r>
        <w:rPr>
          <w:rFonts w:ascii="Arial" w:cs="Arial" w:eastAsia="Arial" w:hAnsi="Arial"/>
          <w:sz w:val="17"/>
          <w:szCs w:val="17"/>
          <w:color w:val="auto"/>
        </w:rPr>
        <w:t>—We help customers connect securely to and across their individual, hybrid cloud, multi-cloud and virtualized data center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environments by offering security through our virtual firewall and other software products and through integrated cloud- native capabilities with major cloud platforms. Our public and private cloud security solutions, including virtual appliances and hosted solutions, bring our Platform Extension products and services into and across cloud environments, delivering security that follows their applications and data. Our Secure SD-WAN for Multi-Cloud solution automates deployment of an overlay network across different cloud networks and offers visibility, control and centralized management that integrates functionality across multiple cloud environments. Our Cloud Security portfolio also secures applications, including email and web applications and APIs. Fortinet cloud security offerings are available for deployment in major public and private cloud environments, including Alibaba Cloud, Amazon Web Services, Google Cloud, IBM Cloud, Microsoft Azure, Oracle Cloud and VMWare Cloud. We also offer managed IPS and web application firewall (“WAF”) rules delivered by FortiGuard Labs as an overlay service to native security offerings offered by Amazon Web Services.</w:t>
      </w:r>
    </w:p>
    <w:p>
      <w:pPr>
        <w:spacing w:after="0" w:line="202" w:lineRule="exact"/>
        <w:rPr>
          <w:rFonts w:ascii="Arial" w:cs="Arial" w:eastAsia="Arial" w:hAnsi="Arial"/>
          <w:sz w:val="17"/>
          <w:szCs w:val="17"/>
          <w:color w:val="auto"/>
        </w:rPr>
      </w:pPr>
    </w:p>
    <w:p>
      <w:pPr>
        <w:ind w:left="660" w:hanging="328"/>
        <w:spacing w:after="0" w:line="256"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Security Operations</w:t>
      </w:r>
      <w:r>
        <w:rPr>
          <w:rFonts w:ascii="Arial" w:cs="Arial" w:eastAsia="Arial" w:hAnsi="Arial"/>
          <w:sz w:val="16"/>
          <w:szCs w:val="16"/>
          <w:color w:val="auto"/>
        </w:rPr>
        <w:t>—We develop and provide a range of products and services that enable the security operations center (“SOC”) teams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identify, investigate and remediate potential incidents in which cybercriminals bypass prevention-oriented controls. Given the breadth of the attack surface to monitor, as well as the volume and sophistication of cyber threats, artificial intelligence is a key part of these offerings, which include: FortiGuard and other security subscription services, modern endpoint security with EDR, a range of breach-protection technologies plus our security information and event management (“SIEM”) and security orchestration, automation and response (“SOAR”), all of which can be applied across the entire set of Platform Extension products and services. These solutions automatically deliver security intelligence and insights that enable organizations to protect against and respond to threats faster through integration with Fortinet and third-party controls.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right="100" w:hanging="328"/>
        <w:spacing w:after="0" w:line="22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Security as a Service</w:t>
      </w:r>
      <w:r>
        <w:rPr>
          <w:rFonts w:ascii="Arial" w:cs="Arial" w:eastAsia="Arial" w:hAnsi="Arial"/>
          <w:sz w:val="18"/>
          <w:szCs w:val="18"/>
          <w:color w:val="auto"/>
        </w:rPr>
        <w:t>—Our customers purchase our natively integrated FortiGuard security subscription services as an add-on to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across the Platform Extension products and services with the goal of receiving real-time threat intelligence and protection updates. The rich set of FortiGuard services is built from the ground up to provide comprehensive protection for users and applications, including market leading offerings for IPS, Web, video and DNS filtering, AV and cloud sandbox as well as OT and IoT Security. The FortiGuard security services are provided from our FortiGuard Labs and cloud-delivered to provide real-time unified protection across network endpoint and cloud. FortiCare technical support services and the support of technical account managers, resident engineers and professional service consultants for implementations or training services.</w:t>
      </w:r>
    </w:p>
    <w:p>
      <w:pPr>
        <w:spacing w:after="0" w:line="207" w:lineRule="exact"/>
        <w:rPr>
          <w:rFonts w:ascii="Arial" w:cs="Arial" w:eastAsia="Arial" w:hAnsi="Arial"/>
          <w:sz w:val="18"/>
          <w:szCs w:val="18"/>
          <w:color w:val="auto"/>
        </w:rPr>
      </w:pPr>
    </w:p>
    <w:p>
      <w:pPr>
        <w:ind w:left="660" w:right="220" w:hanging="328"/>
        <w:spacing w:after="0" w:line="24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Support and Professional Services</w:t>
      </w:r>
      <w:r>
        <w:rPr>
          <w:rFonts w:ascii="Arial" w:cs="Arial" w:eastAsia="Arial" w:hAnsi="Arial"/>
          <w:sz w:val="18"/>
          <w:szCs w:val="18"/>
          <w:color w:val="auto"/>
        </w:rPr>
        <w:t>—Fortinet offers technical support, FortiOS updates and extended product warranty through our FortiCare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services. In addition to our technical support services, we offer a range of advanced services, including premium support, professional services and expedited warranty replacement. Our professional service offerings include resident engineers and professional service consultants for implementations or trainings.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52" w:lineRule="exact"/>
        <w:rPr>
          <w:sz w:val="20"/>
          <w:szCs w:val="20"/>
          <w:color w:val="auto"/>
        </w:rPr>
      </w:pPr>
    </w:p>
    <w:p>
      <w:pPr>
        <w:ind w:left="660" w:right="40" w:hanging="328"/>
        <w:spacing w:after="0" w:line="296"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 revenue was $1.03 billion and $1.98 billion during the three and six months ended June 30, 2022, an increase of 29% and 31%, respectively, compared to $801.1 million and $1.51 billion in the same periods last year. Product revenue was $400.7 million and $771.7 million during the three and six months ended June 30, 2022, an increase of 34% and 43%, respectively, compared to $298.3 million and $539.0 million in the same periods last year. Service revenue was $629.4 million and $1.21 billion during the three and six months ended June 30, 2022, an increase of 25%, in each period respectively, compared to $502.8 million and $972.4 million in the same periods last year.</w:t>
      </w:r>
    </w:p>
    <w:p>
      <w:pPr>
        <w:spacing w:after="0" w:line="188"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gross profit was $779.3 million and $1.48 billion during the three and six months ended June 30, 2022, an increase of 27%, in each period respectively, compared to $614.2 million and $1.17 billion in the same periods last year.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Cash, cash equivalents, short-term and long-term investments and marketable equity securities were $1.94 billion as of June 30, 2022.</w:t>
      </w:r>
    </w:p>
    <w:p>
      <w:pPr>
        <w:spacing w:after="0" w:line="263" w:lineRule="exact"/>
        <w:rPr>
          <w:rFonts w:ascii="Arial" w:cs="Arial" w:eastAsia="Arial" w:hAnsi="Arial"/>
          <w:sz w:val="17"/>
          <w:szCs w:val="17"/>
          <w:color w:val="auto"/>
        </w:rPr>
      </w:pPr>
    </w:p>
    <w:p>
      <w:pPr>
        <w:ind w:left="660" w:right="4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six months ended June 30, 2022, we repurchased 25.8 million shares of common stock under our Share Repurchase Program (the “Repurchase Program”), for a total purchase price of $1.49 billion.</w:t>
      </w:r>
    </w:p>
    <w:p>
      <w:pPr>
        <w:spacing w:after="0" w:line="197" w:lineRule="exact"/>
        <w:rPr>
          <w:rFonts w:ascii="Arial" w:cs="Arial" w:eastAsia="Arial" w:hAnsi="Arial"/>
          <w:sz w:val="18"/>
          <w:szCs w:val="18"/>
          <w:color w:val="auto"/>
        </w:rPr>
      </w:pPr>
    </w:p>
    <w:p>
      <w:pPr>
        <w:ind w:left="660" w:right="120" w:hanging="328"/>
        <w:spacing w:after="0" w:line="25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Deferred revenue was $3.93 billion as of June 30, 2022, an increase of $479.1 million, or 14%, compared to $3.45 billion as of December 31, 2021. Deferred revenue was $2.91 billion as of June 30, 2021, an increase of $300.1 million, or 12%, compared to $2.61 billion as of December 31, 2020. Short-term deferred revenue was $2.01 billion as of June 30, 2022, an increase of $235.8 million, or 13%, compared to $1.78 billion as of December 31, 2021. Short-term deferred revenue was $1.53 billion as of June 30, 2021, as increase of $140.2 million, or 10%, compared to $1.39 billion as of December 31, 2020.</w:t>
      </w:r>
    </w:p>
    <w:p>
      <w:pPr>
        <w:spacing w:after="0" w:line="214"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$719.5 million during the six months ended June 30, 2022, a decrease of $14.6 million, or 2%, compared to the same period last year.</w:t>
      </w:r>
    </w:p>
    <w:p>
      <w:pPr>
        <w:spacing w:after="0" w:line="197"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bookings were $1.38 billion during the three months ended June 30, 2022, an increase of 42% compared to $967.9 million in the same period last year. We define bookings as the total value of all orders received during the period.</w:t>
      </w:r>
    </w:p>
    <w:p>
      <w:pPr>
        <w:spacing w:after="0" w:line="197"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Backlog was $349.9 million as of June 30, 2022, an increase of $71.6 million compared to $278.3 million as of March 31, 2022 and an increase of $188.0 million compared to $161.9 million as of December 31, 2021. Backlog represents orders received but not fulfilled and excludes backlog related to Alaxala which was not significant.</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 a geographic basis, revenue continues to be diversified, which remains a key strength of our business. During the three months ended June 30, 2022, the Americas region, the Europe, Middle East and Africa (“EMEA”) region and the Asia Pacific (“APAC”) region contributed 40%, 38% and 22% of our total revenue, respectively, and increased by 23%, 28% and 42% compared to the same period last year, respectively. During the six months ended June 30, 2022, the Americas region, the EMEA region and the APAC region contributed 40%, 37% and 23% of our total revenue, respectively, and increased by 27%, 27% and 50% compared to the same period last year, respectively.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100" w:firstLine="648"/>
        <w:spacing w:after="0" w:line="237" w:lineRule="auto"/>
        <w:rPr>
          <w:sz w:val="20"/>
          <w:szCs w:val="20"/>
          <w:color w:val="auto"/>
        </w:rPr>
      </w:pPr>
      <w:r>
        <w:rPr>
          <w:rFonts w:ascii="Arial" w:cs="Arial" w:eastAsia="Arial" w:hAnsi="Arial"/>
          <w:sz w:val="17"/>
          <w:szCs w:val="17"/>
          <w:color w:val="auto"/>
        </w:rPr>
        <w:t>Our revenue growth was driven by strong product revenue performance. Product revenue grew 34% and 43% during the three and six months ended June 30, 2022, respectively, compared to the same periods last year. Product revenue growth was consistent with an elevated cyber threat landscape. Core Platform products accounted for more than half of the product revenue growth during the three months ended June 30, 2022. While Secure SD-WAN contributed to product revenue growth, a main driver was the strong demand for the wide range of other operating system capabilities embedded in the Core Platform products. We experienced strong product revenue growth across many of our Platform Extension products, including our OT solutions, secure access products and software licenses. The impact of the increase in backlog was mainly seen in FortiGate, FortiSwitch and FortiAP products. Service revenue growth of 25% during both the three and six months ended June 30, 2022 compared to the same periods last year, was driven by the strength of our FortiCare technical support and other service revenue which grew 26%, and of FortiGuard and other security subscription revenue, which grew 25% and 24%, respectively.</w:t>
      </w:r>
    </w:p>
    <w:p>
      <w:pPr>
        <w:spacing w:after="0" w:line="22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billings were diversified on a geographic basis. During the three months ended June 30, 2022, approximately 45% of our billings in the aggregate were from over 100 countries that each individually contributed less than 3% of our billings.</w:t>
      </w:r>
    </w:p>
    <w:p>
      <w:pPr>
        <w:spacing w:after="0" w:line="19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Operating expenses as a percentage of revenue decreased by 1.6 and 2.4 percentage points during the three and six months ended June 30, 2022, respectively, compared to the same periods last year. Headcount increased to 11,508 employees and contractors as of June 30, 2022, a 13% increase compared to 10,195 as of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252"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212529"/>
        </w:rPr>
        <w:t>The United States and the global community we serve are facing unprecedented challenges posed by the COVID-19 pandemic, including the various COVID-19 variants. In response to the pandemic, we undertook a number of actions to protect our employees, including restricting travel and directing many of our employees to work from home. In certain geographies, we have started to transition back to an in-person working mode, allowing increasing numbers of employees to work from our offices with reasonable precautions and, in all cases, subject to abiding by local legal restrictions. We intend to continue to monitor and abide by local employee health and safety protocols and other regulations as applicable to each local office.</w:t>
      </w:r>
    </w:p>
    <w:p>
      <w:pPr>
        <w:spacing w:after="0" w:line="175" w:lineRule="exact"/>
        <w:rPr>
          <w:sz w:val="20"/>
          <w:szCs w:val="20"/>
          <w:color w:val="auto"/>
        </w:rPr>
      </w:pPr>
    </w:p>
    <w:p>
      <w:pPr>
        <w:ind w:right="100" w:firstLine="405"/>
        <w:spacing w:after="0" w:line="231" w:lineRule="auto"/>
        <w:rPr>
          <w:sz w:val="20"/>
          <w:szCs w:val="20"/>
          <w:color w:val="auto"/>
        </w:rPr>
      </w:pPr>
      <w:r>
        <w:rPr>
          <w:rFonts w:ascii="Arial" w:cs="Arial" w:eastAsia="Arial" w:hAnsi="Arial"/>
          <w:sz w:val="18"/>
          <w:szCs w:val="18"/>
          <w:color w:val="auto"/>
        </w:rPr>
        <w:t xml:space="preserve">While the broader implications of the COVID-19 pandemic on our employees and overall financial performance continue to evolve, we have seen certain impacts on our business and operations, results of operations, financial condition, cash flows, liquidity and capital and financial resources </w:t>
      </w:r>
      <w:r>
        <w:rPr>
          <w:rFonts w:ascii="Arial" w:cs="Arial" w:eastAsia="Arial" w:hAnsi="Arial"/>
          <w:sz w:val="18"/>
          <w:szCs w:val="18"/>
          <w:color w:val="212529"/>
        </w:rPr>
        <w:t>as of and</w:t>
      </w:r>
      <w:r>
        <w:rPr>
          <w:rFonts w:ascii="Arial" w:cs="Arial" w:eastAsia="Arial" w:hAnsi="Arial"/>
          <w:sz w:val="18"/>
          <w:szCs w:val="18"/>
          <w:color w:val="auto"/>
        </w:rPr>
        <w:t xml:space="preserve"> </w:t>
      </w:r>
      <w:r>
        <w:rPr>
          <w:rFonts w:ascii="Arial" w:cs="Arial" w:eastAsia="Arial" w:hAnsi="Arial"/>
          <w:sz w:val="18"/>
          <w:szCs w:val="18"/>
          <w:color w:val="212529"/>
        </w:rPr>
        <w:t xml:space="preserve">during the three and six months ended </w:t>
      </w:r>
      <w:r>
        <w:rPr>
          <w:rFonts w:ascii="Arial" w:cs="Arial" w:eastAsia="Arial" w:hAnsi="Arial"/>
          <w:sz w:val="18"/>
          <w:szCs w:val="18"/>
          <w:color w:val="000000"/>
        </w:rPr>
        <w:t>June 30, 2022</w:t>
      </w:r>
      <w:r>
        <w:rPr>
          <w:rFonts w:ascii="Arial" w:cs="Arial" w:eastAsia="Arial" w:hAnsi="Arial"/>
          <w:sz w:val="18"/>
          <w:szCs w:val="18"/>
          <w:color w:val="212529"/>
        </w:rPr>
        <w:t xml:space="preserve">. Conversely, some aspects of our business do not appear to have been significantly affected. During the three and six months ended </w:t>
      </w:r>
      <w:r>
        <w:rPr>
          <w:rFonts w:ascii="Arial" w:cs="Arial" w:eastAsia="Arial" w:hAnsi="Arial"/>
          <w:sz w:val="18"/>
          <w:szCs w:val="18"/>
          <w:color w:val="000000"/>
        </w:rPr>
        <w:t>June 30, 2022</w:t>
      </w:r>
      <w:r>
        <w:rPr>
          <w:rFonts w:ascii="Arial" w:cs="Arial" w:eastAsia="Arial" w:hAnsi="Arial"/>
          <w:sz w:val="18"/>
          <w:szCs w:val="18"/>
          <w:color w:val="212529"/>
        </w:rPr>
        <w:t>, we have observed the following:</w:t>
      </w:r>
    </w:p>
    <w:p>
      <w:pPr>
        <w:spacing w:after="0" w:line="216" w:lineRule="exact"/>
        <w:rPr>
          <w:sz w:val="20"/>
          <w:szCs w:val="20"/>
          <w:color w:val="auto"/>
        </w:rPr>
      </w:pPr>
    </w:p>
    <w:p>
      <w:pPr>
        <w:ind w:left="660" w:right="300" w:hanging="328"/>
        <w:spacing w:after="0" w:line="277" w:lineRule="auto"/>
        <w:tabs>
          <w:tab w:leader="none" w:pos="655"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We have seen continued supply chain challenges, including chip and other component shortages and increased costs for certain chips and other components and shipping, and we do not have enough inventory to promptly meet all demand for all products.</w:t>
      </w:r>
    </w:p>
    <w:p>
      <w:pPr>
        <w:spacing w:after="0" w:line="197" w:lineRule="exact"/>
        <w:rPr>
          <w:rFonts w:ascii="Arial" w:cs="Arial" w:eastAsia="Arial" w:hAnsi="Arial"/>
          <w:sz w:val="18"/>
          <w:szCs w:val="18"/>
          <w:color w:val="212529"/>
        </w:rPr>
      </w:pPr>
    </w:p>
    <w:p>
      <w:pPr>
        <w:ind w:left="660" w:right="60" w:hanging="328"/>
        <w:spacing w:after="0" w:line="301" w:lineRule="auto"/>
        <w:tabs>
          <w:tab w:leader="none" w:pos="655" w:val="left"/>
        </w:tabs>
        <w:numPr>
          <w:ilvl w:val="0"/>
          <w:numId w:val="22"/>
        </w:numPr>
        <w:rPr>
          <w:rFonts w:ascii="Arial" w:cs="Arial" w:eastAsia="Arial" w:hAnsi="Arial"/>
          <w:sz w:val="16"/>
          <w:szCs w:val="16"/>
          <w:color w:val="212529"/>
        </w:rPr>
      </w:pPr>
      <w:r>
        <w:rPr>
          <w:rFonts w:ascii="Arial" w:cs="Arial" w:eastAsia="Arial" w:hAnsi="Arial"/>
          <w:sz w:val="16"/>
          <w:szCs w:val="16"/>
          <w:color w:val="212529"/>
        </w:rPr>
        <w:t>In many countries, our employees’ ability to travel was reduced and certain in-person sales and marketing events or meetings that would normally have been held were canceled, postponed or converted into virtual events. However, as certain country’s restrictions continued to ease, we have started to see an increase in expenses related to travel and marketing events. Although we cannot predict if or when such expenses will return to pre-pandemic levels, as of June 30, 2022, we have started to see an increase in such expenses as compared to the same period last year.</w:t>
      </w:r>
    </w:p>
    <w:p>
      <w:pPr>
        <w:spacing w:after="0" w:line="184" w:lineRule="exact"/>
        <w:rPr>
          <w:rFonts w:ascii="Arial" w:cs="Arial" w:eastAsia="Arial" w:hAnsi="Arial"/>
          <w:sz w:val="16"/>
          <w:szCs w:val="16"/>
          <w:color w:val="212529"/>
        </w:rPr>
      </w:pPr>
    </w:p>
    <w:p>
      <w:pPr>
        <w:ind w:left="660" w:right="40" w:hanging="328"/>
        <w:spacing w:after="0" w:line="259" w:lineRule="auto"/>
        <w:tabs>
          <w:tab w:leader="none" w:pos="655"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In order to mitigate supply chain disruption and other supply chain risks and in anticipation of future demand, we increased our commitments with certain suppliers to secure capacity, and are meeting regularly with our contract manufacturers and component suppliers to manage future commitments, address component shortages and monitor delivery. We have also transitioned primarily to air shipping to avoid port congestion and extended ocean freight time.</w:t>
      </w:r>
    </w:p>
    <w:p>
      <w:pPr>
        <w:spacing w:after="0" w:line="213" w:lineRule="exact"/>
        <w:rPr>
          <w:rFonts w:ascii="Arial" w:cs="Arial" w:eastAsia="Arial" w:hAnsi="Arial"/>
          <w:sz w:val="18"/>
          <w:szCs w:val="18"/>
          <w:color w:val="212529"/>
        </w:rPr>
      </w:pPr>
    </w:p>
    <w:p>
      <w:pPr>
        <w:ind w:left="660" w:hanging="328"/>
        <w:spacing w:after="0" w:line="286" w:lineRule="auto"/>
        <w:tabs>
          <w:tab w:leader="none" w:pos="655" w:val="left"/>
        </w:tabs>
        <w:numPr>
          <w:ilvl w:val="0"/>
          <w:numId w:val="22"/>
        </w:numPr>
        <w:rPr>
          <w:rFonts w:ascii="Arial" w:cs="Arial" w:eastAsia="Arial" w:hAnsi="Arial"/>
          <w:sz w:val="17"/>
          <w:szCs w:val="17"/>
          <w:color w:val="212529"/>
        </w:rPr>
      </w:pPr>
      <w:r>
        <w:rPr>
          <w:rFonts w:ascii="Arial" w:cs="Arial" w:eastAsia="Arial" w:hAnsi="Arial"/>
          <w:sz w:val="17"/>
          <w:szCs w:val="17"/>
          <w:color w:val="212529"/>
        </w:rPr>
        <w:t xml:space="preserve">Our days sales outstanding increased to 80 days in the second quarter of 2022, compared to 66 days in the same period last year, primarily due to the sales linearity. </w:t>
      </w:r>
      <w:r>
        <w:rPr>
          <w:rFonts w:ascii="Arial" w:cs="Arial" w:eastAsia="Arial" w:hAnsi="Arial"/>
          <w:sz w:val="17"/>
          <w:szCs w:val="17"/>
          <w:color w:val="000000"/>
        </w:rPr>
        <w:t>The accounts receivable allowance for credit losses was $5.2 million as of June 30, 2022, increased by $2.8 million compared to</w:t>
      </w:r>
      <w:r>
        <w:rPr>
          <w:rFonts w:ascii="Arial" w:cs="Arial" w:eastAsia="Arial" w:hAnsi="Arial"/>
          <w:sz w:val="17"/>
          <w:szCs w:val="17"/>
          <w:color w:val="212529"/>
        </w:rPr>
        <w:t xml:space="preserve"> </w:t>
      </w:r>
      <w:r>
        <w:rPr>
          <w:rFonts w:ascii="Arial" w:cs="Arial" w:eastAsia="Arial" w:hAnsi="Arial"/>
          <w:sz w:val="17"/>
          <w:szCs w:val="17"/>
          <w:color w:val="000000"/>
        </w:rPr>
        <w:t>$2.4 million as of December 31, 2021, primarily due to an increase in past due invoices over 60 and 90 days.</w:t>
      </w:r>
    </w:p>
    <w:p>
      <w:pPr>
        <w:spacing w:after="0" w:line="179" w:lineRule="exact"/>
        <w:rPr>
          <w:sz w:val="20"/>
          <w:szCs w:val="20"/>
          <w:color w:val="auto"/>
        </w:rPr>
      </w:pPr>
    </w:p>
    <w:p>
      <w:pPr>
        <w:ind w:right="60" w:firstLine="405"/>
        <w:spacing w:after="0"/>
        <w:rPr>
          <w:sz w:val="20"/>
          <w:szCs w:val="20"/>
          <w:color w:val="auto"/>
        </w:rPr>
      </w:pPr>
      <w:r>
        <w:rPr>
          <w:rFonts w:ascii="Arial" w:cs="Arial" w:eastAsia="Arial" w:hAnsi="Arial"/>
          <w:sz w:val="17"/>
          <w:szCs w:val="17"/>
          <w:color w:val="212529"/>
        </w:rPr>
        <w:t>Going forward, the situation remains uncertain, rapidly changing and hard to predict, and the COVID-19 pandemic may have a material negative impact on our future periods. If we experience component, shipping, inventory challenges or customer payment, it will negatively impact billings and product revenue in the current quarter and FortiGuard and FortiCare service revenues in subsequent quarters, as we sell annual and multi-year service contracts that are recognized ratably over the contractual service term, generally starting on the contract registration date. In addition, the broader implications of the pandemic on our business and operations and our financial results, including the extent to which the effects of the pandemic will impact future results and growth in the cybersecurity industry, remain uncertain. The extent of the impact of the COVID-19</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212529"/>
        </w:rPr>
        <w:t>pandemic on our operational and financial performance will depend on ongoing developments, including the duration and spread of the virus and its variants, the impact on our end-customers’ spending, the volume of sales and length of our sales cycles, the impact on our partners, suppliers, and employees, actions that may be taken by governmental authorities and other factors identified in Part II, Item 1A “Risk Factors” in this Form 10-Q. Given the dynamic nature of these circumstances, the full impact of the COVID-19 pandemic on our business and operations, results of operations, financial condition, cash flows, liquidity and capital and financial resources cannot be reasonably estimated at this time.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25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Due to the war in Ukraine and the resulting sanctions and other actions against Russia and Belarus and due to inflation and the economic downturn and possible recession, there has been uncertainty and disruption in the global economy. At the beginning of the war in Ukraine in late February 2022, we experienced immediate reductions in orders from Russia. On March 7, 2022, we announced that we were suspending sales, support and other operations in Russia. Starting from March 7, 2022, we are not recognizing service revenue on service contracts that have been suspended in Russia.</w:t>
      </w:r>
    </w:p>
    <w:p>
      <w:pPr>
        <w:spacing w:after="0" w:line="171" w:lineRule="exact"/>
        <w:rPr>
          <w:sz w:val="20"/>
          <w:szCs w:val="20"/>
          <w:color w:val="auto"/>
        </w:rPr>
      </w:pPr>
    </w:p>
    <w:p>
      <w:pPr>
        <w:ind w:right="100" w:firstLine="648"/>
        <w:spacing w:after="0" w:line="227" w:lineRule="auto"/>
        <w:rPr>
          <w:sz w:val="20"/>
          <w:szCs w:val="20"/>
          <w:color w:val="auto"/>
        </w:rPr>
      </w:pPr>
      <w:r>
        <w:rPr>
          <w:rFonts w:ascii="Arial" w:cs="Arial" w:eastAsia="Arial" w:hAnsi="Arial"/>
          <w:sz w:val="18"/>
          <w:szCs w:val="18"/>
          <w:color w:val="auto"/>
        </w:rPr>
        <w:t>Although the Russian war against Ukraine did not have a material adverse impact on our revenue or other financial results for the three and six months ended June 30, 2022, at this time we are unable to fully assess the aggregate impact it will have on our business in future periods due to various uncertainties, which include, but are not limited to, the duration of the war, its effect on the economy, its impact to the businesses of our customers and distributors, actions that may be taken by governmental authorities related to the war, and other factors identified in Part II, Item 1A, “Risk Factors” in this Quarterly Report, including the risk factor titled “The war in Ukraine and our suspension of operations in Russia have affected and may continue to affect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39" w:lineRule="exact"/>
        <w:rPr>
          <w:sz w:val="20"/>
          <w:szCs w:val="20"/>
          <w:color w:val="auto"/>
        </w:rPr>
      </w:pPr>
    </w:p>
    <w:p>
      <w:pPr>
        <w:ind w:right="40" w:firstLine="648"/>
        <w:spacing w:after="0" w:line="258" w:lineRule="auto"/>
        <w:rPr>
          <w:sz w:val="20"/>
          <w:szCs w:val="20"/>
          <w:color w:val="auto"/>
        </w:rPr>
      </w:pPr>
      <w:r>
        <w:rPr>
          <w:rFonts w:ascii="Arial" w:cs="Arial" w:eastAsia="Arial" w:hAnsi="Arial"/>
          <w:sz w:val="16"/>
          <w:szCs w:val="16"/>
          <w:color w:val="auto"/>
        </w:rPr>
        <w:t>We typically sell our security solutions to distributors that sell to networking security focused resellers and to service providers and managed security service providers (“MSSPs”), who, in turn, sell to end-customers or use our products and services to provide hosted solutions to other enterprises. At times, we also sell directly to large service providers and major systems integrators. Our end-customers are located in over 100 countries and include small, medium and large enterprises and government organizations across a wide range of industries, including education, financial services, government, healthcare, manufacturing, retail, technology and telecommunications. An end-customer deployment may involve as few as one or as many as thousands of Core Platform as well as Platform Extension products, depending on the end-customer’s size and security requirements.</w:t>
      </w:r>
    </w:p>
    <w:p>
      <w:pPr>
        <w:spacing w:after="0" w:line="190" w:lineRule="exact"/>
        <w:rPr>
          <w:sz w:val="20"/>
          <w:szCs w:val="20"/>
          <w:color w:val="auto"/>
        </w:rPr>
      </w:pPr>
    </w:p>
    <w:p>
      <w:pPr>
        <w:ind w:right="20" w:firstLine="648"/>
        <w:spacing w:after="0" w:line="242" w:lineRule="auto"/>
        <w:rPr>
          <w:sz w:val="20"/>
          <w:szCs w:val="20"/>
          <w:color w:val="auto"/>
        </w:rPr>
      </w:pPr>
      <w:r>
        <w:rPr>
          <w:rFonts w:ascii="Arial" w:cs="Arial" w:eastAsia="Arial" w:hAnsi="Arial"/>
          <w:sz w:val="17"/>
          <w:szCs w:val="17"/>
          <w:color w:val="auto"/>
        </w:rPr>
        <w:t>We also offer our products hosted in our own data centers and through major cloud providers, and have recognized revenue on a usage basis from our data centers as well as Alibaba Cloud, Amazon Web Services, Google Cloud, IBM Cloud, Microsoft Azure and Oracle Cloud. We have also recognized revenue from customers who deploy our products in a bring-your-own-license (“BYOL”) arrangement in private clouds or at cloud providers. In a BYOL arrangement, a customer purchases a software license from us through our channel partners and deploys the software in a cloud provider’s environment. Similarly, customers may purchase such a license from us and deploy it in third-party clouds or in their private cloud.</w:t>
      </w:r>
    </w:p>
    <w:p>
      <w:pPr>
        <w:spacing w:after="0" w:line="202" w:lineRule="exact"/>
        <w:rPr>
          <w:sz w:val="20"/>
          <w:szCs w:val="20"/>
          <w:color w:val="auto"/>
        </w:rPr>
      </w:pPr>
    </w:p>
    <w:p>
      <w:pPr>
        <w:ind w:right="380" w:firstLine="648"/>
        <w:spacing w:after="0" w:line="231" w:lineRule="auto"/>
        <w:rPr>
          <w:sz w:val="20"/>
          <w:szCs w:val="20"/>
          <w:color w:val="auto"/>
        </w:rPr>
      </w:pPr>
      <w:r>
        <w:rPr>
          <w:rFonts w:ascii="Arial" w:cs="Arial" w:eastAsia="Arial" w:hAnsi="Arial"/>
          <w:sz w:val="18"/>
          <w:szCs w:val="18"/>
          <w:color w:val="auto"/>
        </w:rPr>
        <w:t>Our customers purchase our hardware products and software licenses, as well as our FortiGuard and other security subscription and FortiCare technical support services. We generally invoice at the time of our sale for the total price of the products and security and technical support services. Standard payment terms are generally no more than 60 days, though we may offer extended payment terms to certain distributors or related to certain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provided by operating activities below under “—Liquidity and Capital Resources.” Deferred revenue, billings (non-GAAP), and free cash flow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are discussed immediately below the following table:</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6"/>
                <w:szCs w:val="16"/>
                <w:b w:val="1"/>
                <w:bCs w:val="1"/>
                <w:color w:val="auto"/>
              </w:rPr>
              <w:t>Three Months Ended Or As Of</w:t>
            </w:r>
          </w:p>
        </w:tc>
      </w:tr>
      <w:tr>
        <w:trPr>
          <w:trHeight w:val="210"/>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7"/>
              </w:rPr>
              <w:t>June 30, 2022</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7"/>
              </w:rPr>
              <w:t>June 30, 2021</w:t>
            </w:r>
          </w:p>
        </w:tc>
      </w:tr>
      <w:tr>
        <w:trPr>
          <w:trHeight w:val="226"/>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3"/>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3,932.0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2,905.4</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Billings (non-GAAP)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1,304.2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323.4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r>
    </w:tbl>
    <w:p>
      <w:pPr>
        <w:spacing w:after="0" w:line="310" w:lineRule="exact"/>
        <w:rPr>
          <w:sz w:val="20"/>
          <w:szCs w:val="20"/>
          <w:color w:val="auto"/>
        </w:rPr>
      </w:pPr>
    </w:p>
    <w:p>
      <w:pPr>
        <w:ind w:right="80" w:firstLine="648"/>
        <w:spacing w:after="0" w:line="225"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deferred revenue balance consists of the unrecognized portion of service revenue from FortiGuard and other security subscription and FortiCare technical support service contracts, which is recognized as revenue ratably over the contractual service period. We monitor our deferred revenue balance, short term and total deferred revenue growth and the mix of short-term and long-term deferred revenue because deferred revenue represents a significant portion of free cash flow and of revenue to be recognized in future periods. Deferred revenue was $3.93 billion as of June 30, 2022, an increase of $479.1 million, or 14%, from December 31, 2021. Short term deferred revenue was $2.01 billion as of June 30, 2022, an increase of $235.8 million, or 13%, from December 31, 2021.</w:t>
      </w:r>
    </w:p>
    <w:p>
      <w:pPr>
        <w:spacing w:after="0" w:line="208" w:lineRule="exact"/>
        <w:rPr>
          <w:sz w:val="20"/>
          <w:szCs w:val="20"/>
          <w:color w:val="auto"/>
        </w:rPr>
      </w:pPr>
    </w:p>
    <w:p>
      <w:pPr>
        <w:ind w:right="40" w:firstLine="648"/>
        <w:spacing w:after="0" w:line="260" w:lineRule="auto"/>
        <w:rPr>
          <w:sz w:val="20"/>
          <w:szCs w:val="20"/>
          <w:color w:val="auto"/>
        </w:rPr>
      </w:pPr>
      <w:r>
        <w:rPr>
          <w:rFonts w:ascii="Arial" w:cs="Arial" w:eastAsia="Arial" w:hAnsi="Arial"/>
          <w:sz w:val="16"/>
          <w:szCs w:val="16"/>
          <w:i w:val="1"/>
          <w:iCs w:val="1"/>
          <w:color w:val="auto"/>
        </w:rPr>
        <w:t xml:space="preserve">Billings (non-GAAP). </w:t>
      </w:r>
      <w:r>
        <w:rPr>
          <w:rFonts w:ascii="Arial" w:cs="Arial" w:eastAsia="Arial" w:hAnsi="Arial"/>
          <w:sz w:val="16"/>
          <w:szCs w:val="16"/>
          <w:color w:val="auto"/>
        </w:rPr>
        <w:t>We define billings as revenue recognized in accordance with GAAP plus the change in deferred revenue from the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several limitations related to the use of billings instead of GAAP revenue. First, billings include amounts that have not yet been</w:t>
      </w:r>
    </w:p>
    <w:p>
      <w:pPr>
        <w:ind w:right="60"/>
        <w:spacing w:after="0" w:line="230" w:lineRule="auto"/>
        <w:rPr>
          <w:sz w:val="20"/>
          <w:szCs w:val="20"/>
          <w:color w:val="auto"/>
        </w:rPr>
      </w:pPr>
      <w:r>
        <w:rPr>
          <w:rFonts w:ascii="Arial" w:cs="Arial" w:eastAsia="Arial" w:hAnsi="Arial"/>
          <w:sz w:val="18"/>
          <w:szCs w:val="18"/>
          <w:color w:val="auto"/>
        </w:rPr>
        <w:t>recognized as revenue and are impacted by the term of FortiGuard security and FortiCare and other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$1.30 billion for the three months ended June 30, 2022, an increase of 36% compared to $960.9 million in the same period last year.</w:t>
      </w:r>
    </w:p>
    <w:p>
      <w:pPr>
        <w:spacing w:after="0" w:line="218" w:lineRule="exact"/>
        <w:rPr>
          <w:sz w:val="20"/>
          <w:szCs w:val="20"/>
          <w:color w:val="auto"/>
        </w:rPr>
      </w:pPr>
    </w:p>
    <w:p>
      <w:pPr>
        <w:ind w:right="380" w:firstLine="648"/>
        <w:spacing w:after="0" w:line="274"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7"/>
              </w:rPr>
              <w:t>June 30, 2021</w:t>
            </w:r>
          </w:p>
        </w:tc>
      </w:tr>
      <w:tr>
        <w:trPr>
          <w:trHeight w:val="226"/>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4"/>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Billings: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801.1</w:t>
            </w:r>
          </w:p>
        </w:tc>
      </w:tr>
      <w:tr>
        <w:trPr>
          <w:trHeight w:val="229"/>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Change in deferred revenue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Total billings (non-GAAP)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960.9</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purchases of property and equipment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00"/>
        <w:spacing w:after="0" w:line="274" w:lineRule="auto"/>
        <w:rPr>
          <w:sz w:val="20"/>
          <w:szCs w:val="20"/>
          <w:color w:val="auto"/>
        </w:rPr>
      </w:pPr>
      <w:r>
        <w:rPr>
          <w:rFonts w:ascii="Arial" w:cs="Arial" w:eastAsia="Arial" w:hAnsi="Arial"/>
          <w:sz w:val="18"/>
          <w:szCs w:val="18"/>
          <w:color w:val="auto"/>
        </w:rPr>
        <w:t>cash flow as a comparative measure. A reconciliation of net cash provided by operating activities, the most directly comparable financial measure calculated and presented in accordance with GAAP, to free cash flow is provided below:</w:t>
      </w: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7"/>
              </w:rPr>
              <w:t>June 30, 2021</w:t>
            </w:r>
          </w:p>
        </w:tc>
      </w:tr>
      <w:tr>
        <w:trPr>
          <w:trHeight w:val="226"/>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4"/>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property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Free cash flow (non-GAAP)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(used) in investing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(830.3)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(120.9)</w:t>
            </w:r>
          </w:p>
        </w:tc>
      </w:tr>
      <w:tr>
        <w:trPr>
          <w:trHeight w:val="21"/>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Except as noted below, there were no material changes to our critical accounting policies and estimates as of and for the three and six months ended June 30, 2022, as compared to the critical accounting policies and estimates described in our Annual Report on Form 10-K filed with the SEC on February 25, 2022 (the “Form 10-K”).</w:t>
      </w:r>
    </w:p>
    <w:p>
      <w:pPr>
        <w:spacing w:after="0" w:line="21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Note 1 of the notes to condensed consolidated financial statements included in Part I, Item 1 of this Quarterly Report on Form 10-Q for information regarding recent accounting pronouncements.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Method Investments</w:t>
      </w:r>
    </w:p>
    <w:p>
      <w:pPr>
        <w:spacing w:after="0" w:line="25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evaluate our investments for OTTIs when circumstances indicate those assets may be impaired. When the decline in value is deemed to be other than temporary, an impairment is recognized to the extent that the fair value is less than the carrying value of the investment. We consider various factors in determining whether a loss in value of an investment is other than temporary including: the length of time and the extent to which the fair value has been below cost; the financial condition of the investees, and our intent and ability to retain the investment for a period of time sufficient to allow for recovery of value. Management makes certain judgments and estimates in its assessment including but not limited to: identifying if circumstances indicate a decline in value is other than temporary, expectations about the business operations of investees, as well as industry, financial and market factors. Any significant changes in assumptions or judgments in assessing impairments could result in an impairment charge.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and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2022</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53"/>
              <w:spacing w:after="0"/>
              <w:rPr>
                <w:sz w:val="20"/>
                <w:szCs w:val="20"/>
                <w:color w:val="auto"/>
              </w:rPr>
            </w:pPr>
            <w:r>
              <w:rPr>
                <w:rFonts w:ascii="Arial" w:cs="Arial" w:eastAsia="Arial" w:hAnsi="Arial"/>
                <w:sz w:val="16"/>
                <w:szCs w:val="16"/>
                <w:b w:val="1"/>
                <w:bCs w:val="1"/>
                <w:color w:val="auto"/>
                <w:w w:val="89"/>
              </w:rPr>
              <w:t>2021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102.4</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34 %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29 %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76.6</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23 %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420" w:type="dxa"/>
            <w:vAlign w:val="bottom"/>
            <w:tcBorders>
              <w:bottom w:val="single" w:sz="8" w:color="CCEEFF"/>
            </w:tcBorders>
          </w:tcPr>
          <w:p>
            <w:pPr>
              <w:ind w:left="10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4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29 %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20" w:firstLine="648"/>
        <w:spacing w:after="0" w:line="266" w:lineRule="auto"/>
        <w:rPr>
          <w:sz w:val="20"/>
          <w:szCs w:val="20"/>
          <w:color w:val="auto"/>
        </w:rPr>
      </w:pPr>
      <w:r>
        <w:rPr>
          <w:rFonts w:ascii="Arial" w:cs="Arial" w:eastAsia="Arial" w:hAnsi="Arial"/>
          <w:sz w:val="16"/>
          <w:szCs w:val="16"/>
          <w:color w:val="auto"/>
        </w:rPr>
        <w:t>Total revenue increased by $229.0 million, or 29%, during the three months ended June 30, 2022 compared to the same period last year. We continued to experience significant organic revenue growth (i.e. revenue growth excluding attribution from recent acquisitions) with diversification of revenue geographically, and across both customers and industries. Revenue from all regions grew, with EMEA contributing the largest portion of the increase on an absolute dollar basis and APAC, which included Alaxala, contributing the largest portion of the increase on a percentage basis.</w:t>
      </w:r>
    </w:p>
    <w:p>
      <w:pPr>
        <w:spacing w:after="0" w:line="183"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Product revenue increased by $102.4 million, or 34%, during the three months ended June 30, 2022 compared to the same period last year. Product revenue growth was consistent with an elevated cyber threat landscape and included the benefit of certain pricing actions. Core Platform products accounted for more than half of the product revenue growth in the three months ended June 30, 2022. While Secure SD-WAN contributed to product revenue growth, the main driver was the strong demand for the wide range of other operating system capabilities embedded in the Core Platform products. We also experienced strong revenue growth across many Platform Extension products, including operational technology “OT” solutions and other secure access.</w:t>
      </w:r>
    </w:p>
    <w:p>
      <w:pPr>
        <w:spacing w:after="0" w:line="202" w:lineRule="exact"/>
        <w:rPr>
          <w:sz w:val="20"/>
          <w:szCs w:val="20"/>
          <w:color w:val="auto"/>
        </w:rPr>
      </w:pPr>
    </w:p>
    <w:p>
      <w:pPr>
        <w:ind w:right="40" w:firstLine="648"/>
        <w:spacing w:after="0" w:line="261" w:lineRule="auto"/>
        <w:rPr>
          <w:sz w:val="20"/>
          <w:szCs w:val="20"/>
          <w:color w:val="auto"/>
        </w:rPr>
      </w:pPr>
      <w:r>
        <w:rPr>
          <w:rFonts w:ascii="Arial" w:cs="Arial" w:eastAsia="Arial" w:hAnsi="Arial"/>
          <w:sz w:val="16"/>
          <w:szCs w:val="16"/>
          <w:color w:val="auto"/>
        </w:rPr>
        <w:t>Service revenue increased by $126.6 million, or 25%, during the three months ended June 30, 2022 compared to the same period last year. FortiGuard security subscription and FortiCare and other technical support and other revenues increased by $67.5 million, or 25%, and by $59.1 million, or 26%, respectively, during the three months ended June 30, 2022 compared to the same period last year. The increases were primarily due to the recognition of revenue from our growing deferred revenue balance related to FortiGuard and other security subscriptions delivered to on-premise and cloud based environments as well as FortiCare and other technical support, including our customers moving to higher-tier support offerings.</w:t>
      </w:r>
    </w:p>
    <w:p>
      <w:pPr>
        <w:spacing w:after="0" w:line="188" w:lineRule="exact"/>
        <w:rPr>
          <w:sz w:val="20"/>
          <w:szCs w:val="20"/>
          <w:color w:val="auto"/>
        </w:rPr>
      </w:pPr>
    </w:p>
    <w:p>
      <w:pPr>
        <w:ind w:right="160" w:firstLine="648"/>
        <w:spacing w:after="0" w:line="256" w:lineRule="auto"/>
        <w:rPr>
          <w:sz w:val="20"/>
          <w:szCs w:val="20"/>
          <w:color w:val="auto"/>
        </w:rPr>
      </w:pPr>
      <w:r>
        <w:rPr>
          <w:rFonts w:ascii="Arial" w:cs="Arial" w:eastAsia="Arial" w:hAnsi="Arial"/>
          <w:sz w:val="16"/>
          <w:szCs w:val="16"/>
          <w:color w:val="auto"/>
        </w:rPr>
        <w:t>Of the service revenue recognized during the three months ended June 30, 2022, 87% was included in the deferred revenue balance as of March 31, 2022. Of the service revenue recognized during the three months ended June 30, 2021, 89% was included in the deferred revenue balance as of March</w:t>
      </w:r>
    </w:p>
    <w:p>
      <w:pPr>
        <w:spacing w:after="0" w:line="1" w:lineRule="exact"/>
        <w:rPr>
          <w:sz w:val="20"/>
          <w:szCs w:val="20"/>
          <w:color w:val="auto"/>
        </w:rPr>
      </w:pPr>
    </w:p>
    <w:p>
      <w:pPr>
        <w:ind w:right="300"/>
        <w:spacing w:after="0" w:line="228" w:lineRule="auto"/>
        <w:rPr>
          <w:sz w:val="20"/>
          <w:szCs w:val="20"/>
          <w:color w:val="auto"/>
        </w:rPr>
      </w:pPr>
      <w:r>
        <w:rPr>
          <w:rFonts w:ascii="Arial" w:cs="Arial" w:eastAsia="Arial" w:hAnsi="Arial"/>
          <w:sz w:val="18"/>
          <w:szCs w:val="18"/>
          <w:color w:val="auto"/>
        </w:rPr>
        <w:t>31, 2021. We expect service revenue growth will continue to increase through the remainder of 2022, as our business is expected to grow and as service revenue benefits from previous pricing actions. However, there are risks to service revenue growth rates, including customers reducing their spending, supply chain constraints, customers taking longer to buy their service, or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6"/>
                <w:szCs w:val="16"/>
                <w:color w:val="auto"/>
              </w:rPr>
            </w:pPr>
          </w:p>
        </w:tc>
        <w:tc>
          <w:tcPr>
            <w:tcW w:w="2040" w:type="dxa"/>
            <w:vAlign w:val="bottom"/>
            <w:vMerge w:val="restart"/>
          </w:tcPr>
          <w:p>
            <w:pPr>
              <w:ind w:left="7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4"/>
          </w:tcPr>
          <w:p>
            <w:pPr>
              <w:ind w:left="780"/>
              <w:spacing w:after="0"/>
              <w:rPr>
                <w:sz w:val="20"/>
                <w:szCs w:val="20"/>
                <w:color w:val="auto"/>
              </w:rPr>
            </w:pPr>
            <w:r>
              <w:rPr>
                <w:rFonts w:ascii="Arial" w:cs="Arial" w:eastAsia="Arial" w:hAnsi="Arial"/>
                <w:sz w:val="16"/>
                <w:szCs w:val="16"/>
                <w:b w:val="1"/>
                <w:bCs w:val="1"/>
                <w:color w:val="auto"/>
                <w:w w:val="99"/>
              </w:rPr>
              <w:t>(in millions, except percentages)</w:t>
            </w:r>
          </w:p>
        </w:tc>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1260" w:type="dxa"/>
            <w:vAlign w:val="bottom"/>
          </w:tcPr>
          <w:p>
            <w:pPr>
              <w:jc w:val="right"/>
              <w:ind w:right="105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155.2</w:t>
            </w:r>
          </w:p>
        </w:tc>
        <w:tc>
          <w:tcPr>
            <w:tcW w:w="100" w:type="dxa"/>
            <w:vAlign w:val="bottom"/>
          </w:tcPr>
          <w:p>
            <w:pPr>
              <w:spacing w:after="0"/>
              <w:rPr>
                <w:sz w:val="19"/>
                <w:szCs w:val="19"/>
                <w:color w:val="auto"/>
              </w:rPr>
            </w:pPr>
          </w:p>
        </w:tc>
        <w:tc>
          <w:tcPr>
            <w:tcW w:w="1260" w:type="dxa"/>
            <w:vAlign w:val="bottom"/>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115.6</w:t>
            </w:r>
          </w:p>
        </w:tc>
        <w:tc>
          <w:tcPr>
            <w:tcW w:w="120" w:type="dxa"/>
            <w:vAlign w:val="bottom"/>
          </w:tcPr>
          <w:p>
            <w:pPr>
              <w:spacing w:after="0"/>
              <w:rPr>
                <w:sz w:val="19"/>
                <w:szCs w:val="19"/>
                <w:color w:val="auto"/>
              </w:rPr>
            </w:pPr>
          </w:p>
        </w:tc>
        <w:tc>
          <w:tcPr>
            <w:tcW w:w="1240" w:type="dxa"/>
            <w:vAlign w:val="bottom"/>
          </w:tcPr>
          <w:p>
            <w:pPr>
              <w:jc w:val="right"/>
              <w:ind w:right="10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39.6</w:t>
            </w:r>
          </w:p>
        </w:tc>
        <w:tc>
          <w:tcPr>
            <w:tcW w:w="2040" w:type="dxa"/>
            <w:vAlign w:val="bottom"/>
          </w:tcPr>
          <w:p>
            <w:pPr>
              <w:ind w:left="1640"/>
              <w:spacing w:after="0"/>
              <w:rPr>
                <w:sz w:val="20"/>
                <w:szCs w:val="20"/>
                <w:color w:val="auto"/>
              </w:rPr>
            </w:pPr>
            <w:r>
              <w:rPr>
                <w:rFonts w:ascii="Arial" w:cs="Arial" w:eastAsia="Arial" w:hAnsi="Arial"/>
                <w:sz w:val="18"/>
                <w:szCs w:val="18"/>
                <w:color w:val="auto"/>
                <w:w w:val="92"/>
              </w:rPr>
              <w:t>34 %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4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1260" w:type="dxa"/>
            <w:vAlign w:val="bottom"/>
            <w:tcBorders>
              <w:bottom w:val="single" w:sz="8" w:color="auto"/>
            </w:tcBorders>
          </w:tcPr>
          <w:p>
            <w:pPr>
              <w:jc w:val="right"/>
              <w:ind w:right="105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8"/>
              </w:rPr>
              <w:t>250.8</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186.9</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040" w:type="dxa"/>
            <w:vAlign w:val="bottom"/>
          </w:tcPr>
          <w:p>
            <w:pPr>
              <w:ind w:left="1640"/>
              <w:spacing w:after="0"/>
              <w:rPr>
                <w:sz w:val="20"/>
                <w:szCs w:val="20"/>
                <w:color w:val="auto"/>
              </w:rPr>
            </w:pPr>
            <w:r>
              <w:rPr>
                <w:rFonts w:ascii="Arial" w:cs="Arial" w:eastAsia="Arial" w:hAnsi="Arial"/>
                <w:sz w:val="18"/>
                <w:szCs w:val="18"/>
                <w:color w:val="auto"/>
                <w:w w:val="92"/>
              </w:rPr>
              <w:t>34 %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 (%):</w:t>
            </w: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61.3 %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61.2 %</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75.7 %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76.7 %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0" w:firstLine="648"/>
        <w:spacing w:after="0" w:line="231" w:lineRule="auto"/>
        <w:rPr>
          <w:sz w:val="20"/>
          <w:szCs w:val="20"/>
          <w:color w:val="auto"/>
        </w:rPr>
      </w:pPr>
      <w:r>
        <w:rPr>
          <w:rFonts w:ascii="Arial" w:cs="Arial" w:eastAsia="Arial" w:hAnsi="Arial"/>
          <w:sz w:val="18"/>
          <w:szCs w:val="18"/>
          <w:color w:val="auto"/>
        </w:rPr>
        <w:t>Total gross margin decreased by 1.0 percentage points during the three months ended June 30, 2022 compared to the same period last year, driven by the consolidation of Alaxala, costs increases and a change in revenue mix to lower margin product revenue from higher margin service revenue. Revenue mix shifted by 1.7 percentage points from service revenue to product revenue, as a percentage of total revenue. Total gross margin also reflected a decline in services gross margin.</w:t>
      </w:r>
    </w:p>
    <w:p>
      <w:pPr>
        <w:spacing w:after="0" w:line="202" w:lineRule="exact"/>
        <w:rPr>
          <w:sz w:val="20"/>
          <w:szCs w:val="20"/>
          <w:color w:val="auto"/>
        </w:rPr>
      </w:pPr>
    </w:p>
    <w:p>
      <w:pPr>
        <w:ind w:right="40" w:firstLine="648"/>
        <w:spacing w:after="0" w:line="246" w:lineRule="auto"/>
        <w:rPr>
          <w:sz w:val="20"/>
          <w:szCs w:val="20"/>
          <w:color w:val="auto"/>
        </w:rPr>
      </w:pPr>
      <w:r>
        <w:rPr>
          <w:rFonts w:ascii="Arial" w:cs="Arial" w:eastAsia="Arial" w:hAnsi="Arial"/>
          <w:sz w:val="17"/>
          <w:szCs w:val="17"/>
          <w:color w:val="auto"/>
        </w:rPr>
        <w:t>Product gross margin increased by 0.1 percentage points during the three months ended June 30, 2022 compared to the same period last year. The increase in product margin is driven by higher average selling prices, and a mix shift to higher margin high end appliances, partially offset by higher expedite fees, freight fees and other product costs due to supply chain constraints and the consolidation of Alaxala. Cost of product revenue was comprised primarily of third-party contract manufacturers’ costs and the costs of materials used in production.</w:t>
      </w:r>
    </w:p>
    <w:p>
      <w:pPr>
        <w:spacing w:after="0" w:line="211"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Service gross margin decreased by 1.0 percentage points during the three months ended June 30, 2022 compared to the same period last year. Cost of service revenue was comprised primarily of personnel and data center costs. The decrease in service gross margin was primarily impacted by our consolidation of Alaxala and our data center expansion.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Arial" w:cs="Arial" w:eastAsia="Arial" w:hAnsi="Arial"/>
                <w:sz w:val="16"/>
                <w:szCs w:val="16"/>
                <w:b w:val="1"/>
                <w:bCs w:val="1"/>
                <w:color w:val="auto"/>
                <w:w w:val="90"/>
              </w:rPr>
              <w:t>June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2022</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6"/>
                <w:szCs w:val="16"/>
                <w:b w:val="1"/>
                <w:bCs w:val="1"/>
                <w:color w:val="auto"/>
                <w:w w:val="95"/>
              </w:rPr>
              <w:t>2021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144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17 %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420" w:type="dxa"/>
            <w:vAlign w:val="bottom"/>
          </w:tcPr>
          <w:p>
            <w:pPr>
              <w:ind w:left="10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IP matter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25 %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Percentages have been rounded for presentation purposes and may differ from unrounded results.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Research and development expense increased by $17.7 million, or 17%, during the three months ended June 30, 2022 compared to the same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period last year, primarily due to an increase of $12.7 million in personnel-related costs as a result of increased headcount to support the development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products and continued enhancements to our existing products. In addition, we incurred increases in depreciation and other occupancy costs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$5.7 million, partially offset by a decrease of $1.3 million of product development costs, such as third-party testing and prototypes. We currently intend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continue to invest in our research and development organization, and expect research and development expense to increase in absolute dollars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2022.</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39" w:lineRule="exact"/>
        <w:rPr>
          <w:sz w:val="20"/>
          <w:szCs w:val="20"/>
          <w:color w:val="auto"/>
        </w:rPr>
      </w:pPr>
    </w:p>
    <w:p>
      <w:pPr>
        <w:ind w:right="180" w:firstLine="648"/>
        <w:spacing w:after="0" w:line="261" w:lineRule="auto"/>
        <w:rPr>
          <w:sz w:val="20"/>
          <w:szCs w:val="20"/>
          <w:color w:val="auto"/>
        </w:rPr>
      </w:pPr>
      <w:r>
        <w:rPr>
          <w:rFonts w:ascii="Arial" w:cs="Arial" w:eastAsia="Arial" w:hAnsi="Arial"/>
          <w:sz w:val="16"/>
          <w:szCs w:val="16"/>
          <w:color w:val="auto"/>
        </w:rPr>
        <w:t>Sales and marketing expense increased by $88.6 million, or 27%, during the three months ended June 30, 2022 compared to the same period last year, primarily due to an increase of $49.6 million in personnel-related costs as a result of increases to sales and marketing headcount in order to drive global market revenue increases. In addition, we incurred increases in marketing-related expense of $14.7 million, travel expense of $11.4 million and depreciation and other occupancy expense of $4.7 million. We currently intend to continue to make investments in sales and marketing resources, which are critical to support our future growth, and expect sales and marketing expense to increase in absolute dollars during the remainder of 2022.</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jc w:val="both"/>
        <w:ind w:right="460" w:firstLine="648"/>
        <w:spacing w:after="0" w:line="253" w:lineRule="auto"/>
        <w:rPr>
          <w:sz w:val="20"/>
          <w:szCs w:val="20"/>
          <w:color w:val="auto"/>
        </w:rPr>
      </w:pPr>
      <w:r>
        <w:rPr>
          <w:rFonts w:ascii="Arial" w:cs="Arial" w:eastAsia="Arial" w:hAnsi="Arial"/>
          <w:sz w:val="17"/>
          <w:szCs w:val="17"/>
          <w:color w:val="auto"/>
        </w:rPr>
        <w:t>General and administrative expense increased by $11.0 million, or 32%, during the three months ended June 30, 2022 compared to the same period last year, primarily due to an increase of $3.9 million in personnel-related costs and an increase of $3.1 million in provision for expected credit losses. We currently expect general and administrative expense to increase in absolute dollars during the remainder of 2022.</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on IP matter</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January 2020, we entered into an agreement with a competitor in the network security industry, whereby, in February 2020, the competitor party paid us a lump sum of $50.0 million for a mutual covenant-not-to-sue for patent claims. During the three months ended June 30, 2022 and 2021, we recorded $1.2 million in amortization of the deferred component as a gain on IP matter in our condensed consolidated statements of income.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generated operating income of $195.3 million during the three months ended June 30, 2022, an increase of $47.8 million, or 32%, compared to $147.5 million in the same period last year. Operating income as a percentage of revenue was 19% during the three months ended June 30, 2022, compared to 18% in the same period last year. The increase in operating margin is primarily due to 1.2 percentage point and 0.5 percentage points decreases in research and development expense and sales and marketing expense as percentage of revenue, respectively, partially offset by 1.0 percentage points decrease in gross margin and 0.1 percentage point increase in general and administrative expense as percentage of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center"/>
              <w:ind w:right="335"/>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Pr>
          <w:p>
            <w:pPr>
              <w:spacing w:after="0"/>
              <w:rPr>
                <w:sz w:val="16"/>
                <w:szCs w:val="16"/>
                <w:color w:val="auto"/>
              </w:rPr>
            </w:pPr>
          </w:p>
        </w:tc>
        <w:tc>
          <w:tcPr>
            <w:tcW w:w="1440" w:type="dxa"/>
            <w:vAlign w:val="bottom"/>
          </w:tcPr>
          <w:p>
            <w:pPr>
              <w:jc w:val="center"/>
              <w:ind w:right="275"/>
              <w:spacing w:after="0"/>
              <w:rPr>
                <w:sz w:val="20"/>
                <w:szCs w:val="20"/>
                <w:color w:val="auto"/>
              </w:rPr>
            </w:pPr>
            <w:r>
              <w:rPr>
                <w:rFonts w:ascii="Arial" w:cs="Arial" w:eastAsia="Arial" w:hAnsi="Arial"/>
                <w:sz w:val="16"/>
                <w:szCs w:val="16"/>
                <w:b w:val="1"/>
                <w:bCs w:val="1"/>
                <w:color w:val="auto"/>
                <w:w w:val="87"/>
              </w:rPr>
              <w:t>June 30,</w:t>
            </w:r>
          </w:p>
        </w:tc>
        <w:tc>
          <w:tcPr>
            <w:tcW w:w="460" w:type="dxa"/>
            <w:vAlign w:val="bottom"/>
          </w:tcPr>
          <w:p>
            <w:pPr>
              <w:spacing w:after="0"/>
              <w:rPr>
                <w:sz w:val="16"/>
                <w:szCs w:val="16"/>
                <w:color w:val="auto"/>
              </w:rPr>
            </w:pPr>
          </w:p>
        </w:tc>
        <w:tc>
          <w:tcPr>
            <w:tcW w:w="1780" w:type="dxa"/>
            <w:vAlign w:val="bottom"/>
            <w:vMerge w:val="restart"/>
          </w:tcPr>
          <w:p>
            <w:pPr>
              <w:jc w:val="right"/>
              <w:ind w:right="892"/>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gridSpan w:val="3"/>
          </w:tcPr>
          <w:p>
            <w:pPr>
              <w:jc w:val="right"/>
              <w:ind w:right="912"/>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895"/>
              <w:spacing w:after="0"/>
              <w:rPr>
                <w:sz w:val="20"/>
                <w:szCs w:val="20"/>
                <w:color w:val="auto"/>
              </w:rPr>
            </w:pPr>
            <w:r>
              <w:rPr>
                <w:rFonts w:ascii="Arial" w:cs="Arial" w:eastAsia="Arial" w:hAnsi="Arial"/>
                <w:sz w:val="18"/>
                <w:szCs w:val="18"/>
                <w:color w:val="auto"/>
                <w:w w:val="87"/>
              </w:rPr>
              <w:t>2.4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ind w:left="975"/>
              <w:spacing w:after="0"/>
              <w:rPr>
                <w:sz w:val="20"/>
                <w:szCs w:val="20"/>
                <w:color w:val="auto"/>
              </w:rPr>
            </w:pPr>
            <w:r>
              <w:rPr>
                <w:rFonts w:ascii="Arial" w:cs="Arial" w:eastAsia="Arial" w:hAnsi="Arial"/>
                <w:sz w:val="18"/>
                <w:szCs w:val="18"/>
                <w:color w:val="auto"/>
                <w:w w:val="87"/>
              </w:rPr>
              <w:t>1.2</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ind w:left="875"/>
              <w:spacing w:after="0"/>
              <w:rPr>
                <w:sz w:val="20"/>
                <w:szCs w:val="20"/>
                <w:color w:val="auto"/>
              </w:rPr>
            </w:pPr>
            <w:r>
              <w:rPr>
                <w:rFonts w:ascii="Arial" w:cs="Arial" w:eastAsia="Arial" w:hAnsi="Arial"/>
                <w:sz w:val="18"/>
                <w:szCs w:val="18"/>
                <w:color w:val="auto"/>
                <w:w w:val="97"/>
              </w:rPr>
              <w:t>(4.5)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center"/>
              <w:ind w:left="935"/>
              <w:spacing w:after="0"/>
              <w:rPr>
                <w:sz w:val="20"/>
                <w:szCs w:val="20"/>
                <w:color w:val="auto"/>
              </w:rPr>
            </w:pPr>
            <w:r>
              <w:rPr>
                <w:rFonts w:ascii="Arial" w:cs="Arial" w:eastAsia="Arial" w:hAnsi="Arial"/>
                <w:sz w:val="18"/>
                <w:szCs w:val="18"/>
                <w:color w:val="auto"/>
                <w:w w:val="91"/>
              </w:rPr>
              <w:t>(4.5)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875"/>
              <w:spacing w:after="0"/>
              <w:rPr>
                <w:sz w:val="20"/>
                <w:szCs w:val="20"/>
                <w:color w:val="auto"/>
              </w:rPr>
            </w:pPr>
            <w:r>
              <w:rPr>
                <w:rFonts w:ascii="Arial" w:cs="Arial" w:eastAsia="Arial" w:hAnsi="Arial"/>
                <w:sz w:val="18"/>
                <w:szCs w:val="18"/>
                <w:color w:val="auto"/>
                <w:w w:val="97"/>
              </w:rPr>
              <w:t>(9.3)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ind w:left="975"/>
              <w:spacing w:after="0"/>
              <w:rPr>
                <w:sz w:val="20"/>
                <w:szCs w:val="20"/>
                <w:color w:val="auto"/>
              </w:rPr>
            </w:pPr>
            <w:r>
              <w:rPr>
                <w:rFonts w:ascii="Arial" w:cs="Arial" w:eastAsia="Arial" w:hAnsi="Arial"/>
                <w:sz w:val="18"/>
                <w:szCs w:val="18"/>
                <w:color w:val="auto"/>
                <w:w w:val="87"/>
              </w:rPr>
              <w:t>0.8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Interest income increased by $1.2 million during the three months ended June 30, 2022 compared to the same period last year, as a result of higher interest rates. Interest income varies depending on our average investment balances during the period, types and mix of investments, and market interest rates. Interest expense remained flat during the three months ended June 30, 2022 compared to the same period last year. The change of Other income (expense)—net during the three months ended June 30, 2022 compared to the same period last year, was primarily due to an increase of $8.6 million loss on marketable equity securities and an increase of $1.7 million of foreign currency exchange loss.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326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300" w:type="dxa"/>
            <w:vAlign w:val="bottom"/>
          </w:tcPr>
          <w:p>
            <w:pPr>
              <w:jc w:val="center"/>
              <w:ind w:left="477"/>
              <w:spacing w:after="0"/>
              <w:rPr>
                <w:sz w:val="20"/>
                <w:szCs w:val="20"/>
                <w:color w:val="auto"/>
              </w:rPr>
            </w:pPr>
            <w:r>
              <w:rPr>
                <w:rFonts w:ascii="Arial" w:cs="Arial" w:eastAsia="Arial" w:hAnsi="Arial"/>
                <w:sz w:val="16"/>
                <w:szCs w:val="16"/>
                <w:b w:val="1"/>
                <w:bCs w:val="1"/>
                <w:color w:val="auto"/>
                <w:w w:val="90"/>
              </w:rPr>
              <w:t>June 30,</w:t>
            </w:r>
          </w:p>
        </w:tc>
        <w:tc>
          <w:tcPr>
            <w:tcW w:w="600" w:type="dxa"/>
            <w:vAlign w:val="bottom"/>
          </w:tcPr>
          <w:p>
            <w:pPr>
              <w:spacing w:after="0"/>
              <w:rPr>
                <w:sz w:val="16"/>
                <w:szCs w:val="16"/>
                <w:color w:val="auto"/>
              </w:rPr>
            </w:pPr>
          </w:p>
        </w:tc>
        <w:tc>
          <w:tcPr>
            <w:tcW w:w="1360" w:type="dxa"/>
            <w:vAlign w:val="bottom"/>
          </w:tcPr>
          <w:p>
            <w:pPr>
              <w:ind w:left="680"/>
              <w:spacing w:after="0"/>
              <w:rPr>
                <w:sz w:val="20"/>
                <w:szCs w:val="20"/>
                <w:color w:val="auto"/>
              </w:rPr>
            </w:pPr>
            <w:r>
              <w:rPr>
                <w:rFonts w:ascii="Arial" w:cs="Arial" w:eastAsia="Arial" w:hAnsi="Arial"/>
                <w:sz w:val="16"/>
                <w:szCs w:val="16"/>
                <w:b w:val="1"/>
                <w:bCs w:val="1"/>
                <w:color w:val="auto"/>
              </w:rPr>
              <w:t>June 30,</w:t>
            </w:r>
          </w:p>
        </w:tc>
        <w:tc>
          <w:tcPr>
            <w:tcW w:w="540" w:type="dxa"/>
            <w:vAlign w:val="bottom"/>
          </w:tcPr>
          <w:p>
            <w:pPr>
              <w:spacing w:after="0"/>
              <w:rPr>
                <w:sz w:val="16"/>
                <w:szCs w:val="16"/>
                <w:color w:val="auto"/>
              </w:rPr>
            </w:pPr>
          </w:p>
        </w:tc>
        <w:tc>
          <w:tcPr>
            <w:tcW w:w="1340" w:type="dxa"/>
            <w:vAlign w:val="bottom"/>
            <w:vMerge w:val="restart"/>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820" w:type="dxa"/>
            <w:vAlign w:val="bottom"/>
          </w:tcPr>
          <w:p>
            <w:pPr>
              <w:spacing w:after="0"/>
              <w:rPr>
                <w:sz w:val="16"/>
                <w:szCs w:val="16"/>
                <w:color w:val="auto"/>
              </w:rPr>
            </w:pPr>
          </w:p>
        </w:tc>
        <w:tc>
          <w:tcPr>
            <w:tcW w:w="1680" w:type="dxa"/>
            <w:vAlign w:val="bottom"/>
            <w:vMerge w:val="restart"/>
          </w:tcPr>
          <w:p>
            <w:pPr>
              <w:jc w:val="right"/>
              <w:ind w:right="49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40" w:type="dxa"/>
            <w:vAlign w:val="bottom"/>
          </w:tcPr>
          <w:p>
            <w:pPr>
              <w:spacing w:after="0"/>
              <w:rPr>
                <w:sz w:val="18"/>
                <w:szCs w:val="18"/>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40" w:type="dxa"/>
            <w:vAlign w:val="bottom"/>
            <w:gridSpan w:val="3"/>
          </w:tcPr>
          <w:p>
            <w:pPr>
              <w:ind w:left="820"/>
              <w:spacing w:after="0"/>
              <w:rPr>
                <w:sz w:val="20"/>
                <w:szCs w:val="20"/>
                <w:color w:val="auto"/>
              </w:rPr>
            </w:pPr>
            <w:r>
              <w:rPr>
                <w:rFonts w:ascii="Arial" w:cs="Arial" w:eastAsia="Arial" w:hAnsi="Arial"/>
                <w:sz w:val="16"/>
                <w:szCs w:val="16"/>
                <w:b w:val="1"/>
                <w:bCs w:val="1"/>
                <w:color w:val="auto"/>
                <w:w w:val="96"/>
              </w:rPr>
              <w:t>(in millions, except percentages)</w:t>
            </w: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300" w:type="dxa"/>
            <w:vAlign w:val="bottom"/>
            <w:shd w:val="clear" w:color="auto" w:fill="CCEEFF"/>
          </w:tcPr>
          <w:p>
            <w:pPr>
              <w:jc w:val="right"/>
              <w:ind w:right="109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w:t>
            </w:r>
          </w:p>
        </w:tc>
        <w:tc>
          <w:tcPr>
            <w:tcW w:w="1360" w:type="dxa"/>
            <w:vAlign w:val="bottom"/>
            <w:shd w:val="clear" w:color="auto" w:fill="CCEEFF"/>
          </w:tcPr>
          <w:p>
            <w:pPr>
              <w:jc w:val="right"/>
              <w:ind w:right="111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c>
          <w:tcPr>
            <w:tcW w:w="134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c>
          <w:tcPr>
            <w:tcW w:w="1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5 %</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firstLine="648"/>
        <w:spacing w:after="0" w:line="242" w:lineRule="auto"/>
        <w:rPr>
          <w:sz w:val="20"/>
          <w:szCs w:val="20"/>
          <w:color w:val="auto"/>
        </w:rPr>
      </w:pPr>
      <w:r>
        <w:rPr>
          <w:rFonts w:ascii="Arial" w:cs="Arial" w:eastAsia="Arial" w:hAnsi="Arial"/>
          <w:sz w:val="17"/>
          <w:szCs w:val="17"/>
          <w:color w:val="auto"/>
        </w:rPr>
        <w:t>Our effective tax rate was 1% for the three months ended June 30, 2022 compared to an effective tax rate of 5% for the same period last year. The provision for income taxes for the three months ended June 30, 2022 was primarily comprised of U.S. federal and state taxes, withholding taxes and foreign taxes that were $54.5 million, which were favorably affected by a tax benefit of $18.6 million from the foreign-derived intangible income deduction (the “FDII deduction”), excess tax benefits from stock-based compensation expense of $17.3 million and release of reserves of $16.2 million on uncertain tax positions and the accrued interest thereon due to the expiration of the statute of limitations.</w:t>
      </w:r>
    </w:p>
    <w:p>
      <w:pPr>
        <w:spacing w:after="0" w:line="202" w:lineRule="exact"/>
        <w:rPr>
          <w:sz w:val="20"/>
          <w:szCs w:val="20"/>
          <w:color w:val="auto"/>
        </w:rPr>
      </w:pPr>
    </w:p>
    <w:p>
      <w:pPr>
        <w:ind w:right="280" w:firstLine="648"/>
        <w:spacing w:after="0" w:line="231" w:lineRule="auto"/>
        <w:rPr>
          <w:sz w:val="20"/>
          <w:szCs w:val="20"/>
          <w:color w:val="auto"/>
        </w:rPr>
      </w:pPr>
      <w:r>
        <w:rPr>
          <w:rFonts w:ascii="Arial" w:cs="Arial" w:eastAsia="Arial" w:hAnsi="Arial"/>
          <w:sz w:val="18"/>
          <w:szCs w:val="18"/>
          <w:color w:val="auto"/>
        </w:rPr>
        <w:t>The provision for income taxes for the three months ended June 30, 2021 was comprised of U.S. federal and state taxes, withholding taxes, and foreign taxes that were $38.0 million, which were offset by a tax benefit of $7.1 million from the FDII deduction, excess tax benefits from stock-based compensation expense of $18.2 million and release of reserves of $5.2 million on uncertain tax positions and the accrued interest thereon due to the expiration of the statute of limitations.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and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380"/>
              <w:spacing w:after="0"/>
              <w:rPr>
                <w:sz w:val="20"/>
                <w:szCs w:val="20"/>
                <w:color w:val="auto"/>
              </w:rPr>
            </w:pPr>
            <w:r>
              <w:rPr>
                <w:rFonts w:ascii="Arial" w:cs="Arial" w:eastAsia="Arial" w:hAnsi="Arial"/>
                <w:sz w:val="16"/>
                <w:szCs w:val="16"/>
                <w:b w:val="1"/>
                <w:bCs w:val="1"/>
                <w:color w:val="auto"/>
              </w:rPr>
              <w:t>Six Months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2022</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53"/>
              <w:spacing w:after="0"/>
              <w:rPr>
                <w:sz w:val="20"/>
                <w:szCs w:val="20"/>
                <w:color w:val="auto"/>
              </w:rPr>
            </w:pPr>
            <w:r>
              <w:rPr>
                <w:rFonts w:ascii="Arial" w:cs="Arial" w:eastAsia="Arial" w:hAnsi="Arial"/>
                <w:sz w:val="16"/>
                <w:szCs w:val="16"/>
                <w:b w:val="1"/>
                <w:bCs w:val="1"/>
                <w:color w:val="auto"/>
                <w:w w:val="89"/>
              </w:rPr>
              <w:t>2021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232.7</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43 %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31 %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168.3</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27 %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420" w:type="dxa"/>
            <w:vAlign w:val="bottom"/>
            <w:tcBorders>
              <w:bottom w:val="single" w:sz="8" w:color="CCEEFF"/>
            </w:tcBorders>
          </w:tcPr>
          <w:p>
            <w:pPr>
              <w:ind w:left="10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14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31 %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Total revenue increased by $473.5 million, or 31%, during the six months ended June 30, 2022 compared to the same period last year. We continue to experience significant organic revenue growth (i.e. revenue growth excluding attribution from acquisitions) with diversification of revenue geographically, and across both customer and industry segments. Revenue from all regions grew, with Americas contributing the largest portion of the increase on an absolute dollar basis and APAC, which included Alaxala, contributing the largest portion of the increase on a percentage basis.</w:t>
      </w:r>
    </w:p>
    <w:p>
      <w:pPr>
        <w:spacing w:after="0" w:line="185" w:lineRule="exact"/>
        <w:rPr>
          <w:sz w:val="20"/>
          <w:szCs w:val="20"/>
          <w:color w:val="auto"/>
        </w:rPr>
      </w:pPr>
    </w:p>
    <w:p>
      <w:pPr>
        <w:ind w:right="60" w:firstLine="648"/>
        <w:spacing w:after="0" w:line="261" w:lineRule="auto"/>
        <w:rPr>
          <w:sz w:val="20"/>
          <w:szCs w:val="20"/>
          <w:color w:val="auto"/>
        </w:rPr>
      </w:pPr>
      <w:r>
        <w:rPr>
          <w:rFonts w:ascii="Arial" w:cs="Arial" w:eastAsia="Arial" w:hAnsi="Arial"/>
          <w:sz w:val="16"/>
          <w:szCs w:val="16"/>
          <w:color w:val="auto"/>
        </w:rPr>
        <w:t>Product revenue increased by $232.7 million, or 43%, during the six months ended June 30, 2022 compared to the same period last year. Product revenue growth was consistent with an elevated cyber threat landscape and included the benefit of certain pricing actions. Core Platform products accounted for more than half of the product revenue growth in the six months ended June 30, 2022. While Secure SD-WAN contributed to product revenue growth, the main driver was the strong demand for the wide range of other operating system capabilities embedded in the Core Platform products. We also experienced strong revenue growth across many Platform Extension products, including OT solutions and other secure access.</w:t>
      </w:r>
    </w:p>
    <w:p>
      <w:pPr>
        <w:spacing w:after="0" w:line="188" w:lineRule="exact"/>
        <w:rPr>
          <w:sz w:val="20"/>
          <w:szCs w:val="20"/>
          <w:color w:val="auto"/>
        </w:rPr>
      </w:pPr>
    </w:p>
    <w:p>
      <w:pPr>
        <w:ind w:right="180" w:firstLine="648"/>
        <w:spacing w:after="0" w:line="242" w:lineRule="auto"/>
        <w:rPr>
          <w:sz w:val="20"/>
          <w:szCs w:val="20"/>
          <w:color w:val="auto"/>
        </w:rPr>
      </w:pPr>
      <w:r>
        <w:rPr>
          <w:rFonts w:ascii="Arial" w:cs="Arial" w:eastAsia="Arial" w:hAnsi="Arial"/>
          <w:sz w:val="17"/>
          <w:szCs w:val="17"/>
          <w:color w:val="auto"/>
        </w:rPr>
        <w:t>Service revenue increased by $240.8 million, or 25%, during the six months ended June 30, 2022 compared to the same period last year. FortiGuard security subscription and FortiCare technical support and other revenues increased by $125.1 million, or 24%, and by $115.7 million, or 26%, respectively, during the six months ended June 30, 2022 compared to the same period last year. The increases were primarily due to the recognition of revenue from our growing deferred revenue balance related to FortiGuard and other security subscriptions delivered to on-premise and cloud-based environments, as well as FortiCare and other technical support, including our customers moving to higher-tier support offerings.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Of the service revenue recognized during the six months ended June 30, 2022, 80% was included in the deferred revenue balance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Of the service revenue recognized during the six months ended June 30, 2021, 81% was included in the deferred revenue balance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We expect service revenue growth will continue to increase through the remainder of 2022, as our business is expected to grow and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 revenue benefits from previous pricing actions. However, there are risks to service revenue growth rates, including customers reducing their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spending, supply chain constraints, customers taking longer to buy their service, or other reasons.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6"/>
                <w:szCs w:val="16"/>
                <w:b w:val="1"/>
                <w:bCs w:val="1"/>
                <w:color w:val="auto"/>
                <w:w w:val="95"/>
              </w:rPr>
              <w:t>Six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Change</w:t>
            </w:r>
          </w:p>
        </w:tc>
        <w:tc>
          <w:tcPr>
            <w:tcW w:w="540" w:type="dxa"/>
            <w:vAlign w:val="bottom"/>
          </w:tcPr>
          <w:p>
            <w:pPr>
              <w:spacing w:after="0"/>
              <w:rPr>
                <w:sz w:val="16"/>
                <w:szCs w:val="16"/>
                <w:color w:val="auto"/>
              </w:rPr>
            </w:pPr>
          </w:p>
        </w:tc>
        <w:tc>
          <w:tcPr>
            <w:tcW w:w="204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4"/>
          </w:tcPr>
          <w:p>
            <w:pPr>
              <w:ind w:left="780"/>
              <w:spacing w:after="0"/>
              <w:rPr>
                <w:sz w:val="20"/>
                <w:szCs w:val="20"/>
                <w:color w:val="auto"/>
              </w:rPr>
            </w:pPr>
            <w:r>
              <w:rPr>
                <w:rFonts w:ascii="Arial" w:cs="Arial" w:eastAsia="Arial" w:hAnsi="Arial"/>
                <w:sz w:val="16"/>
                <w:szCs w:val="16"/>
                <w:b w:val="1"/>
                <w:bCs w:val="1"/>
                <w:color w:val="auto"/>
                <w:w w:val="97"/>
              </w:rPr>
              <w:t>(in millions, except percentages)</w:t>
            </w:r>
          </w:p>
        </w:tc>
        <w:tc>
          <w:tcPr>
            <w:tcW w:w="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1260" w:type="dxa"/>
            <w:vAlign w:val="bottom"/>
          </w:tcPr>
          <w:p>
            <w:pPr>
              <w:jc w:val="right"/>
              <w:ind w:right="105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w w:val="88"/>
              </w:rPr>
              <w:t>316.2</w:t>
            </w:r>
          </w:p>
        </w:tc>
        <w:tc>
          <w:tcPr>
            <w:tcW w:w="100" w:type="dxa"/>
            <w:vAlign w:val="bottom"/>
          </w:tcPr>
          <w:p>
            <w:pPr>
              <w:spacing w:after="0"/>
              <w:rPr>
                <w:sz w:val="19"/>
                <w:szCs w:val="19"/>
                <w:color w:val="auto"/>
              </w:rPr>
            </w:pPr>
          </w:p>
        </w:tc>
        <w:tc>
          <w:tcPr>
            <w:tcW w:w="1260" w:type="dxa"/>
            <w:vAlign w:val="bottom"/>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206.9</w:t>
            </w:r>
          </w:p>
        </w:tc>
        <w:tc>
          <w:tcPr>
            <w:tcW w:w="120" w:type="dxa"/>
            <w:vAlign w:val="bottom"/>
          </w:tcPr>
          <w:p>
            <w:pPr>
              <w:spacing w:after="0"/>
              <w:rPr>
                <w:sz w:val="19"/>
                <w:szCs w:val="19"/>
                <w:color w:val="auto"/>
              </w:rPr>
            </w:pPr>
          </w:p>
        </w:tc>
        <w:tc>
          <w:tcPr>
            <w:tcW w:w="1200" w:type="dxa"/>
            <w:vAlign w:val="bottom"/>
          </w:tcPr>
          <w:p>
            <w:pPr>
              <w:jc w:val="right"/>
              <w:ind w:right="101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109.3</w:t>
            </w:r>
          </w:p>
        </w:tc>
        <w:tc>
          <w:tcPr>
            <w:tcW w:w="204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88"/>
              </w:rPr>
              <w:t>188.4</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136.6</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1260" w:type="dxa"/>
            <w:vAlign w:val="bottom"/>
            <w:tcBorders>
              <w:bottom w:val="single" w:sz="8" w:color="auto"/>
            </w:tcBorders>
          </w:tcPr>
          <w:p>
            <w:pPr>
              <w:jc w:val="right"/>
              <w:ind w:right="105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88"/>
              </w:rPr>
              <w:t>504.6</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343.5</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161.1</w:t>
            </w:r>
          </w:p>
        </w:tc>
        <w:tc>
          <w:tcPr>
            <w:tcW w:w="204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 (%):</w:t>
            </w: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59.0 %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61.6 %</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74.6 %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77.3 %</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Total gross margin decreased by 2.7 percentage points during the six months ended June 30, 2022 compared to the same period last year, driven by the consolidation of Alaxala, costs increases and a change in revenue mix to lower margin product revenue from higher margin service revenue. Revenue mix shifted by 3.2 percentage points from service revenue to product revenue, as a percentage of total revenue. Total gross margin also reflected a decline in product gross margin and services gross margin.</w:t>
      </w:r>
    </w:p>
    <w:p>
      <w:pPr>
        <w:spacing w:after="0" w:line="202" w:lineRule="exact"/>
        <w:rPr>
          <w:sz w:val="20"/>
          <w:szCs w:val="20"/>
          <w:color w:val="auto"/>
        </w:rPr>
      </w:pPr>
    </w:p>
    <w:p>
      <w:pPr>
        <w:ind w:right="220" w:firstLine="648"/>
        <w:spacing w:after="0" w:line="246" w:lineRule="auto"/>
        <w:rPr>
          <w:sz w:val="20"/>
          <w:szCs w:val="20"/>
          <w:color w:val="auto"/>
        </w:rPr>
      </w:pPr>
      <w:r>
        <w:rPr>
          <w:rFonts w:ascii="Arial" w:cs="Arial" w:eastAsia="Arial" w:hAnsi="Arial"/>
          <w:sz w:val="17"/>
          <w:szCs w:val="17"/>
          <w:color w:val="auto"/>
        </w:rPr>
        <w:t>Product gross margin decreased by 2.6 percentage points during the six months ended June 30, 2022 compared to the same period last year. The decrease in product margin is driven by higher expedite fees, freight fees and other product costs due to supply chain constraints and the consolidation of Alaxala, partially offset by higher average selling prices and a mix shift to higher margin high end appliances. Cost of product revenue was comprised primarily of third-party contract manufacturers’ costs and the costs of materials used in production.</w:t>
      </w:r>
    </w:p>
    <w:p>
      <w:pPr>
        <w:spacing w:after="0" w:line="21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Service gross margin decreased by 1.5 percentage points during the six months ended June 30, 2022 compared to the same period last year. Cost of service revenue was comprised primarily of personnel and data center costs. The decrease in service gross margin was primarily impacted by our consolidation of Alaxala and our data center expansion.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380"/>
              <w:spacing w:after="0"/>
              <w:rPr>
                <w:sz w:val="20"/>
                <w:szCs w:val="20"/>
                <w:color w:val="auto"/>
              </w:rPr>
            </w:pPr>
            <w:r>
              <w:rPr>
                <w:rFonts w:ascii="Arial" w:cs="Arial" w:eastAsia="Arial" w:hAnsi="Arial"/>
                <w:sz w:val="16"/>
                <w:szCs w:val="16"/>
                <w:b w:val="1"/>
                <w:bCs w:val="1"/>
                <w:color w:val="auto"/>
              </w:rPr>
              <w:t>Six Months Ended</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6"/>
                <w:szCs w:val="16"/>
                <w:b w:val="1"/>
                <w:bCs w:val="1"/>
                <w:color w:val="auto"/>
                <w:w w:val="95"/>
              </w:rPr>
              <w:t>2021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144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0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22 %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w:t>
            </w:r>
          </w:p>
        </w:tc>
        <w:tc>
          <w:tcPr>
            <w:tcW w:w="1420" w:type="dxa"/>
            <w:vAlign w:val="bottom"/>
          </w:tcPr>
          <w:p>
            <w:pPr>
              <w:ind w:left="10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IP matter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26 %</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Percentages have been rounded for presentation purposes and may differ from unrounded results.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39"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Research and development expense increased by $45.4 million, or 22%, during the six months ended June 30, 2022 compared to the same period last year, primarily due to an increase of $32.0 million in personnel-related costs as a result of increased headcount to support the development of new products and continued enhancements to our existing products. In addition, we incurred increases in depreciation and other occupancy costs of</w:t>
      </w:r>
    </w:p>
    <w:p>
      <w:pPr>
        <w:spacing w:after="0" w:line="1" w:lineRule="exact"/>
        <w:rPr>
          <w:sz w:val="20"/>
          <w:szCs w:val="20"/>
          <w:color w:val="auto"/>
        </w:rPr>
      </w:pPr>
    </w:p>
    <w:p>
      <w:pPr>
        <w:ind w:right="220"/>
        <w:spacing w:after="0" w:line="233" w:lineRule="auto"/>
        <w:rPr>
          <w:sz w:val="20"/>
          <w:szCs w:val="20"/>
          <w:color w:val="auto"/>
        </w:rPr>
      </w:pPr>
      <w:r>
        <w:rPr>
          <w:rFonts w:ascii="Arial" w:cs="Arial" w:eastAsia="Arial" w:hAnsi="Arial"/>
          <w:sz w:val="18"/>
          <w:szCs w:val="18"/>
          <w:color w:val="auto"/>
        </w:rPr>
        <w:t>$13.3 million. We currently intend to continue to invest in our research and development organization, and expect research and development expense to increase sequentially in absolute dollars during the remainder of 2022.</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39" w:lineRule="exact"/>
        <w:rPr>
          <w:sz w:val="20"/>
          <w:szCs w:val="20"/>
          <w:color w:val="auto"/>
        </w:rPr>
      </w:pPr>
    </w:p>
    <w:p>
      <w:pPr>
        <w:ind w:right="160" w:firstLine="648"/>
        <w:spacing w:after="0" w:line="227" w:lineRule="auto"/>
        <w:rPr>
          <w:sz w:val="20"/>
          <w:szCs w:val="20"/>
          <w:color w:val="auto"/>
        </w:rPr>
      </w:pPr>
      <w:r>
        <w:rPr>
          <w:rFonts w:ascii="Arial" w:cs="Arial" w:eastAsia="Arial" w:hAnsi="Arial"/>
          <w:sz w:val="18"/>
          <w:szCs w:val="18"/>
          <w:color w:val="auto"/>
        </w:rPr>
        <w:t>Sales and marketing expense increased by $172.2 million, or 27%, during the six months ended June 30, 2022 compared to the same period last year, primarily due to an increase of $106.3 million in personnel-related costs as a result of increases to sales and marketing headcount in order to drive global market revenue increases. In addition, marketing-related expense increased by $24.3 million, travel expense increased by $18.1 million and depreciation expense and other occupancy-related expense increased by $9.2 million. We currently intend to continue to make investments in sales and marketing resources, which are critical to support our future growth, and expect sales and marketing expense to increase sequentially in absolute dollars during the remainder of 2022.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General and administrative expense increased by $17.6 million, or 27%, during the six months ended June 30, 2022 compared to the same period last year, primarily due to an increase of $8.5 million in personnel-related costs, an increase of $3.0 million in provision for expected credit losses, an increase of $1.9 million in depreciation and other occupancy costs, an increase of $1.2 million in postage and freight expense and an increase of</w:t>
      </w:r>
    </w:p>
    <w:p>
      <w:pPr>
        <w:spacing w:after="0" w:line="1"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$1.0 million in supplies expense. We currently expect general and administrative expense to increase sequentially in absolute dollars during the remainder of 2022.</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generated operating income of $346.3 million during the six months ended June 30, 2022, an increase of $77.2 million, or 29%, compared to $269.1 million in the same period last year. Operating income as a percentage of revenue decreased to 17% during the six months ended June 30, 2022 compared to 18% in the same period last year. The decrease in our operating margin was primarily due to a 2.7 percentage points decrease in gross margin, partially offset by 1.2 percentage point, 0.9 percentage point and 0.2 percentage point decreases in sales and marketing expense, research and development expense and general and administrative expense as percentage of revenue, respectively.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Six Months Ended</w:t>
            </w:r>
          </w:p>
        </w:tc>
        <w:tc>
          <w:tcPr>
            <w:tcW w:w="12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jc w:val="center"/>
              <w:ind w:right="515"/>
              <w:spacing w:after="0"/>
              <w:rPr>
                <w:sz w:val="20"/>
                <w:szCs w:val="20"/>
                <w:color w:val="auto"/>
              </w:rPr>
            </w:pPr>
            <w:r>
              <w:rPr>
                <w:rFonts w:ascii="Arial" w:cs="Arial" w:eastAsia="Arial" w:hAnsi="Arial"/>
                <w:sz w:val="16"/>
                <w:szCs w:val="16"/>
                <w:b w:val="1"/>
                <w:bCs w:val="1"/>
                <w:color w:val="auto"/>
                <w:w w:val="87"/>
              </w:rPr>
              <w:t>June 30,</w:t>
            </w:r>
          </w:p>
        </w:tc>
        <w:tc>
          <w:tcPr>
            <w:tcW w:w="460" w:type="dxa"/>
            <w:vAlign w:val="bottom"/>
          </w:tcPr>
          <w:p>
            <w:pPr>
              <w:spacing w:after="0"/>
              <w:rPr>
                <w:sz w:val="16"/>
                <w:szCs w:val="16"/>
                <w:color w:val="auto"/>
              </w:rPr>
            </w:pPr>
          </w:p>
        </w:tc>
        <w:tc>
          <w:tcPr>
            <w:tcW w:w="1780" w:type="dxa"/>
            <w:vAlign w:val="bottom"/>
            <w:vMerge w:val="restart"/>
          </w:tcPr>
          <w:p>
            <w:pPr>
              <w:jc w:val="right"/>
              <w:ind w:right="892"/>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40" w:type="dxa"/>
            <w:vAlign w:val="bottom"/>
            <w:gridSpan w:val="3"/>
          </w:tcPr>
          <w:p>
            <w:pPr>
              <w:jc w:val="right"/>
              <w:ind w:right="912"/>
              <w:spacing w:after="0"/>
              <w:rPr>
                <w:sz w:val="20"/>
                <w:szCs w:val="20"/>
                <w:color w:val="auto"/>
              </w:rPr>
            </w:pPr>
            <w:r>
              <w:rPr>
                <w:rFonts w:ascii="Arial" w:cs="Arial" w:eastAsia="Arial" w:hAnsi="Arial"/>
                <w:sz w:val="16"/>
                <w:szCs w:val="16"/>
                <w:b w:val="1"/>
                <w:bCs w:val="1"/>
                <w:color w:val="auto"/>
                <w:w w:val="97"/>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735"/>
              <w:spacing w:after="0"/>
              <w:rPr>
                <w:sz w:val="20"/>
                <w:szCs w:val="20"/>
                <w:color w:val="auto"/>
              </w:rPr>
            </w:pPr>
            <w:r>
              <w:rPr>
                <w:rFonts w:ascii="Arial" w:cs="Arial" w:eastAsia="Arial" w:hAnsi="Arial"/>
                <w:sz w:val="18"/>
                <w:szCs w:val="18"/>
                <w:color w:val="auto"/>
                <w:w w:val="87"/>
              </w:rPr>
              <w:t>2.3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80" w:type="dxa"/>
            <w:vAlign w:val="bottom"/>
          </w:tcPr>
          <w:p>
            <w:pPr>
              <w:jc w:val="right"/>
              <w:ind w:right="99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left="695"/>
              <w:spacing w:after="0"/>
              <w:rPr>
                <w:sz w:val="20"/>
                <w:szCs w:val="20"/>
                <w:color w:val="auto"/>
              </w:rPr>
            </w:pPr>
            <w:r>
              <w:rPr>
                <w:rFonts w:ascii="Arial" w:cs="Arial" w:eastAsia="Arial" w:hAnsi="Arial"/>
                <w:sz w:val="18"/>
                <w:szCs w:val="18"/>
                <w:color w:val="auto"/>
                <w:w w:val="91"/>
              </w:rPr>
              <w:t>(5.8)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170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91"/>
              </w:rPr>
              <w:t>(1.2)</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(17.2)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1,433 %</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Interest income increased by $1.4 million during the six months ended June 30, 2022 compared to the same period last year, primarily as a result of higher interest rates. Interest income varies depending on our average investment balances during the period, types and mix of investments, and market interest rates. Interest expense increased by $3.2 million during the six months ended June 30, 2022 compared to the same period last year, primarily due to the senior notes issued in the first quarter of 2021. The other expense—net increased by $17.2 million during the six months ended June 30, 2022 compared to the same period last year due to a $15.1 million increase of loss on marketable equity securities and a $4.0 million increase of foreign currency exchange loss, partially offset by net rental income of $2.0 million from real estate.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577"/>
              <w:spacing w:after="0"/>
              <w:rPr>
                <w:sz w:val="20"/>
                <w:szCs w:val="20"/>
                <w:color w:val="auto"/>
              </w:rPr>
            </w:pPr>
            <w:r>
              <w:rPr>
                <w:rFonts w:ascii="Arial" w:cs="Arial" w:eastAsia="Arial" w:hAnsi="Arial"/>
                <w:sz w:val="16"/>
                <w:szCs w:val="16"/>
                <w:b w:val="1"/>
                <w:bCs w:val="1"/>
                <w:color w:val="auto"/>
                <w:w w:val="92"/>
              </w:rPr>
              <w:t>Six Months Ended</w:t>
            </w:r>
          </w:p>
        </w:tc>
        <w:tc>
          <w:tcPr>
            <w:tcW w:w="600" w:type="dxa"/>
            <w:vAlign w:val="bottom"/>
            <w:tcBorders>
              <w:bottom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1240" w:type="dxa"/>
            <w:vAlign w:val="bottom"/>
          </w:tcPr>
          <w:p>
            <w:pPr>
              <w:jc w:val="center"/>
              <w:ind w:left="496"/>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Pr>
          <w:p>
            <w:pPr>
              <w:spacing w:after="0"/>
              <w:rPr>
                <w:sz w:val="16"/>
                <w:szCs w:val="16"/>
                <w:color w:val="auto"/>
              </w:rPr>
            </w:pPr>
          </w:p>
        </w:tc>
        <w:tc>
          <w:tcPr>
            <w:tcW w:w="1320" w:type="dxa"/>
            <w:vAlign w:val="bottom"/>
          </w:tcPr>
          <w:p>
            <w:pPr>
              <w:ind w:left="700"/>
              <w:spacing w:after="0"/>
              <w:rPr>
                <w:sz w:val="20"/>
                <w:szCs w:val="20"/>
                <w:color w:val="auto"/>
              </w:rPr>
            </w:pPr>
            <w:r>
              <w:rPr>
                <w:rFonts w:ascii="Arial" w:cs="Arial" w:eastAsia="Arial" w:hAnsi="Arial"/>
                <w:sz w:val="16"/>
                <w:szCs w:val="16"/>
                <w:b w:val="1"/>
                <w:bCs w:val="1"/>
                <w:color w:val="auto"/>
                <w:w w:val="93"/>
              </w:rPr>
              <w:t>June 30,</w:t>
            </w:r>
          </w:p>
        </w:tc>
        <w:tc>
          <w:tcPr>
            <w:tcW w:w="6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Change</w:t>
            </w:r>
          </w:p>
        </w:tc>
        <w:tc>
          <w:tcPr>
            <w:tcW w:w="860" w:type="dxa"/>
            <w:vAlign w:val="bottom"/>
          </w:tcPr>
          <w:p>
            <w:pPr>
              <w:spacing w:after="0"/>
              <w:rPr>
                <w:sz w:val="16"/>
                <w:szCs w:val="16"/>
                <w:color w:val="auto"/>
              </w:rPr>
            </w:pPr>
          </w:p>
        </w:tc>
        <w:tc>
          <w:tcPr>
            <w:tcW w:w="1680" w:type="dxa"/>
            <w:vAlign w:val="bottom"/>
            <w:vMerge w:val="restart"/>
          </w:tcPr>
          <w:p>
            <w:pPr>
              <w:jc w:val="right"/>
              <w:ind w:right="49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0" w:type="dxa"/>
            <w:vAlign w:val="bottom"/>
            <w:gridSpan w:val="3"/>
          </w:tcPr>
          <w:p>
            <w:pPr>
              <w:ind w:left="820"/>
              <w:spacing w:after="0"/>
              <w:rPr>
                <w:sz w:val="20"/>
                <w:szCs w:val="20"/>
                <w:color w:val="auto"/>
              </w:rPr>
            </w:pPr>
            <w:r>
              <w:rPr>
                <w:rFonts w:ascii="Arial" w:cs="Arial" w:eastAsia="Arial" w:hAnsi="Arial"/>
                <w:sz w:val="16"/>
                <w:szCs w:val="16"/>
                <w:b w:val="1"/>
                <w:bCs w:val="1"/>
                <w:color w:val="auto"/>
                <w:w w:val="95"/>
              </w:rPr>
              <w:t>(in millions, except percentages)</w:t>
            </w:r>
          </w:p>
        </w:tc>
        <w:tc>
          <w:tcPr>
            <w:tcW w:w="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(5.7)</w:t>
            </w:r>
          </w:p>
        </w:tc>
        <w:tc>
          <w:tcPr>
            <w:tcW w:w="132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w:t>
            </w:r>
          </w:p>
        </w:tc>
        <w:tc>
          <w:tcPr>
            <w:tcW w:w="128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7 %</w:t>
            </w: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Our effective tax rate was negative 2% for the six months ended June 30, 2022 compared to an effective tax rate of 7% for the same period last year. The provision for income taxes for the six months ended June 30, 2022 was primarily comprised of U.S. federal and state taxes, withholding taxes and foreign taxes that were $93.3 million. This tax provision for income taxes was favorably affected by a tax benefit of $33.3 million from the FDII deduction, excess tax benefits from stock-based compensation expense of $49.5 million and release of reserves of $16.2 million on uncertain tax positions and the accrued interest thereon due to the expiration of the statute of limitations.</w:t>
      </w:r>
    </w:p>
    <w:p>
      <w:pPr>
        <w:spacing w:after="0" w:line="205" w:lineRule="exact"/>
        <w:rPr>
          <w:sz w:val="20"/>
          <w:szCs w:val="20"/>
          <w:color w:val="auto"/>
        </w:rPr>
      </w:pPr>
    </w:p>
    <w:p>
      <w:pPr>
        <w:ind w:right="300" w:firstLine="648"/>
        <w:spacing w:after="0" w:line="231" w:lineRule="auto"/>
        <w:rPr>
          <w:sz w:val="20"/>
          <w:szCs w:val="20"/>
          <w:color w:val="auto"/>
        </w:rPr>
      </w:pPr>
      <w:r>
        <w:rPr>
          <w:rFonts w:ascii="Arial" w:cs="Arial" w:eastAsia="Arial" w:hAnsi="Arial"/>
          <w:sz w:val="18"/>
          <w:szCs w:val="18"/>
          <w:color w:val="auto"/>
        </w:rPr>
        <w:t>The provision for income taxes for the six months ended June 30, 2021 was comprised of U.S. federal and state taxes, withholding taxes, and foreign taxes that were $75.4 million, which were offset by a tax benefit of $15.2 million from the FDII deduction, excess tax benefits from stock-based compensation expense of $35.3 million and release of reserves of $5.2 million on uncertain tax positions and the accrued interest thereon due to the expiration of the statute of limitations.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934"/>
              <w:spacing w:after="0"/>
              <w:rPr>
                <w:sz w:val="20"/>
                <w:szCs w:val="20"/>
                <w:color w:val="auto"/>
              </w:rPr>
            </w:pPr>
            <w:r>
              <w:rPr>
                <w:rFonts w:ascii="Arial" w:cs="Arial" w:eastAsia="Arial" w:hAnsi="Arial"/>
                <w:sz w:val="16"/>
                <w:szCs w:val="16"/>
                <w:b w:val="1"/>
                <w:bCs w:val="1"/>
                <w:color w:val="auto"/>
                <w:w w:val="89"/>
              </w:rPr>
              <w:t>As of</w:t>
            </w:r>
          </w:p>
        </w:tc>
        <w:tc>
          <w:tcPr>
            <w:tcW w:w="1300" w:type="dxa"/>
            <w:vAlign w:val="bottom"/>
            <w:tcBorders>
              <w:bottom w:val="single" w:sz="8" w:color="auto"/>
            </w:tcBorders>
          </w:tcPr>
          <w:p>
            <w:pPr>
              <w:spacing w:after="0"/>
              <w:rPr>
                <w:sz w:val="18"/>
                <w:szCs w:val="18"/>
                <w:color w:val="auto"/>
              </w:rPr>
            </w:pPr>
          </w:p>
        </w:tc>
      </w:tr>
      <w:tr>
        <w:trPr>
          <w:trHeight w:val="159"/>
        </w:trPr>
        <w:tc>
          <w:tcPr>
            <w:tcW w:w="8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90"/>
              </w:rPr>
              <w:t>June 30,</w:t>
            </w:r>
          </w:p>
        </w:tc>
        <w:tc>
          <w:tcPr>
            <w:tcW w:w="220" w:type="dxa"/>
            <w:vAlign w:val="bottom"/>
          </w:tcPr>
          <w:p>
            <w:pPr>
              <w:spacing w:after="0"/>
              <w:rPr>
                <w:sz w:val="13"/>
                <w:szCs w:val="13"/>
                <w:color w:val="auto"/>
              </w:rPr>
            </w:pPr>
          </w:p>
        </w:tc>
        <w:tc>
          <w:tcPr>
            <w:tcW w:w="1300" w:type="dxa"/>
            <w:vAlign w:val="bottom"/>
          </w:tcPr>
          <w:p>
            <w:pPr>
              <w:jc w:val="center"/>
              <w:ind w:right="113"/>
              <w:spacing w:after="0" w:line="158" w:lineRule="exact"/>
              <w:rPr>
                <w:sz w:val="20"/>
                <w:szCs w:val="20"/>
                <w:color w:val="auto"/>
              </w:rPr>
            </w:pPr>
            <w:r>
              <w:rPr>
                <w:rFonts w:ascii="Arial" w:cs="Arial" w:eastAsia="Arial" w:hAnsi="Arial"/>
                <w:sz w:val="16"/>
                <w:szCs w:val="16"/>
                <w:b w:val="1"/>
                <w:bCs w:val="1"/>
                <w:color w:val="auto"/>
                <w:w w:val="90"/>
              </w:rPr>
              <w:t>December 31,</w:t>
            </w:r>
          </w:p>
        </w:tc>
      </w:tr>
      <w:tr>
        <w:trPr>
          <w:trHeight w:val="213"/>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14"/>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2021</w:t>
            </w:r>
          </w:p>
        </w:tc>
      </w:tr>
      <w:tr>
        <w:trPr>
          <w:trHeight w:val="209"/>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center"/>
              <w:ind w:right="21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1,319.1</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Short-term and long-term investments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1,634.8</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cash, cash equivalents, investments and marketable equity securities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7"/>
        </w:trPr>
        <w:tc>
          <w:tcPr>
            <w:tcW w:w="8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6"/>
                <w:szCs w:val="16"/>
                <w:b w:val="1"/>
                <w:bCs w:val="1"/>
                <w:color w:val="auto"/>
                <w:w w:val="92"/>
              </w:rPr>
              <w:t>Six Months Ended</w:t>
            </w:r>
          </w:p>
        </w:tc>
      </w:tr>
      <w:tr>
        <w:trPr>
          <w:trHeight w:val="158"/>
        </w:trPr>
        <w:tc>
          <w:tcPr>
            <w:tcW w:w="8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90"/>
              </w:rPr>
              <w:t>June 30,</w:t>
            </w:r>
          </w:p>
        </w:tc>
        <w:tc>
          <w:tcPr>
            <w:tcW w:w="220" w:type="dxa"/>
            <w:vAlign w:val="bottom"/>
          </w:tcPr>
          <w:p>
            <w:pPr>
              <w:spacing w:after="0"/>
              <w:rPr>
                <w:sz w:val="13"/>
                <w:szCs w:val="13"/>
                <w:color w:val="auto"/>
              </w:rPr>
            </w:pPr>
          </w:p>
        </w:tc>
        <w:tc>
          <w:tcPr>
            <w:tcW w:w="1300" w:type="dxa"/>
            <w:vAlign w:val="bottom"/>
          </w:tcPr>
          <w:p>
            <w:pPr>
              <w:jc w:val="center"/>
              <w:ind w:right="113"/>
              <w:spacing w:after="0" w:line="158" w:lineRule="exact"/>
              <w:rPr>
                <w:sz w:val="20"/>
                <w:szCs w:val="20"/>
                <w:color w:val="auto"/>
              </w:rPr>
            </w:pPr>
            <w:r>
              <w:rPr>
                <w:rFonts w:ascii="Arial" w:cs="Arial" w:eastAsia="Arial" w:hAnsi="Arial"/>
                <w:sz w:val="16"/>
                <w:szCs w:val="16"/>
                <w:b w:val="1"/>
                <w:bCs w:val="1"/>
                <w:color w:val="auto"/>
                <w:w w:val="90"/>
              </w:rPr>
              <w:t>June 30,</w:t>
            </w:r>
          </w:p>
        </w:tc>
      </w:tr>
      <w:tr>
        <w:trPr>
          <w:trHeight w:val="213"/>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14"/>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2021</w:t>
            </w:r>
          </w:p>
        </w:tc>
      </w:tr>
      <w:tr>
        <w:trPr>
          <w:trHeight w:val="210"/>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center"/>
              <w:ind w:right="21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40" w:firstLine="648"/>
        <w:spacing w:after="0" w:line="276" w:lineRule="auto"/>
        <w:rPr>
          <w:sz w:val="20"/>
          <w:szCs w:val="20"/>
          <w:color w:val="auto"/>
        </w:rPr>
      </w:pPr>
      <w:r>
        <w:rPr>
          <w:rFonts w:ascii="Arial" w:cs="Arial" w:eastAsia="Arial" w:hAnsi="Arial"/>
          <w:sz w:val="16"/>
          <w:szCs w:val="16"/>
          <w:color w:val="auto"/>
        </w:rPr>
        <w:t>Liquidity and capital resources may be impacted by our operating activities, as well as by our stock repurchases, proceeds from the issuance of common stock, investment grade debt issuance and payment of taxes in connection with the net settlement of equity awards, real estate and other capital expenditures, business acquisitions and the timing of inventory deliveries and the related shipments to customers and completeness of such shipments.</w:t>
      </w:r>
    </w:p>
    <w:p>
      <w:pPr>
        <w:spacing w:after="0" w:line="175"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market or industry changes, macroeconomic events such as the COVID-19 pandemic, supply chain capacity and disruptions, international conflicts, including the war in Ukraine, and our ability to execute. We expect proceeds from the exercise of stock options in future years to be impacted by the increased mix of restricted stock units versus stock options granted to our employees and to vary based on our share price.</w:t>
      </w:r>
    </w:p>
    <w:p>
      <w:pPr>
        <w:spacing w:after="0" w:line="21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October 2021, our board of directors authorized a $1.25 billion increase in the authorized stock repurchase under the Repurchase Program and extended the term of the Repurchase Program to February 28, 2023, bringing the aggregate amount of authorized to be repurchased to $4.25 billion of our outstanding common stock through February 28, 2023. During the six months ended June 30, 2022, we repurchased 25.8 million shares of common stock under the Repurchase Program for an aggregate purchase price of $1.49 billion. As of June 30, 2022, $29.6 million remained available for future share repurchases under the Repurchase Program. Refer to Note 16. Subsequent Events in Part I, Item1 of this Quarterly Report on Form 10-Q for information of the approved $1.0 billion increase in the authorized stock repurchase under the Repurchase Program in July 2022.</w:t>
      </w:r>
    </w:p>
    <w:p>
      <w:pPr>
        <w:spacing w:after="0" w:line="191"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March 2021, we issued $1.0 billion aggregate principal amount of senior notes, consisting of $500.0 million aggregate principal amount of 1.0% notes due March 15, 2026 and $500.0 million aggregate principal amount of 2.2% notes due March 15, 2031, in an underwritten registered public offering.</w:t>
      </w:r>
    </w:p>
    <w:p>
      <w:pPr>
        <w:spacing w:after="0" w:line="21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expect to continue to increase our office and warehouse capacity to support growth. As we purchase new properties, we will work to incorporate these properties into the environmental goals we have established. We estimate capital expenditures to be between approximately $140 million and $170 million for the second half of 2022.</w:t>
      </w:r>
    </w:p>
    <w:p>
      <w:pPr>
        <w:spacing w:after="0" w:line="21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believe that our cash provided by operating activities, together with our existing cash, cash equivalents and investments will be sufficient to meet our anticipated cash needs and do not currently intend to retire these Notes early. Refer to Note 10. Debt in Part I, Item 1 of this Quarterly Report on Form 10-Q for information on the Notes. As of June 30, 2022, the long-term debt, net of unamortized discount and debt issuance costs, was $989.4 million.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40" w:firstLine="648"/>
        <w:spacing w:after="0" w:line="238" w:lineRule="auto"/>
        <w:rPr>
          <w:sz w:val="20"/>
          <w:szCs w:val="20"/>
          <w:color w:val="auto"/>
        </w:rPr>
      </w:pPr>
      <w:r>
        <w:rPr>
          <w:rFonts w:ascii="Arial" w:cs="Arial" w:eastAsia="Arial" w:hAnsi="Arial"/>
          <w:sz w:val="17"/>
          <w:szCs w:val="17"/>
          <w:color w:val="auto"/>
        </w:rPr>
        <w:t>We enter into non-cancellable agreements with contract manufacturers and certain component suppliers to procure inventory based on our requirements in order to negotiate manufacturing lead times and encourage and incentivize vendors to deliver components and finished goods. These purchase commitments as of June 30, 2022 totaled $1.49 billion, an increase of $0.35 billion compared to $1.14 billion as of December 31, 2021 as we increased our commitments in order to address significant supply constraints seen industry-wide due to component shortages caused, in part, by the COVID-19 pandemic, and for which the duration of such constraints is uncertain. Our agreements secured supply and pricing for certain product components and commitments with contract manufacturers to meet customer demand and to address extended lead times. We also have open purchase orders and contractual obligations in the ordinary course of business for which we have not received goods or services. As of June 30, 2022, we had $117.1 million in other contractual commitments having a remaining term in excess of one year that are non-cancelable.</w:t>
      </w:r>
    </w:p>
    <w:p>
      <w:pPr>
        <w:spacing w:after="0" w:line="204"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There have been no significant changes to our leases as disclosed in our Annual Report on Form 10-K for the year ended December 31, 2021 other than as of June 30, 2022 we had additional minimum lease payments of $38.9 million relating to operating leases that had been signed but had not yet commenced. These leases will commence during the second half of 2022 and will have lease terms of approximately one to six years.</w:t>
      </w:r>
    </w:p>
    <w:p>
      <w:pPr>
        <w:spacing w:after="0" w:line="18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As of June 30, 2022, our cash, cash equivalents, short-term and long-term investments and marketable equity securities of $1.94 billion were invested primarily in deposit accounts, money market funds, corporate debt securities, commercial paper, certificates of deposit and term deposits, U.S. government and agency securities, municipal bonds and marketable equity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21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amount of cash, cash equivalents and investments held by our international subsidiaries was $150.8 million as of June 30, 2022 and $132.4 million as of December 31, 2021.</w:t>
      </w:r>
    </w:p>
    <w:p>
      <w:pPr>
        <w:spacing w:after="0" w:line="19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the expansion of sales and marketing activities, the introduction of new and enhanced products and services offerings, the continuing market acceptance of our products, the timing and extent of spending to support development efforts, our investments in purchasing or leasing real estate and macroeconomic impacts such as the COVID-19 pandemic.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As of June 30, 2022,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amortization of deferred contract costs and depreciation and amortization. Changes in operating assets and liabilities consist primarily of changes in deferred revenue, deferred contract costs, deferred tax assets and accounts receivable, net.</w:t>
      </w:r>
    </w:p>
    <w:p>
      <w:pPr>
        <w:spacing w:after="0" w:line="215"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Our operating activities during the six months ended June 30, 2022 provided cash flows of $719.5 million as a result of the continued growth of our business and our ability to successfully manage our working capital. Changes in operating assets and liabilities primarily resulted from an increase in sales of our FortiGuard and other security subscription services and FortiCare technical support services to new and existing customers, as reflected by an increase of $480.6 million in our deferred revenue during the six months ended June 30,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 Historically, in making a lease versus ownership decision related to our larger facilities, we have considered various factors including financial metrics and the impact on our engineers and other employees. In certain cases, we have elected to own a facility if we believed that ownership rather than leasing is more closely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aligned with our long-term strategy. We expect to make similar decisions in the future. We may also make cash payments in connection with future business combinations.</w:t>
      </w:r>
    </w:p>
    <w:p>
      <w:pPr>
        <w:spacing w:after="0" w:line="197"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During the six months ended June 30, 2022, cash provided by investing activities was $248.7 million, driven by $411.2 million in cash proceeds from maturities and sales of investments, net of purchases of investments and $162.5 million of purchases of property and equipment.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taxes paid related to net share settlement of equity awards, net of proceeds from the issuance of common stock under the Amended and Restated Fortinet, Inc. 2009 Equity Incentive Plan and the issuance of long-term notes, net of discount and underwriting.</w:t>
      </w:r>
    </w:p>
    <w:p>
      <w:pPr>
        <w:spacing w:after="0" w:line="211"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During the six months ended June 30, 2022, cash used in financing activities was $1.58 billion, primarily driven by $1.49 billion used to repurchase shares of our common stock and $84.0 million used to pay tax withholding, net of proceeds from the issuance of common stock.</w:t>
      </w:r>
    </w:p>
    <w:p>
      <w:pPr>
        <w:spacing w:after="0" w:line="14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six months ended June 30, 2022 compared to the disclosures in Part II, Item 7A of the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June 30, 2022.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9" w:lineRule="exact"/>
        <w:rPr>
          <w:sz w:val="20"/>
          <w:szCs w:val="20"/>
          <w:color w:val="auto"/>
        </w:rPr>
      </w:pPr>
    </w:p>
    <w:p>
      <w:pPr>
        <w:ind w:right="440" w:firstLine="648"/>
        <w:spacing w:after="0" w:line="257" w:lineRule="auto"/>
        <w:rPr>
          <w:sz w:val="20"/>
          <w:szCs w:val="20"/>
          <w:color w:val="auto"/>
        </w:rPr>
      </w:pPr>
      <w:r>
        <w:rPr>
          <w:rFonts w:ascii="Arial" w:cs="Arial" w:eastAsia="Arial" w:hAnsi="Arial"/>
          <w:sz w:val="18"/>
          <w:szCs w:val="18"/>
          <w:color w:val="auto"/>
        </w:rPr>
        <w:t xml:space="preserve">Based on that evaluation, our chief executive officer and chief financial officer concluded that our disclosure controls and procedures were effective as of June 30, 2022 to provide reasonable assurance that information we are required to disclose in reports that we file or submit under the Exchange Act is recorded, processed, summarized and reported within the time periods specified in </w:t>
      </w:r>
      <w:r>
        <w:rPr>
          <w:rFonts w:ascii="Arial" w:cs="Arial" w:eastAsia="Arial" w:hAnsi="Arial"/>
          <w:sz w:val="18"/>
          <w:szCs w:val="18"/>
          <w:i w:val="1"/>
          <w:iCs w:val="1"/>
          <w:color w:val="auto"/>
        </w:rPr>
        <w:t>SEC</w:t>
      </w:r>
      <w:r>
        <w:rPr>
          <w:rFonts w:ascii="Arial" w:cs="Arial" w:eastAsia="Arial" w:hAnsi="Arial"/>
          <w:sz w:val="18"/>
          <w:szCs w:val="18"/>
          <w:color w:val="auto"/>
        </w:rPr>
        <w:t xml:space="preserve"> rules and forms, and that such information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color w:val="auto"/>
        </w:rPr>
        <w:t>There were no changes in our internal controls over financial reporting (as defined in Rules 13a-15(f) or 15d-15(f) under the Exchange Act) during the quarter ended June 30, 2022,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25" w:lineRule="exact"/>
        <w:rPr>
          <w:rFonts w:ascii="Arial" w:cs="Arial" w:eastAsia="Arial" w:hAnsi="Arial"/>
          <w:sz w:val="18"/>
          <w:szCs w:val="18"/>
          <w:color w:val="auto"/>
        </w:rPr>
      </w:pPr>
    </w:p>
    <w:p>
      <w:pPr>
        <w:ind w:left="1300" w:right="280" w:hanging="644"/>
        <w:spacing w:after="0" w:line="235"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conditions, including macro-economic and regional economic challenges resulting, for example, from a recession or other economic downturn, increased inflation or possible stagflation in certain geographies, the war in Ukraine, the COVID-19 pandemic or other factors;</w:t>
      </w:r>
    </w:p>
    <w:p>
      <w:pPr>
        <w:spacing w:after="0" w:line="201" w:lineRule="exact"/>
        <w:rPr>
          <w:rFonts w:ascii="Arial" w:cs="Arial" w:eastAsia="Arial" w:hAnsi="Arial"/>
          <w:sz w:val="18"/>
          <w:szCs w:val="18"/>
          <w:color w:val="auto"/>
        </w:rPr>
      </w:pPr>
    </w:p>
    <w:p>
      <w:pPr>
        <w:jc w:val="both"/>
        <w:ind w:left="1300" w:right="60" w:hanging="644"/>
        <w:spacing w:after="0" w:line="231"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component shortages, including chips and other components, and product inventory shortages, including those caused by factors outside of our control, such as the COVID-19 pandemic, supply chain disruptions, inflation and other cost increases, international trade disputes or tariffs, natural disasters, health emergencies, power outages, civil unrest, labor disruption, international conflicts, terrorism, wars, such as the war in Ukraine, and critical infrastructure attacks;</w:t>
      </w:r>
    </w:p>
    <w:p>
      <w:pPr>
        <w:spacing w:after="0" w:line="21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160" w:hanging="644"/>
        <w:spacing w:after="0" w:line="246"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 increase backlog and may be impacted by the COVID-19 pandemic and supply chain constraints in ways that we are not able to foresee;</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supplier cost increases and any lack of market acceptance of our price increases designed to help offset any supplier cost increases;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our suspension of operations in Russia;</w:t>
      </w:r>
    </w:p>
    <w:p>
      <w:pPr>
        <w:spacing w:after="0" w:line="177" w:lineRule="exact"/>
        <w:rPr>
          <w:rFonts w:ascii="Arial" w:cs="Arial" w:eastAsia="Arial" w:hAnsi="Arial"/>
          <w:sz w:val="18"/>
          <w:szCs w:val="18"/>
          <w:color w:val="auto"/>
        </w:rPr>
      </w:pPr>
    </w:p>
    <w:p>
      <w:pPr>
        <w:ind w:left="1300" w:right="180" w:hanging="644"/>
        <w:spacing w:after="0" w:line="245"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channel partner and end-customer orders</w:t>
      </w:r>
      <w:r>
        <w:rPr>
          <w:rFonts w:ascii="Arial" w:cs="Arial" w:eastAsia="Arial" w:hAnsi="Arial"/>
          <w:sz w:val="21"/>
          <w:szCs w:val="21"/>
          <w:color w:val="auto"/>
        </w:rPr>
        <w:t>,</w:t>
      </w:r>
      <w:r>
        <w:rPr>
          <w:rFonts w:ascii="Arial" w:cs="Arial" w:eastAsia="Arial" w:hAnsi="Arial"/>
          <w:sz w:val="18"/>
          <w:szCs w:val="18"/>
          <w:color w:val="auto"/>
        </w:rPr>
        <w:t xml:space="preserve"> market acceptance of our price increases, and our reliance on a concentration of shipments at the end of each quarter;</w:t>
      </w:r>
    </w:p>
    <w:p>
      <w:pPr>
        <w:spacing w:after="0" w:line="197" w:lineRule="exact"/>
        <w:rPr>
          <w:rFonts w:ascii="Arial" w:cs="Arial" w:eastAsia="Arial" w:hAnsi="Arial"/>
          <w:sz w:val="18"/>
          <w:szCs w:val="18"/>
          <w:color w:val="auto"/>
        </w:rPr>
      </w:pPr>
    </w:p>
    <w:p>
      <w:pPr>
        <w:ind w:left="1300" w:right="120" w:hanging="644"/>
        <w:spacing w:after="0" w:line="246"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to our business, the global economy, disruption of global supply chains and creation of significant volatility and disruption of the financial markets due to the COVID-19 pandemic, the war in Ukraine and other factors;</w:t>
      </w:r>
    </w:p>
    <w:p>
      <w:pPr>
        <w:spacing w:after="0" w:line="156" w:lineRule="exact"/>
        <w:rPr>
          <w:rFonts w:ascii="Arial" w:cs="Arial" w:eastAsia="Arial" w:hAnsi="Arial"/>
          <w:sz w:val="18"/>
          <w:szCs w:val="18"/>
          <w:color w:val="auto"/>
        </w:rPr>
      </w:pPr>
    </w:p>
    <w:p>
      <w:pPr>
        <w:ind w:left="1300" w:right="40" w:hanging="644"/>
        <w:spacing w:after="0" w:line="235"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300" w:right="20" w:hanging="644"/>
        <w:spacing w:after="0" w:line="248"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expenses, unforeseen liabilities or write-downs and any negative impact on results of operations from any acquisition or equity investment consummated, as well as accounting risks, integration risks related to product plans and products and risks of negative impact by such acquisitions and equity investments on our financial results;</w:t>
      </w:r>
    </w:p>
    <w:p>
      <w:pPr>
        <w:spacing w:after="0" w:line="195" w:lineRule="exact"/>
        <w:rPr>
          <w:rFonts w:ascii="Arial" w:cs="Arial" w:eastAsia="Arial" w:hAnsi="Arial"/>
          <w:sz w:val="18"/>
          <w:szCs w:val="18"/>
          <w:color w:val="auto"/>
        </w:rPr>
      </w:pPr>
    </w:p>
    <w:p>
      <w:pPr>
        <w:ind w:left="1300" w:right="400" w:hanging="644"/>
        <w:spacing w:after="0" w:line="307" w:lineRule="auto"/>
        <w:tabs>
          <w:tab w:leader="none" w:pos="12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mix of products sold, such as the mix between Core Platform and Platform Extension solutions, and the mix of revenue between products and services, as well as the degree to which products and services are bundled and sold together for a package price;</w:t>
      </w:r>
    </w:p>
    <w:p>
      <w:pPr>
        <w:spacing w:after="0" w:line="150" w:lineRule="exact"/>
        <w:rPr>
          <w:rFonts w:ascii="Arial" w:cs="Arial" w:eastAsia="Arial" w:hAnsi="Arial"/>
          <w:sz w:val="16"/>
          <w:szCs w:val="16"/>
          <w:color w:val="auto"/>
        </w:rPr>
      </w:pPr>
    </w:p>
    <w:p>
      <w:pPr>
        <w:ind w:left="1300" w:right="460" w:hanging="644"/>
        <w:spacing w:after="0" w:line="246"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lifecycles or refresh cycles;</w:t>
      </w:r>
    </w:p>
    <w:p>
      <w:pPr>
        <w:spacing w:after="0" w:line="196" w:lineRule="exact"/>
        <w:rPr>
          <w:rFonts w:ascii="Arial" w:cs="Arial" w:eastAsia="Arial" w:hAnsi="Arial"/>
          <w:sz w:val="18"/>
          <w:szCs w:val="18"/>
          <w:color w:val="auto"/>
        </w:rPr>
      </w:pPr>
    </w:p>
    <w:p>
      <w:pPr>
        <w:ind w:left="1300" w:right="160" w:hanging="644"/>
        <w:spacing w:after="0" w:line="246" w:lineRule="auto"/>
        <w:tabs>
          <w:tab w:leader="none" w:pos="12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decreases in demand by channel partners or end-customers, including any such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such as the war in Ukraine, and critical infrastructure attacks;</w:t>
      </w:r>
    </w:p>
    <w:p>
      <w:pPr>
        <w:spacing w:after="0" w:line="211" w:lineRule="exact"/>
        <w:rPr>
          <w:rFonts w:ascii="Arial" w:cs="Arial" w:eastAsia="Arial" w:hAnsi="Arial"/>
          <w:sz w:val="17"/>
          <w:szCs w:val="17"/>
          <w:color w:val="auto"/>
        </w:rPr>
      </w:pPr>
    </w:p>
    <w:p>
      <w:pPr>
        <w:ind w:left="1300" w:right="80" w:hanging="644"/>
        <w:spacing w:after="0" w:line="261"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84" w:lineRule="exact"/>
        <w:rPr>
          <w:rFonts w:ascii="Arial" w:cs="Arial" w:eastAsia="Arial" w:hAnsi="Arial"/>
          <w:sz w:val="18"/>
          <w:szCs w:val="18"/>
          <w:color w:val="auto"/>
        </w:rPr>
      </w:pPr>
    </w:p>
    <w:p>
      <w:pPr>
        <w:ind w:left="1300" w:right="160" w:hanging="644"/>
        <w:spacing w:after="0" w:line="228"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 and unpredictability of timing to close larger enterprise and large organization deals, and the risk that our sales representatives do not effectively sell our Platform Extension products;</w:t>
      </w:r>
    </w:p>
    <w:p>
      <w:pPr>
        <w:spacing w:after="0" w:line="204" w:lineRule="exact"/>
        <w:rPr>
          <w:rFonts w:ascii="Arial" w:cs="Arial" w:eastAsia="Arial" w:hAnsi="Arial"/>
          <w:sz w:val="18"/>
          <w:szCs w:val="18"/>
          <w:color w:val="auto"/>
        </w:rPr>
      </w:pPr>
    </w:p>
    <w:p>
      <w:pPr>
        <w:ind w:left="1300" w:hanging="644"/>
        <w:spacing w:after="0" w:line="253" w:lineRule="auto"/>
        <w:tabs>
          <w:tab w:leader="none" w:pos="12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cloud security and endpoint protection, and IoT and OT security opportunities;</w:t>
      </w:r>
    </w:p>
    <w:p>
      <w:pPr>
        <w:spacing w:after="0" w:line="205" w:lineRule="exact"/>
        <w:rPr>
          <w:rFonts w:ascii="Arial" w:cs="Arial" w:eastAsia="Arial" w:hAnsi="Arial"/>
          <w:sz w:val="17"/>
          <w:szCs w:val="17"/>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25" w:lineRule="exact"/>
        <w:rPr>
          <w:rFonts w:ascii="Arial" w:cs="Arial" w:eastAsia="Arial" w:hAnsi="Arial"/>
          <w:sz w:val="18"/>
          <w:szCs w:val="18"/>
          <w:color w:val="auto"/>
        </w:rPr>
      </w:pPr>
    </w:p>
    <w:p>
      <w:pPr>
        <w:ind w:left="1300" w:right="100" w:hanging="644"/>
        <w:spacing w:after="0" w:line="274" w:lineRule="auto"/>
        <w:tabs>
          <w:tab w:leader="none" w:pos="12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34" w:lineRule="exact"/>
        <w:rPr>
          <w:rFonts w:ascii="Arial" w:cs="Arial" w:eastAsia="Arial" w:hAnsi="Arial"/>
          <w:sz w:val="17"/>
          <w:szCs w:val="17"/>
          <w:color w:val="auto"/>
        </w:rPr>
      </w:pPr>
    </w:p>
    <w:p>
      <w:pPr>
        <w:ind w:left="1300" w:right="420" w:hanging="644"/>
        <w:spacing w:after="0" w:line="246"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revenue recognition for our sales, including any impacts resulting from extension of payment terms to distributors and backlog levels;</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38" w:lineRule="exact"/>
        <w:rPr>
          <w:rFonts w:ascii="Arial" w:cs="Arial" w:eastAsia="Arial" w:hAnsi="Arial"/>
          <w:sz w:val="18"/>
          <w:szCs w:val="18"/>
          <w:color w:val="auto"/>
        </w:rPr>
      </w:pPr>
    </w:p>
    <w:p>
      <w:pPr>
        <w:ind w:left="1300" w:right="180" w:hanging="644"/>
        <w:spacing w:after="0" w:line="261"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184" w:lineRule="exact"/>
        <w:rPr>
          <w:rFonts w:ascii="Arial" w:cs="Arial" w:eastAsia="Arial" w:hAnsi="Arial"/>
          <w:sz w:val="18"/>
          <w:szCs w:val="18"/>
          <w:color w:val="auto"/>
        </w:rPr>
      </w:pPr>
    </w:p>
    <w:p>
      <w:pPr>
        <w:ind w:left="1300" w:right="240" w:hanging="644"/>
        <w:spacing w:after="0" w:line="274" w:lineRule="auto"/>
        <w:tabs>
          <w:tab w:leader="none" w:pos="12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the growth rates of the network security market in particular and other security and networking markets, such as SD-WAN, OT, switches, access points and cloud solutions for which we and our competitors sell products and services;</w:t>
      </w:r>
    </w:p>
    <w:p>
      <w:pPr>
        <w:spacing w:after="0" w:line="147" w:lineRule="exact"/>
        <w:rPr>
          <w:rFonts w:ascii="Arial" w:cs="Arial" w:eastAsia="Arial" w:hAnsi="Arial"/>
          <w:sz w:val="17"/>
          <w:szCs w:val="17"/>
          <w:color w:val="auto"/>
        </w:rPr>
      </w:pPr>
    </w:p>
    <w:p>
      <w:pPr>
        <w:ind w:left="1300" w:right="260" w:hanging="644"/>
        <w:spacing w:after="0" w:line="291" w:lineRule="auto"/>
        <w:tabs>
          <w:tab w:leader="none" w:pos="12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19" w:lineRule="exact"/>
        <w:rPr>
          <w:rFonts w:ascii="Arial" w:cs="Arial" w:eastAsia="Arial" w:hAnsi="Arial"/>
          <w:sz w:val="17"/>
          <w:szCs w:val="17"/>
          <w:color w:val="auto"/>
        </w:rPr>
      </w:pPr>
    </w:p>
    <w:p>
      <w:pPr>
        <w:ind w:left="1300" w:right="180" w:hanging="644"/>
        <w:spacing w:after="0" w:line="274" w:lineRule="auto"/>
        <w:tabs>
          <w:tab w:leader="none" w:pos="12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deferral of orders from distributors, resellers or end-customers in anticipation of new products or product enhancements announced by us or our competitors, or the acceleration of orders in response to our announced or expected price list increases;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right="100" w:hanging="644"/>
        <w:spacing w:after="0" w:line="294" w:lineRule="auto"/>
        <w:tabs>
          <w:tab w:leader="none" w:pos="12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74" w:lineRule="exact"/>
        <w:rPr>
          <w:rFonts w:ascii="Arial" w:cs="Arial" w:eastAsia="Arial" w:hAnsi="Arial"/>
          <w:sz w:val="16"/>
          <w:szCs w:val="16"/>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existing laws and regulations;</w:t>
      </w:r>
    </w:p>
    <w:p>
      <w:pPr>
        <w:spacing w:after="0" w:line="225" w:lineRule="exact"/>
        <w:rPr>
          <w:rFonts w:ascii="Arial" w:cs="Arial" w:eastAsia="Arial" w:hAnsi="Arial"/>
          <w:sz w:val="18"/>
          <w:szCs w:val="18"/>
          <w:color w:val="auto"/>
        </w:rPr>
      </w:pPr>
    </w:p>
    <w:p>
      <w:pPr>
        <w:ind w:left="1300" w:right="400" w:hanging="644"/>
        <w:spacing w:after="0" w:line="246"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and maintain permits, clearances and certifications that are applicable to our ability to conduct business with the public sector, including the U.S. federal government, and other sectors;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cloud-based security solutions on our billings, revenues, operating margins and free cash flow;</w:t>
      </w:r>
    </w:p>
    <w:p>
      <w:pPr>
        <w:spacing w:after="0" w:line="198" w:lineRule="exact"/>
        <w:rPr>
          <w:rFonts w:ascii="Arial" w:cs="Arial" w:eastAsia="Arial" w:hAnsi="Arial"/>
          <w:sz w:val="18"/>
          <w:szCs w:val="18"/>
          <w:color w:val="auto"/>
        </w:rPr>
      </w:pPr>
    </w:p>
    <w:p>
      <w:pPr>
        <w:ind w:left="1300" w:right="660" w:hanging="644"/>
        <w:spacing w:after="0" w:line="261"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price competition and increased competitiveness in our market, including the competitive pressure caused by product refresh cycles;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both increase revenues and manage and control operating expenses in order to maintain or improve our operating margins;</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customer renewal rates or attach rates for our services;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service contracts or the contractual term of service contracts sold;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our contracts;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38" w:lineRule="exact"/>
        <w:rPr>
          <w:rFonts w:ascii="Arial" w:cs="Arial" w:eastAsia="Arial" w:hAnsi="Arial"/>
          <w:sz w:val="18"/>
          <w:szCs w:val="18"/>
          <w:color w:val="auto"/>
        </w:rPr>
      </w:pPr>
    </w:p>
    <w:p>
      <w:pPr>
        <w:ind w:left="1300" w:right="120" w:hanging="644"/>
        <w:spacing w:after="0" w:line="291" w:lineRule="auto"/>
        <w:tabs>
          <w:tab w:leader="none" w:pos="12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198"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57" w:lineRule="exact"/>
        <w:rPr>
          <w:rFonts w:ascii="Arial" w:cs="Arial" w:eastAsia="Arial" w:hAnsi="Arial"/>
          <w:sz w:val="18"/>
          <w:szCs w:val="18"/>
          <w:color w:val="auto"/>
        </w:rPr>
      </w:pPr>
    </w:p>
    <w:p>
      <w:pPr>
        <w:ind w:left="1300" w:right="180" w:hanging="644"/>
        <w:spacing w:after="0" w:line="261"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97" w:lineRule="exact"/>
        <w:rPr>
          <w:rFonts w:ascii="Arial" w:cs="Arial" w:eastAsia="Arial" w:hAnsi="Arial"/>
          <w:sz w:val="18"/>
          <w:szCs w:val="18"/>
          <w:color w:val="auto"/>
        </w:rPr>
      </w:pPr>
    </w:p>
    <w:p>
      <w:pPr>
        <w:ind w:left="1300" w:right="640" w:hanging="644"/>
        <w:spacing w:after="0" w:line="291" w:lineRule="auto"/>
        <w:tabs>
          <w:tab w:leader="none" w:pos="12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66" w:lineRule="exact"/>
        <w:rPr>
          <w:rFonts w:ascii="Arial" w:cs="Arial" w:eastAsia="Arial" w:hAnsi="Arial"/>
          <w:sz w:val="17"/>
          <w:szCs w:val="17"/>
          <w:color w:val="auto"/>
        </w:rPr>
      </w:pPr>
    </w:p>
    <w:p>
      <w:pPr>
        <w:ind w:left="1300" w:right="220" w:hanging="644"/>
        <w:spacing w:after="0" w:line="254"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w:t>
      </w:r>
      <w:r>
        <w:rPr>
          <w:rFonts w:ascii="Arial" w:cs="Arial" w:eastAsia="Arial" w:hAnsi="Arial"/>
          <w:sz w:val="21"/>
          <w:szCs w:val="21"/>
          <w:color w:val="auto"/>
        </w:rPr>
        <w:t>,</w:t>
      </w:r>
      <w:r>
        <w:rPr>
          <w:rFonts w:ascii="Arial" w:cs="Arial" w:eastAsia="Arial" w:hAnsi="Arial"/>
          <w:sz w:val="18"/>
          <w:szCs w:val="18"/>
          <w:color w:val="auto"/>
        </w:rPr>
        <w:t xml:space="preserve"> such as that caused by the war in Ukraine and any disruption and negative impact on our ability to sell to, ship product to and support customers in certain regions based on trade restrictions, embargoes and export control law restrictions;</w:t>
      </w:r>
    </w:p>
    <w:p>
      <w:pPr>
        <w:spacing w:after="0" w:line="204"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right="40" w:hanging="644"/>
        <w:spacing w:after="0" w:line="261"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as well as the significant costs that may be incurred to adopt and comply with these new pronouncements;</w:t>
      </w:r>
    </w:p>
    <w:p>
      <w:pPr>
        <w:spacing w:after="0" w:line="197" w:lineRule="exact"/>
        <w:rPr>
          <w:rFonts w:ascii="Arial" w:cs="Arial" w:eastAsia="Arial" w:hAnsi="Arial"/>
          <w:sz w:val="18"/>
          <w:szCs w:val="18"/>
          <w:color w:val="auto"/>
        </w:rPr>
      </w:pPr>
    </w:p>
    <w:p>
      <w:pPr>
        <w:ind w:left="1300" w:right="760" w:hanging="644"/>
        <w:spacing w:after="0" w:line="261"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97" w:lineRule="exact"/>
        <w:rPr>
          <w:rFonts w:ascii="Arial" w:cs="Arial" w:eastAsia="Arial" w:hAnsi="Arial"/>
          <w:sz w:val="18"/>
          <w:szCs w:val="18"/>
          <w:color w:val="auto"/>
        </w:rPr>
      </w:pPr>
    </w:p>
    <w:p>
      <w:pPr>
        <w:ind w:left="1300" w:right="80" w:hanging="644"/>
        <w:spacing w:after="0" w:line="261"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26" w:lineRule="exact"/>
        <w:rPr>
          <w:sz w:val="20"/>
          <w:szCs w:val="20"/>
          <w:color w:val="auto"/>
        </w:rPr>
      </w:pPr>
    </w:p>
    <w:p>
      <w:pPr>
        <w:ind w:right="600"/>
        <w:spacing w:after="0" w:line="238" w:lineRule="auto"/>
        <w:rPr>
          <w:sz w:val="20"/>
          <w:szCs w:val="20"/>
          <w:color w:val="auto"/>
        </w:rPr>
      </w:pPr>
      <w:r>
        <w:rPr>
          <w:rFonts w:ascii="Arial" w:cs="Arial" w:eastAsia="Arial" w:hAnsi="Arial"/>
          <w:sz w:val="18"/>
          <w:szCs w:val="18"/>
          <w:b w:val="1"/>
          <w:bCs w:val="1"/>
          <w:i w:val="1"/>
          <w:iCs w:val="1"/>
          <w:color w:val="auto"/>
        </w:rPr>
        <w:t>The COVID-19 pandemic</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including its ongoing variants</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will likely continue to adversely affect our business in a significant way</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for example, through product and component shortages or negative impact on demand.</w:t>
      </w:r>
    </w:p>
    <w:p>
      <w:pPr>
        <w:spacing w:after="0" w:line="23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COVID-19 pandemic, including its ongoing variants, has negatively impacted the global economy, disrupted global supply chains and demand for certain solutions and created significant volatility in, and disruption of, global markets. The extent of the future impact of the COVID-19 pandemic on our operational and financial performance, including on demand for our products and services, our ability to source components and properly manage costs, and our ability to execute our business strategies and initiatives in the expected time frame, is unpredictable, adds uncertainty to our business, and will depend on future developments, including the duration and spread of the COVID-19 pandemic and related restrictions on, and disruptions of business, supply chain and world economies, all of which are uncertain and difficult to predict. There is a worldwide shortage of various components, impacting many industries, caused in-part by the COVID-19 pandemic. We are experiencing ongoing product and component shortages, which have resulted in, and which we expect will continue to result in, extended lead times of certain products and significant disruption to our production schedule and predictability. In fact, certain of our contract manufacturers and component suppliers have de-committed from their scheduled delivery dates and product and component delivery commitments. We also have experienced and expect to continue to experience increased component costs, which have negatively impacted our gross margins. An extended period of global supply chain disruption, demand reduction and economic slowdown would materially negatively affect our overall business and our operating results, including billings, revenue, gross margins, operating margins, cash flows and other operating results. If the COVID-19 pandemic continues to limit the availability of our products, either by limiting components available, the actual manufacture and assembly or by limiting or restricting shipping of components and products, this could continue to result in increased product backlog, and result in lower billings, lower revenue and decreased profitability, and would negatively impact, and may materially negatively impact, our operating results and business. In addition, we may also face personnel-related risks as restrictions related to the COVID-19 pandemic begin to ease and we transition back to an in-person working model, including that our “return to office” plan may be viewed negatively by employees and lead to attrition or to difficulty in hiring.</w:t>
      </w:r>
    </w:p>
    <w:p>
      <w:pPr>
        <w:spacing w:after="0" w:line="21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Moreover, the COVID-19 pandemic has created a reduction in certain business activity and demand for certain solutions, which we believe has negatively impacted our billings and may in the future materially and negatively affect the rate and amount of our billings. The COVID-19 pandemic may adversely affect certain of our partners’ and customers’ ability or willingness to purchase our products and services, delay certain customers’ purchasing decisions and increase customer attrition rates, all of which will adversely affect our future sales and operating results, possibly in a material way. As a result, we may experience extended sales cycles; our ability to close transactions with new and existing customers and partners may be negatively impacted; our ability to recognize revenue from sales we do close may be negatively impacted; certain businesses will not buy our products and services when they otherwise would have; certain current partners, customers and customer prospects may go out of business or face significant business challenges, thereby negatively impacting our sales; product or component shortages, implementation delays or other factors; and our ability to provide technical and other support to our customers may be affected. We have also offered, and may continue to offer, payment terms in excess of our contractual agreements to some of our distributors, which may decrease the likelihood that we will be able to collect from these customers. In addition, the COVID-19 pandemic has caused an increase in certain of our expenses, including increased shipping costs, increased cancellation charges and reduced attendance fees due to the cancellation of several of our 2021 Accelerate sales conferences, and has resulted in increased component and product manufacturing costs. The COVID-19 pandemic has limited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demand generation activities, such as conferences and in-person sales meetings, which may reduce our costs, but also may reduce leads that could result in closed sales. The full impact of the COVID-19 pandemic is unknown at this time. While we continue to monitor developments and the potential effect on our business, it is clear that the COVID-19 pandemic will negatively impact certain sales and may have a material negative impact on our operating results in the near term and longer term.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1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including based on a downturn in the economy and a possible recession and the effects of ongoing or increased inflation or possible stagflation in certain geographies, geopolitical instability and uncertainty, or a reduction in information technology spending regardless of macro-economic conditions, the effects of the COVID-19 pandemic and the impact of the war in Ukraine, each could have a material adverse impacts on our business, financial condition and results of operations, including longer sales cycles, lower prices for our products and services, increased component costs, higher default rates among our channel partners, reduced unit sales and slower or declining growth.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and free cash flow growth may slow or may not continue</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and our operating margins may decline.</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may experience slowing growth, or a decrease, in billings, revenue, operating margin and free cash flow for a number of reasons, including as a result of the COVID-19 pandemic, a slowdown in demand for our products or services, a shift in demand from products to services, decrease in services revenue growth, our suspension of operations in Russia, increased competition, worldwide or regional economic challenges based on inflation or possible stagflation, a regional recession or a recession in the global economy, the war in Ukraine, or other factors,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profitability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19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including the COVID-19 pandemic, could adversely affect our business, financial condition and results of operations.</w:t>
      </w:r>
    </w:p>
    <w:p>
      <w:pPr>
        <w:spacing w:after="0" w:line="21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30% of our total net accounts receivable as of June 30, 2022.</w:t>
      </w:r>
    </w:p>
    <w:p>
      <w:pPr>
        <w:spacing w:after="0" w:line="18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184" w:lineRule="exact"/>
        <w:rPr>
          <w:sz w:val="20"/>
          <w:szCs w:val="20"/>
          <w:color w:val="auto"/>
        </w:rPr>
      </w:pPr>
    </w:p>
    <w:p>
      <w:pPr>
        <w:ind w:right="320" w:firstLine="648"/>
        <w:spacing w:after="0" w:line="231" w:lineRule="auto"/>
        <w:rPr>
          <w:sz w:val="20"/>
          <w:szCs w:val="20"/>
          <w:color w:val="auto"/>
        </w:rPr>
      </w:pPr>
      <w:r>
        <w:rPr>
          <w:rFonts w:ascii="Arial" w:cs="Arial" w:eastAsia="Arial" w:hAnsi="Arial"/>
          <w:sz w:val="18"/>
          <w:szCs w:val="18"/>
          <w:color w:val="auto"/>
        </w:rPr>
        <w:t>Six distributor customers accounted for 68% of our total net accounts receivable in the aggregate. See Note 15. Segment Information in Part I, Item 1 of this Quarterly Report on Form 10-Q for distributor customers that accounted for 10% or more of our revenue or net accounts receivable. Our largest distributors may experience financial difficulties, face liquidity risk or other financial challenges, which may harm our ability to collect on our accounts receivable.</w:t>
      </w:r>
    </w:p>
    <w:p>
      <w:pPr>
        <w:spacing w:after="0" w:line="216"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 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05"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b w:val="1"/>
          <w:bCs w:val="1"/>
          <w:i w:val="1"/>
          <w:iCs w:val="1"/>
          <w:color w:val="auto"/>
        </w:rPr>
        <w:t>Reliance on a concentration of shipments at the end of the quarter could cause our billings and revenue to fall below expected levels or delay collections and the related increase in free cash flow</w:t>
      </w:r>
      <w:r>
        <w:rPr>
          <w:rFonts w:ascii="Arial" w:cs="Arial" w:eastAsia="Arial" w:hAnsi="Arial"/>
          <w:sz w:val="18"/>
          <w:szCs w:val="18"/>
          <w:i w:val="1"/>
          <w:iCs w:val="1"/>
          <w:color w:val="auto"/>
        </w:rPr>
        <w:t>.</w:t>
      </w:r>
    </w:p>
    <w:p>
      <w:pPr>
        <w:spacing w:after="0" w:line="198"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or we have system issues that prevent processing in time to realize service billings in a</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quarter, we will not be able to bill and realize billings for those services until the following quarter,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spacing w:after="0" w:line="202"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anticipated purchase orders to materialize;</w:t>
      </w:r>
    </w:p>
    <w:p>
      <w:pPr>
        <w:spacing w:after="0" w:line="252" w:lineRule="exact"/>
        <w:rPr>
          <w:rFonts w:ascii="Arial" w:cs="Arial" w:eastAsia="Arial" w:hAnsi="Arial"/>
          <w:sz w:val="18"/>
          <w:szCs w:val="18"/>
          <w:color w:val="auto"/>
        </w:rPr>
      </w:pPr>
    </w:p>
    <w:p>
      <w:pPr>
        <w:ind w:left="1300" w:right="52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logistics partners’ failure or inability to ship products prior to quarter-end to fulfill purchase orders received near the end of the quarter;</w:t>
      </w:r>
    </w:p>
    <w:p>
      <w:pPr>
        <w:spacing w:after="0" w:line="197" w:lineRule="exact"/>
        <w:rPr>
          <w:rFonts w:ascii="Arial" w:cs="Arial" w:eastAsia="Arial" w:hAnsi="Arial"/>
          <w:sz w:val="18"/>
          <w:szCs w:val="18"/>
          <w:color w:val="auto"/>
        </w:rPr>
      </w:pPr>
    </w:p>
    <w:p>
      <w:pPr>
        <w:ind w:left="1300" w:right="40" w:hanging="644"/>
        <w:spacing w:after="0" w:line="291" w:lineRule="auto"/>
        <w:tabs>
          <w:tab w:leader="none" w:pos="12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disruption in manufacturing or shipping based on power outages, system failures, labor disputes or constraints, excessive demand, natural disasters or widespread public health problems including pandemics and epidemics such as the COVID-19 pandemic;</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accurately forecast our inventory requirements and to appropriately manage inventory to meet demand;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release new products on schedule;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failure of our systems related to order review and processing; and</w:t>
      </w:r>
    </w:p>
    <w:p>
      <w:pPr>
        <w:spacing w:after="0" w:line="252"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delays in shipments due to trade compliance requirements, labor disputes or logistics changes at shipping ports, airline strikes, severe weather or otherwise.</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200"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in purchases of Core Platform appliances or our Platform Extension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monthly over the term of the relevant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12"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The COVID-19 pandemic may also decelerate our hiring and increase the challenge of recruiting qualified personnel to leave their current positions to join us.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indebtedness and may incur other debt in the future, which may adversely affect our financial condition and future financial results.</w:t>
      </w:r>
    </w:p>
    <w:p>
      <w:pPr>
        <w:spacing w:after="0" w:line="27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of June 30, 2022, we had an aggregate of $989.4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11"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increasing our vulnerability to downturns in our business, to competitive pressures and to adverse economic and industry conditions;</w:t>
      </w:r>
    </w:p>
    <w:p>
      <w:pPr>
        <w:spacing w:after="0" w:line="275" w:lineRule="exact"/>
        <w:rPr>
          <w:rFonts w:ascii="Arial" w:cs="Arial" w:eastAsia="Arial" w:hAnsi="Arial"/>
          <w:sz w:val="16"/>
          <w:szCs w:val="16"/>
          <w:color w:val="auto"/>
        </w:rPr>
      </w:pPr>
    </w:p>
    <w:p>
      <w:pPr>
        <w:ind w:left="1300" w:right="260" w:hanging="644"/>
        <w:spacing w:after="0" w:line="342" w:lineRule="auto"/>
        <w:tabs>
          <w:tab w:leader="none" w:pos="12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our industries;</w:t>
      </w:r>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19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1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changes by any rating agency to our credit rating may negatively impact the value and liquidity of both our debt and equity securities. If our credit ratings are downgraded or other negative action is taken, the interest rate payable by us under our unsecured revolving credit facility may increase. In addition, any downgrades in our credit ratings may affect our ability to obtain additional financing in the future and may negatively impact the terms of any such financing.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Sales and End-Customers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52" w:lineRule="exact"/>
        <w:rPr>
          <w:sz w:val="20"/>
          <w:szCs w:val="20"/>
          <w:color w:val="auto"/>
        </w:rPr>
      </w:pPr>
    </w:p>
    <w:p>
      <w:pPr>
        <w:ind w:left="1300" w:right="400" w:hanging="644"/>
        <w:spacing w:after="0" w:line="246"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such as any economic or political instability caused by economic downturns and wars, such as the war in Ukraine and any expansion thereof;</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52"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 or as a result of the COVID-19 pandemic and related travel and gathering restrictions;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uncertainty of protection for IP rights in some countries;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83" w:lineRule="exact"/>
        <w:rPr>
          <w:rFonts w:ascii="Arial" w:cs="Arial" w:eastAsia="Arial" w:hAnsi="Arial"/>
          <w:sz w:val="18"/>
          <w:szCs w:val="18"/>
          <w:color w:val="auto"/>
        </w:rPr>
      </w:pPr>
    </w:p>
    <w:p>
      <w:pPr>
        <w:ind w:left="1300" w:right="160" w:hanging="644"/>
        <w:spacing w:after="0" w:line="228"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such as the war in Ukraine, and critical infrastructure attacks;</w:t>
      </w:r>
    </w:p>
    <w:p>
      <w:pPr>
        <w:spacing w:after="0" w:line="218" w:lineRule="exact"/>
        <w:rPr>
          <w:rFonts w:ascii="Arial" w:cs="Arial" w:eastAsia="Arial" w:hAnsi="Arial"/>
          <w:sz w:val="18"/>
          <w:szCs w:val="18"/>
          <w:color w:val="auto"/>
        </w:rPr>
      </w:pPr>
    </w:p>
    <w:p>
      <w:pPr>
        <w:ind w:left="1300" w:right="96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U.S.;</w:t>
      </w:r>
    </w:p>
    <w:p>
      <w:pPr>
        <w:spacing w:after="0" w:line="170" w:lineRule="exact"/>
        <w:rPr>
          <w:rFonts w:ascii="Arial" w:cs="Arial" w:eastAsia="Arial" w:hAnsi="Arial"/>
          <w:sz w:val="18"/>
          <w:szCs w:val="18"/>
          <w:color w:val="auto"/>
        </w:rPr>
      </w:pPr>
    </w:p>
    <w:p>
      <w:pPr>
        <w:ind w:left="1300" w:right="100" w:hanging="644"/>
        <w:spacing w:after="0" w:line="259"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13" w:lineRule="exact"/>
        <w:rPr>
          <w:rFonts w:ascii="Arial" w:cs="Arial" w:eastAsia="Arial" w:hAnsi="Arial"/>
          <w:sz w:val="18"/>
          <w:szCs w:val="18"/>
          <w:color w:val="auto"/>
        </w:rPr>
      </w:pPr>
    </w:p>
    <w:p>
      <w:pPr>
        <w:ind w:left="1300" w:right="300" w:hanging="644"/>
        <w:spacing w:after="0" w:line="277"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97" w:lineRule="exact"/>
        <w:rPr>
          <w:rFonts w:ascii="Arial" w:cs="Arial" w:eastAsia="Arial" w:hAnsi="Arial"/>
          <w:sz w:val="18"/>
          <w:szCs w:val="18"/>
          <w:color w:val="auto"/>
        </w:rPr>
      </w:pPr>
    </w:p>
    <w:p>
      <w:pPr>
        <w:ind w:left="1300" w:right="220" w:hanging="644"/>
        <w:spacing w:after="0" w:line="259"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effectively implement and maintain adequate internal controls to properly manage our international sales and operations;</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ongoing effects of the COVID-19 pandemic may enhance the severity and unpredictability of a number of the foregoing risks, and the risks to our business presented by the COVID-19 pandemic may be more significant and for a longer term in certain international geographies where we do meaningful business.</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0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war in Ukraine and any expansion thereof, and our suspension of operations in Russia have affected and may continue to affect our business</w:t>
      </w:r>
    </w:p>
    <w:p>
      <w:pPr>
        <w:spacing w:after="0" w:line="275" w:lineRule="exact"/>
        <w:rPr>
          <w:sz w:val="20"/>
          <w:szCs w:val="20"/>
          <w:color w:val="auto"/>
        </w:rPr>
      </w:pPr>
    </w:p>
    <w:p>
      <w:pPr>
        <w:ind w:right="420" w:firstLine="648"/>
        <w:spacing w:after="0" w:line="324" w:lineRule="auto"/>
        <w:rPr>
          <w:sz w:val="20"/>
          <w:szCs w:val="20"/>
          <w:color w:val="auto"/>
        </w:rPr>
      </w:pPr>
      <w:r>
        <w:rPr>
          <w:rFonts w:ascii="Arial" w:cs="Arial" w:eastAsia="Arial" w:hAnsi="Arial"/>
          <w:sz w:val="18"/>
          <w:szCs w:val="18"/>
          <w:color w:val="auto"/>
        </w:rPr>
        <w:t>The war in Ukraine and resulting disruption are ongoing and likely to continue, and may expand into other regions. Some of the impacts and potential impacts of the war Ukraine and possible expansion thereof include, but are not limited to:</w:t>
      </w:r>
    </w:p>
    <w:p>
      <w:pPr>
        <w:spacing w:after="0" w:line="157"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reduction of sales and revenue based on our suspension of operations and sales in Russia;</w:t>
      </w:r>
    </w:p>
    <w:p>
      <w:pPr>
        <w:spacing w:after="0" w:line="252" w:lineRule="exact"/>
        <w:rPr>
          <w:rFonts w:ascii="Arial" w:cs="Arial" w:eastAsia="Arial" w:hAnsi="Arial"/>
          <w:sz w:val="18"/>
          <w:szCs w:val="18"/>
          <w:color w:val="auto"/>
        </w:rPr>
      </w:pPr>
    </w:p>
    <w:p>
      <w:pPr>
        <w:ind w:left="1300" w:right="14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business planning and forecasting due to the uncertainty of the impact of the war on aspects of our business, such as on our distributors, resellers, end-customers and suppliers;</w:t>
      </w:r>
    </w:p>
    <w:p>
      <w:pPr>
        <w:spacing w:after="0" w:line="197" w:lineRule="exact"/>
        <w:rPr>
          <w:rFonts w:ascii="Arial" w:cs="Arial" w:eastAsia="Arial" w:hAnsi="Arial"/>
          <w:sz w:val="18"/>
          <w:szCs w:val="18"/>
          <w:color w:val="auto"/>
        </w:rPr>
      </w:pPr>
    </w:p>
    <w:p>
      <w:pPr>
        <w:ind w:left="1300" w:right="18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uncertainty and disruption in the general demand environment, including Russia, Belarus, and Ukraine, which could reduce demand by distributors;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costs and the diversion of management’s attention related to oversight of our international operations;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Russian distributors to pay outstanding accounts receivables owed to us;</w:t>
      </w:r>
    </w:p>
    <w:p>
      <w:pPr>
        <w:spacing w:after="0" w:line="252" w:lineRule="exact"/>
        <w:rPr>
          <w:rFonts w:ascii="Arial" w:cs="Arial" w:eastAsia="Arial" w:hAnsi="Arial"/>
          <w:sz w:val="18"/>
          <w:szCs w:val="18"/>
          <w:color w:val="auto"/>
        </w:rPr>
      </w:pPr>
    </w:p>
    <w:p>
      <w:pPr>
        <w:ind w:left="1300" w:right="6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retaliatory actions by Russia or other countries against us and other Western companies that chose to limit or remove business operations in the region;</w:t>
      </w:r>
    </w:p>
    <w:p>
      <w:pPr>
        <w:spacing w:after="0" w:line="197" w:lineRule="exact"/>
        <w:rPr>
          <w:rFonts w:ascii="Arial" w:cs="Arial" w:eastAsia="Arial" w:hAnsi="Arial"/>
          <w:sz w:val="18"/>
          <w:szCs w:val="18"/>
          <w:color w:val="auto"/>
        </w:rPr>
      </w:pPr>
    </w:p>
    <w:p>
      <w:pPr>
        <w:ind w:left="1300" w:right="80" w:hanging="644"/>
        <w:spacing w:after="0" w:line="263"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risk of data breach and other threats from ransomware, destructive malware, distributed denial-of-service attacks, as well as fraud, spam and fake accounts, cyber-attacks, or other illegal activity conducted generally by bad actors seeking to take advantage of us, our distributors, resellers or end-customers;</w:t>
      </w:r>
    </w:p>
    <w:p>
      <w:pPr>
        <w:spacing w:after="0" w:line="210" w:lineRule="exact"/>
        <w:rPr>
          <w:rFonts w:ascii="Arial" w:cs="Arial" w:eastAsia="Arial" w:hAnsi="Arial"/>
          <w:sz w:val="18"/>
          <w:szCs w:val="18"/>
          <w:color w:val="auto"/>
        </w:rPr>
      </w:pPr>
    </w:p>
    <w:p>
      <w:pPr>
        <w:ind w:left="1300" w:right="12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devaluation of local currency or other inflationary effects caused by the impact of sanctions and other macroeconomic effects of the war; and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volatility and disruption of global financial markets and negative impact to global and regional economies.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Sanctions and trade control measures that have been implemented against Russia and Belarus, and others that may be implemented, are complex and still evolving. Our efforts to comply with such measures may be costly, time consuming and divert the attention of management. Any alleged or actual failure to comply with these measures as we work to suspend our business operations in Russia may subject us to government scrutiny, civil or criminal proceedings, sanctions, and other liabilities, which may have a material adverse effect on our international operations, financial condition, and results of operations.</w:t>
      </w:r>
    </w:p>
    <w:p>
      <w:pPr>
        <w:spacing w:after="0" w:line="21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Any of the above-mentioned factors could adversely affect our business, prospects, financial condition and results of operations. The extent and duration of the military action, sanctions, and resulting market disruptions are impossible to predict, but could be substantial. Any such disruptions may also magnify the impact of other risks described in this Quarterly Report on Form 10-Q.</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91" w:lineRule="exact"/>
        <w:rPr>
          <w:sz w:val="20"/>
          <w:szCs w:val="20"/>
          <w:color w:val="auto"/>
        </w:rPr>
      </w:pPr>
    </w:p>
    <w:p>
      <w:pPr>
        <w:ind w:left="1300" w:right="18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52" w:lineRule="exact"/>
        <w:rPr>
          <w:rFonts w:ascii="Arial" w:cs="Arial" w:eastAsia="Arial" w:hAnsi="Arial"/>
          <w:sz w:val="18"/>
          <w:szCs w:val="18"/>
          <w:color w:val="auto"/>
        </w:rPr>
      </w:pPr>
    </w:p>
    <w:p>
      <w:pPr>
        <w:ind w:left="1300" w:right="80" w:hanging="644"/>
        <w:spacing w:after="0" w:line="263"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3" w:lineRule="exact"/>
        <w:rPr>
          <w:rFonts w:ascii="Arial" w:cs="Arial" w:eastAsia="Arial" w:hAnsi="Arial"/>
          <w:sz w:val="18"/>
          <w:szCs w:val="18"/>
          <w:color w:val="auto"/>
        </w:rPr>
      </w:pPr>
    </w:p>
    <w:p>
      <w:pPr>
        <w:ind w:left="1300" w:right="82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97"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9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w:t>
      </w: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approvals and unplanned administrative, processing and other delays; in light of the current COVID-19 pandemic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9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addition, mitigation and containment measures adopted by government authorities to contain the spread of COVID-19 in the United States and internationally, including travel restrictions and other requirements that limit in-person meetings, could limit our ability to establish and maintain relationships with new and existing customers, which may exacerbate the risks described above.</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97" w:lineRule="exact"/>
        <w:rPr>
          <w:sz w:val="20"/>
          <w:szCs w:val="20"/>
          <w:color w:val="auto"/>
        </w:rPr>
      </w:pPr>
    </w:p>
    <w:p>
      <w:pPr>
        <w:ind w:right="40" w:firstLine="648"/>
        <w:spacing w:after="0" w:line="268" w:lineRule="auto"/>
        <w:rPr>
          <w:sz w:val="20"/>
          <w:szCs w:val="20"/>
          <w:color w:val="auto"/>
        </w:rPr>
      </w:pPr>
      <w:r>
        <w:rPr>
          <w:rFonts w:ascii="Arial" w:cs="Arial" w:eastAsia="Arial" w:hAnsi="Arial"/>
          <w:sz w:val="16"/>
          <w:szCs w:val="16"/>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especially in light of the COVID-19 pandemic,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Platform Extension products,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39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98"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 We are also limited in our marketing efforts as a result of the COVID-19 pandemic, as mitigation and containment measures adopted by government authorities to contain the spread of COVID-19, including travel restrictions and other requirements that limit in-person meetings, could limit our ability to establish and maintain relationships with new and existing customers and negatively affect our sales and marketing efforts.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and customers, which are subject to a number of regulatory requirements, challenges and risks.</w:t>
      </w:r>
    </w:p>
    <w:p>
      <w:pPr>
        <w:spacing w:after="0" w:line="197"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in past periods.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97"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52" w:lineRule="exact"/>
        <w:rPr>
          <w:rFonts w:ascii="Arial" w:cs="Arial" w:eastAsia="Arial" w:hAnsi="Arial"/>
          <w:sz w:val="18"/>
          <w:szCs w:val="18"/>
          <w:color w:val="auto"/>
        </w:rPr>
      </w:pPr>
    </w:p>
    <w:p>
      <w:pPr>
        <w:ind w:left="1300" w:right="52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government has and in the future may require them to make operational changes in order to obtain the necessary approvals and certifications to sell into the government;</w:t>
      </w:r>
    </w:p>
    <w:p>
      <w:pPr>
        <w:spacing w:after="0" w:line="197" w:lineRule="exact"/>
        <w:rPr>
          <w:rFonts w:ascii="Arial" w:cs="Arial" w:eastAsia="Arial" w:hAnsi="Arial"/>
          <w:sz w:val="18"/>
          <w:szCs w:val="18"/>
          <w:color w:val="auto"/>
        </w:rPr>
      </w:pPr>
    </w:p>
    <w:p>
      <w:pPr>
        <w:ind w:left="1300" w:right="44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97" w:lineRule="exact"/>
        <w:rPr>
          <w:rFonts w:ascii="Arial" w:cs="Arial" w:eastAsia="Arial" w:hAnsi="Arial"/>
          <w:sz w:val="18"/>
          <w:szCs w:val="18"/>
          <w:color w:val="auto"/>
        </w:rPr>
      </w:pPr>
    </w:p>
    <w:p>
      <w:pPr>
        <w:ind w:left="1300" w:right="40" w:hanging="644"/>
        <w:spacing w:after="0" w:line="270" w:lineRule="auto"/>
        <w:tabs>
          <w:tab w:leader="none" w:pos="1295" w:val="left"/>
        </w:tabs>
        <w:numPr>
          <w:ilvl w:val="0"/>
          <w:numId w:val="34"/>
        </w:numPr>
        <w:rPr>
          <w:rFonts w:ascii="Arial" w:cs="Arial" w:eastAsia="Arial" w:hAnsi="Arial"/>
          <w:sz w:val="17"/>
          <w:szCs w:val="17"/>
          <w:color w:val="auto"/>
        </w:rPr>
      </w:pPr>
      <w:r>
        <w:rPr>
          <w:rFonts w:ascii="Arial" w:cs="Arial" w:eastAsia="Arial" w:hAnsi="Arial"/>
          <w:sz w:val="17"/>
          <w:szCs w:val="17"/>
          <w:color w:val="auto"/>
        </w:rPr>
        <w:t>geopolitical matters, including tariff and trade disputes, government shutdowns, impact of the war in Ukraine, and trade protectionism and other political dynamics that may adversely affect our ability to sell in certain locations or obtain the requisite permits and clearances required for certain purchases by government organizations of our products and services; and</w:t>
      </w:r>
    </w:p>
    <w:p>
      <w:pPr>
        <w:spacing w:after="0" w:line="217" w:lineRule="exact"/>
        <w:rPr>
          <w:rFonts w:ascii="Arial" w:cs="Arial" w:eastAsia="Arial" w:hAnsi="Arial"/>
          <w:sz w:val="17"/>
          <w:szCs w:val="17"/>
          <w:color w:val="auto"/>
        </w:rPr>
      </w:pPr>
    </w:p>
    <w:p>
      <w:pPr>
        <w:jc w:val="both"/>
        <w:ind w:left="1300" w:right="20" w:hanging="644"/>
        <w:spacing w:after="0" w:line="256"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U.S. General Service Administration regulations and certain third-party security certifications, and changes to such rules and regulations that may require us to make operational changes in order to obtain the necessary approvals to sell to government agencies.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Government spending may also be negatively impacted by the COVID-19 pandemic.</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of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decision by one government agency that our products do not meet certain standards, may cause reputational harm and cause concern with other government agencies, governments and businesses and cause them to not buy our products and services and/or lead to a decrease in demand for our products generally. Finally, purchases by the U.S. government may require certain products to be manufactured in the United States and other high-cost manufacturing locations, and we may not manufacture all products in locations that meet the requirements of the U.S. government and may not successfully obtain all certifications or clearances required for certain U.S. government purchases.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Customers, Products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 and we may not maintain or improve our competitive position.</w:t>
      </w:r>
    </w:p>
    <w:p>
      <w:pPr>
        <w:spacing w:after="0" w:line="212"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Barracuda Networks, Inc., Check Point Software Technologies Ltd., Cisco Systems, Inc. (“Cisco”), CrowdStrike Holdings, Inc., F5 Networks, Inc., Forcepoint LLC, Imperva, Inc., Juniper Networks, Inc. (“Juniper”), Mandiant, Inc., McAfee Corp., Palo Alto Networks, Inc., Proofpoint, Inc., SonicWALL, Inc., Sophos Group Plc, Trend Micro Incorporated and Zscaler, Inc. (“Zscaler”).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our existing and potential competitors enjoy competitive advantages such as:</w:t>
      </w:r>
    </w:p>
    <w:p>
      <w:pPr>
        <w:spacing w:after="0" w:line="212"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greater name recognition and/or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stronger U.S. government relationships;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or components may result in lost sales opportunities or delayed revenue, while excess inventory may harm our gross margins.</w:t>
      </w:r>
    </w:p>
    <w:p>
      <w:pPr>
        <w:spacing w:after="0" w:line="184" w:lineRule="exact"/>
        <w:rPr>
          <w:sz w:val="20"/>
          <w:szCs w:val="20"/>
          <w:color w:val="auto"/>
        </w:rPr>
      </w:pPr>
    </w:p>
    <w:p>
      <w:pPr>
        <w:ind w:right="80" w:firstLine="648"/>
        <w:spacing w:after="0" w:line="239" w:lineRule="auto"/>
        <w:rPr>
          <w:sz w:val="20"/>
          <w:szCs w:val="20"/>
          <w:color w:val="auto"/>
        </w:rPr>
      </w:pPr>
      <w:r>
        <w:rPr>
          <w:rFonts w:ascii="Arial" w:cs="Arial" w:eastAsia="Arial" w:hAnsi="Arial"/>
          <w:sz w:val="17"/>
          <w:szCs w:val="17"/>
          <w:color w:val="auto"/>
        </w:rPr>
        <w:t>Managing our inventory is complex, especially given current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the time required to source components including chips and other components, and manufacture or ship certain products has increased, and so we expect inventory shortfalls to continue and costs to manufacture and ship on-time to continue to increase. If we cannot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manufacture and ship our products due to, for example, global chip shortages, excessive demand on contract manufacturers capacity, natural disasters and health emergencies such as earthquakes, fires, power outages, typhoons, floods, cyber events, pandemics and epidemics such as the COVID-19 pandemic or manmade events such as civil unrest, labor disruption, international trade disputes, international conflicts, terrorism, wars, such as the war in Ukraine, and critical infrastructure attacks, our business and financial results could be materially and adversely impacted.</w:t>
      </w:r>
    </w:p>
    <w:p>
      <w:pPr>
        <w:spacing w:after="0" w:line="211"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global chip shortage caused by the COVID-19 pandemic and other factors affecting manufacturing capacity is having, and we expect to continue to have, an adverse impact on our ability to manage our inventory and to meet product demand in a timely fashion. We expect this shortage will persist for an indefinite period of time.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 The COVID-19 pandemic has resulted in challenges for us to obtain components and inventory, as well as increases to freight and shipping costs, and may result in a material adverse effect on our results of operations.</w:t>
      </w:r>
    </w:p>
    <w:p>
      <w:pPr>
        <w:spacing w:after="0" w:line="21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COVID-19 pandemic impacts on global supply chains are impacting our ability to procure parts required for our hardware appliances. Extended lead times have been introduced in delivering products for customer orders in a timely fashion.</w:t>
      </w:r>
    </w:p>
    <w:p>
      <w:pPr>
        <w:spacing w:after="0" w:line="197" w:lineRule="exact"/>
        <w:rPr>
          <w:sz w:val="20"/>
          <w:szCs w:val="20"/>
          <w:color w:val="auto"/>
        </w:rPr>
      </w:pPr>
    </w:p>
    <w:p>
      <w:pPr>
        <w:ind w:right="80" w:firstLine="648"/>
        <w:spacing w:after="0" w:line="294" w:lineRule="auto"/>
        <w:rPr>
          <w:sz w:val="20"/>
          <w:szCs w:val="20"/>
          <w:color w:val="auto"/>
        </w:rPr>
      </w:pPr>
      <w:r>
        <w:rPr>
          <w:rFonts w:ascii="Arial" w:cs="Arial" w:eastAsia="Arial" w:hAnsi="Arial"/>
          <w:sz w:val="16"/>
          <w:szCs w:val="16"/>
          <w:color w:val="auto"/>
        </w:rPr>
        <w:t>The COVID-19 pandemic has continued to impact global supply chains for many organizations, including us, resulting in shortages of and delays in both raw materials and electronic components such as computer chips. Events in upstream supplies and component shortages are negatively impacting our ability to plan and deliver upon orders received in a timely fashion, and supply chain disruption, component shortages and shipping challenges are increasing our costs. These increased costs have resulted in us increasing the prices of our products in turn; such price increases may result in our products</w:t>
      </w:r>
    </w:p>
    <w:p>
      <w:pPr>
        <w:spacing w:after="0" w:line="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being less price-competitive in the market. If our price increases do not offset our increased costs based on COVID-19, our margins will be negatively impacted.</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new products and product enhancements do not achieve sufficient market acceptance, our results of operations and competitive position will suffer.</w:t>
      </w:r>
    </w:p>
    <w:p>
      <w:pPr>
        <w:spacing w:after="0" w:line="19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spend substantial amounts of time and money to develop internally and acquire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97" w:lineRule="exact"/>
        <w:rPr>
          <w:rFonts w:ascii="Arial" w:cs="Arial" w:eastAsia="Arial" w:hAnsi="Arial"/>
          <w:sz w:val="18"/>
          <w:szCs w:val="18"/>
          <w:color w:val="auto"/>
        </w:rPr>
      </w:pPr>
    </w:p>
    <w:p>
      <w:pPr>
        <w:ind w:left="1300" w:right="46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have the appropriate research and development expertise and focus to make our top strategic Platform Extension products successful;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1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4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additional network infrastructure from new vendors or otherwise decide to work with their existing vendors, our business, financial condition and results of operations will be adversely affected.</w:t>
      </w:r>
    </w:p>
    <w:p>
      <w:pPr>
        <w:spacing w:after="0" w:line="19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97" w:lineRule="exact"/>
        <w:rPr>
          <w:sz w:val="20"/>
          <w:szCs w:val="20"/>
          <w:color w:val="auto"/>
        </w:rPr>
      </w:pPr>
    </w:p>
    <w:p>
      <w:pPr>
        <w:ind w:right="20" w:firstLine="648"/>
        <w:spacing w:after="0" w:line="252" w:lineRule="auto"/>
        <w:rPr>
          <w:sz w:val="20"/>
          <w:szCs w:val="20"/>
          <w:color w:val="auto"/>
        </w:rPr>
      </w:pPr>
      <w:r>
        <w:rPr>
          <w:rFonts w:ascii="Arial" w:cs="Arial" w:eastAsia="Arial" w:hAnsi="Arial"/>
          <w:sz w:val="16"/>
          <w:szCs w:val="16"/>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ADLINK,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such as the COVID-19 pandemic and manmade events such as civil unrest, labor disruption, cyber events, international trade disputes, international conflicts, terrorism, wars, such as the war in Ukraine,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approximately 87% of our hardware is manufactured in Taiwan. Any increase in tensions between China and Taiwan, including threats of military actions or escalation of military activities, could adversely affect our manufacturing operations in Taiwan.</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proprietary SPUs, which are key to the performance of our appliances, are built by contract manufacturers including Renesas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Toshiba. These contract manufacturers use foundries operated by TSMC or Renesas on a purchase-order basis, and these foundries do not guarantee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capacity and could delay orders or increase their pricing. Accordingly, the foundries are not obligated to continue to fulfill our supply requirements,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long lead time that a new foundry would require, we could suffer inventory shortages of our SPU as well as increased costs. In addition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proprietary SPU, we also purchase off-the-shelf ASICs or integrated circuits from vendors for which we have experienced, and may continue to experience,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long lead times. Our suppliers may also prioritize orders by other companies that order higher volumes or more profitable products. If any of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manufacturers materially delays its supply of ASICs or specific product models to us, or requires us to find an alternate supplier and we are not able to do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 on a timely and reasonable basis, or if these foundries materially increase their prices for fabrication of our SPU or ASICs, our business would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harmed.</w:t>
      </w:r>
    </w:p>
    <w:p>
      <w:pPr>
        <w:spacing w:after="0" w:line="23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effects of inflation or stagflation or any economic recession</w:t>
      </w:r>
    </w:p>
    <w:p>
      <w:pPr>
        <w:spacing w:after="0" w:line="25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Inflation or possible stagflation and any economic downturn or recession in certain regions or worldwide have the potential to adversely affect our liquidity, business, financial condition and results of operations by increasing our overall product cost structure or decreasing demand, and this can negatively impact our business by putting downward pressure on growth or if we are unable to achieve the increases in product prices necessary to appropriately offset the additional costs sufficient to maintain margins. The existence of inflation in certain economies has resulted in, and may continue to result in, higher interest rates and capital costs, shipping costs, increased costs of labor, weakening exchange rates and other similar effects. As a result of inflation, we have experienced and may continue to experience component, product and shipping cost increases. Inflation, stagflation and any economic downturn or a recession may materially adversely affect our business, financial condition, results of operations and liquidity. And, although we take measures to mitigate risks such as those associated with inflation, there could be a difference between the timing of when these mitigating actions impact our results of operations and when the cost of inflation is incurred. Inflation, an economic downturn, a recession, and any other economic challenges may also adversely impact spending patterns by our distributors, resellers and end-customers.</w:t>
      </w:r>
    </w:p>
    <w:p>
      <w:pPr>
        <w:spacing w:after="0" w:line="19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62"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may discontinue or modify components used in our products. We have in the past experienced, and are currently experiencing, shortages and long lead times for certain components. Our limited source components for particular appliances and suppliers of those components include specific types of CPUs from Intel and Advanced Micro Devices, Inc. (“AMD”), network chips from Broadcom, Marvell and Intel, and memory devices from Intel, ADATA, Toshiba, Samsung and Western Digital. We also may face shortages in the supply of the capacitors and resistors that are used in the manufacturing of our products. For example, the global chip shortage caused by the COVID-19 pandemic and other factors affecting manufacturing continues to affect the manufacturing capacity of us and our contract manufacturers. This shortage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3" w:lineRule="exact"/>
        <w:rPr>
          <w:sz w:val="20"/>
          <w:szCs w:val="20"/>
          <w:color w:val="auto"/>
        </w:rPr>
      </w:pPr>
    </w:p>
    <w:p>
      <w:pPr>
        <w:ind w:right="100" w:firstLine="648"/>
        <w:spacing w:after="0" w:line="242" w:lineRule="auto"/>
        <w:rPr>
          <w:sz w:val="20"/>
          <w:szCs w:val="20"/>
          <w:color w:val="auto"/>
        </w:rPr>
      </w:pPr>
      <w:r>
        <w:rPr>
          <w:rFonts w:ascii="Arial" w:cs="Arial" w:eastAsia="Arial" w:hAnsi="Arial"/>
          <w:sz w:val="17"/>
          <w:szCs w:val="17"/>
          <w:color w:val="auto"/>
        </w:rPr>
        <w:t>Our manufacturing partners have experienced long lead times for the purchase of components incorporated into our products. Lead times for components may be adversely impacted by factors outside of our control such as global chip shortages,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such as the war in Ukraine, critical infrastructure attacks and other factors. Our reliance on a limited number of suppliers involves several additional risks, including:</w:t>
      </w:r>
    </w:p>
    <w:p>
      <w:pPr>
        <w:spacing w:after="0" w:line="216"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infringement or misappropriation of our 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in component quality;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ship products on a timely basis.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1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5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97" w:lineRule="exact"/>
        <w:rPr>
          <w:sz w:val="20"/>
          <w:szCs w:val="20"/>
          <w:color w:val="auto"/>
        </w:rPr>
      </w:pPr>
    </w:p>
    <w:p>
      <w:pPr>
        <w:ind w:right="40" w:firstLine="648"/>
        <w:spacing w:after="0" w:line="268"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cause them to fail to help secure our customers or cause our products or services to allow unauthorized access to our customers’ networks. Additionally, any perception that our products have product vulnerabilities, whether or not accurate, may cause reputation harm.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services to effectively update end-customers’ Fortinet appliances and cloud-based products and thereby leave customers vulnerable to attacks. Furthermore, our solutions may also fail to detect or prevent viruses, worms, ransomware attacks or similar threats due to a number of reasons such as the evolving nature of such threats and the continual emergence of new threats that we may fail to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1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 actual, possible or perceived security breach or infection of the network of one of our end-customers, regardless of whether the breach is attributable to the failure of our products or services to prevent the security breach,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65" w:lineRule="exact"/>
        <w:rPr>
          <w:sz w:val="20"/>
          <w:szCs w:val="20"/>
          <w:color w:val="auto"/>
        </w:rPr>
      </w:pPr>
    </w:p>
    <w:p>
      <w:pPr>
        <w:ind w:left="1300" w:right="120" w:hanging="644"/>
        <w:spacing w:after="0" w:line="27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2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may be harmed.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20" w:firstLine="648"/>
        <w:spacing w:after="0" w:line="255" w:lineRule="auto"/>
        <w:rPr>
          <w:sz w:val="20"/>
          <w:szCs w:val="20"/>
          <w:color w:val="auto"/>
        </w:rPr>
      </w:pPr>
      <w:r>
        <w:rPr>
          <w:rFonts w:ascii="Arial" w:cs="Arial" w:eastAsia="Arial" w:hAnsi="Arial"/>
          <w:sz w:val="16"/>
          <w:szCs w:val="16"/>
          <w:color w:val="auto"/>
        </w:rPr>
        <w:t>Moreover, business models based on a subscription software as a service (“SaaS”),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success</w:t>
      </w:r>
    </w:p>
    <w:p>
      <w:pPr>
        <w:spacing w:after="0" w:line="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of any of our particular SaaS business models and the future demand for our SaaS models by customers. Additionally, if we are unable to meet the demand to provide our services through a SaaS model, we may lose customers to competitors.</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7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ability to sell our products is dependent on our quality control processes and the quality of our technical support services, and our failure to offer high-quality technical support services would have a material adverse effect on our sales and results of operations.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Systems and Technology</w:t>
      </w: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i w:val="1"/>
          <w:iCs w:val="1"/>
          <w:color w:val="auto"/>
        </w:rPr>
        <w:t>If our internal enterprise IT networks, on which we conduct internal business and interface externally, our operational networks, through which we connect to customers</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vendors and partners systems and provide services, or our research and development networks, our back-end labs and cloud stacks through which we research and develop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200" w:lineRule="exact"/>
        <w:rPr>
          <w:sz w:val="20"/>
          <w:szCs w:val="20"/>
          <w:color w:val="auto"/>
        </w:rPr>
      </w:pPr>
    </w:p>
    <w:p>
      <w:pPr>
        <w:ind w:right="40" w:firstLine="648"/>
        <w:spacing w:after="0" w:line="239" w:lineRule="auto"/>
        <w:rPr>
          <w:sz w:val="20"/>
          <w:szCs w:val="20"/>
          <w:color w:val="auto"/>
        </w:rPr>
      </w:pPr>
      <w:r>
        <w:rPr>
          <w:rFonts w:ascii="Arial" w:cs="Arial" w:eastAsia="Arial" w:hAnsi="Arial"/>
          <w:sz w:val="17"/>
          <w:szCs w:val="17"/>
          <w:color w:val="auto"/>
        </w:rPr>
        <w:t>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w:t>
      </w:r>
    </w:p>
    <w:p>
      <w:pPr>
        <w:spacing w:after="0" w:line="207" w:lineRule="exact"/>
        <w:rPr>
          <w:sz w:val="20"/>
          <w:szCs w:val="20"/>
          <w:color w:val="auto"/>
        </w:rPr>
      </w:pPr>
    </w:p>
    <w:p>
      <w:pPr>
        <w:ind w:right="40" w:firstLine="648"/>
        <w:spacing w:after="0" w:line="225" w:lineRule="auto"/>
        <w:rPr>
          <w:sz w:val="20"/>
          <w:szCs w:val="20"/>
          <w:color w:val="auto"/>
        </w:rPr>
      </w:pPr>
      <w:r>
        <w:rPr>
          <w:rFonts w:ascii="Arial" w:cs="Arial" w:eastAsia="Arial" w:hAnsi="Arial"/>
          <w:sz w:val="18"/>
          <w:szCs w:val="18"/>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 These and other hacking efforts against us and our customers may be ongoing and may happen in the future.</w:t>
      </w:r>
    </w:p>
    <w:p>
      <w:pPr>
        <w:spacing w:after="0" w:line="203" w:lineRule="exact"/>
        <w:rPr>
          <w:sz w:val="20"/>
          <w:szCs w:val="20"/>
          <w:color w:val="auto"/>
        </w:rPr>
      </w:pPr>
    </w:p>
    <w:p>
      <w:pPr>
        <w:ind w:right="80" w:firstLine="648"/>
        <w:spacing w:after="0" w:line="252" w:lineRule="auto"/>
        <w:rPr>
          <w:sz w:val="20"/>
          <w:szCs w:val="20"/>
          <w:color w:val="auto"/>
        </w:rPr>
      </w:pPr>
      <w:r>
        <w:rPr>
          <w:rFonts w:ascii="Arial" w:cs="Arial" w:eastAsia="Arial" w:hAnsi="Arial"/>
          <w:sz w:val="16"/>
          <w:szCs w:val="16"/>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1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addition, due to the COVID-19 pandemic, a substantial majority of our employees are temporarily working remotely, which may pose additional data security risks. For example, there has been an increase in phishing attempts and spam emails as well as social engineering attempts from hackers hoping to use the recent COVID-19 pandemic to their advantage. The risks described above could therefore be exacerbated by the COVID-19 pandemic.</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86"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timely and reliable reports on our financial and operating results and could impact the effectiveness of our internal control over financial reporting.</w:t>
      </w:r>
    </w:p>
    <w:p>
      <w:pPr>
        <w:spacing w:after="0" w:line="264" w:lineRule="exact"/>
        <w:rPr>
          <w:sz w:val="20"/>
          <w:szCs w:val="20"/>
          <w:color w:val="auto"/>
        </w:rPr>
      </w:pPr>
    </w:p>
    <w:p>
      <w:pPr>
        <w:ind w:right="440" w:firstLine="648"/>
        <w:spacing w:after="0" w:line="296" w:lineRule="auto"/>
        <w:rPr>
          <w:sz w:val="20"/>
          <w:szCs w:val="20"/>
          <w:color w:val="auto"/>
        </w:rPr>
      </w:pPr>
      <w:r>
        <w:rPr>
          <w:rFonts w:ascii="Arial" w:cs="Arial" w:eastAsia="Arial" w:hAnsi="Arial"/>
          <w:sz w:val="16"/>
          <w:szCs w:val="16"/>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188"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proprietary rights may be difficult to enforce and we may be subject to claims by others that we infringe their propriety technology.</w:t>
      </w:r>
    </w:p>
    <w:p>
      <w:pPr>
        <w:spacing w:after="0" w:line="23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1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IP rights. We could be subject to suits by parties claiming infringement of IP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8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9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4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01" w:lineRule="exact"/>
        <w:rPr>
          <w:sz w:val="20"/>
          <w:szCs w:val="20"/>
          <w:color w:val="auto"/>
        </w:rPr>
      </w:pPr>
    </w:p>
    <w:p>
      <w:pPr>
        <w:ind w:right="20" w:firstLine="648"/>
        <w:spacing w:after="0"/>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In December 2021, we entered into an agreement that provided for settlement and dismissal of an existing patent infringement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lawsuit and a mutual covenant-not-to-sue for a defined duration of time. Please refer to Note 11. Commitments and Contingencies in Part I, Item 1 of this Quarterly Report on Form 10-Q for additional information.</w:t>
      </w:r>
    </w:p>
    <w:p>
      <w:pPr>
        <w:spacing w:after="0" w:line="21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19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Financial Position</w:t>
      </w:r>
    </w:p>
    <w:p>
      <w:pPr>
        <w:spacing w:after="0" w:line="2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w:t>
      </w:r>
    </w:p>
    <w:p>
      <w:pPr>
        <w:spacing w:after="0" w:line="184"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or IP and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The results of certain businesses that we invest in, such as Linksys Holdings, Inc. (“Linksys”),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and we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result in negative impact to our operating results and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Linksys sells predominantly into the consumer Wi-Fi market, and its sales have declined since our investment. Because we are accounting for our Linksys investment using the equity method of accounting, we are required to assess the investment for other-than-temporary impairment (“OTTI”) when events or circumstances suggest that the carrying amount of the investment may be impaired. We have analyzed whether there should be an OTTI of the value of our investment in Linksys and so far have determined there is no impairment. In evaluating OTTI, we considered factors such as duration and extent of the decline, Linksys’ financial performance, and our ability and intent to retain the investment for a duration sufficient to allow for any anticipated recovery of the investment’s market value. We intend to continue to analyze whether an impairment is appropriate and may determine in the future that an impairment in the value of our investment in Linksys is other-than-temporary. If a decline in fair value is determined to be other-than-temporary, we will adjust the carrying value of the investment to its fair value and record the impairment expense in our consolidated statements of income. The cost basis of the investment is not adjusted for subsequent recoveries in fair value. We may experience additional volatility to our statements of operations due to the underlying operating results of Linksys or impairments of our Linksys investment. This volatility could be material to our results in any given quarter and may cause our stock price to decline.</w:t>
      </w:r>
    </w:p>
    <w:p>
      <w:pPr>
        <w:spacing w:after="0" w:line="208"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21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For example,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 In July 2020, the European Court of Justice issued a judgment declaring invalid the EU-U.S. Privacy Shield Framework (the “Privacy Shield”) as a mechanism for exportation of personal data from the European Economic Area to the United States. Though we are not participants of the Privacy Shield, and instead employ alternative mechanisms for personal data transfers, the ruling raises questions as to GDPR implications and adequate data protection in the United States, and may have an impact on our European customers and related business operations.</w:t>
      </w:r>
    </w:p>
    <w:p>
      <w:pPr>
        <w:spacing w:after="0" w:line="19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which will become effective in 2023. The costs of compliance with and the penalties for violations of the GDPR and CCPA, along with other burdens imposed by these regulations, may limit the use and adoption of our products and services and could have an adverse impact on our business.</w:t>
      </w:r>
    </w:p>
    <w:p>
      <w:pPr>
        <w:spacing w:after="0" w:line="216"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the U.S. government or one of its divisions,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34" w:lineRule="exact"/>
        <w:rPr>
          <w:sz w:val="20"/>
          <w:szCs w:val="20"/>
          <w:color w:val="auto"/>
        </w:rPr>
      </w:pPr>
    </w:p>
    <w:p>
      <w:pPr>
        <w:ind w:right="140" w:firstLine="648"/>
        <w:spacing w:after="0" w:line="249" w:lineRule="auto"/>
        <w:rPr>
          <w:sz w:val="20"/>
          <w:szCs w:val="20"/>
          <w:color w:val="auto"/>
        </w:rPr>
      </w:pPr>
      <w:r>
        <w:rPr>
          <w:rFonts w:ascii="Arial" w:cs="Arial" w:eastAsia="Arial" w:hAnsi="Arial"/>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limitations in our ability to do business with the public sector could have an adverse effect on our business and operating results.</w:t>
      </w:r>
    </w:p>
    <w:p>
      <w:pPr>
        <w:spacing w:after="0" w:line="2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9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92"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25" w:lineRule="exact"/>
        <w:rPr>
          <w:sz w:val="20"/>
          <w:szCs w:val="20"/>
          <w:color w:val="auto"/>
        </w:rPr>
      </w:pPr>
    </w:p>
    <w:p>
      <w:pPr>
        <w:ind w:right="80"/>
        <w:spacing w:after="0" w:line="362"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2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14"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of Chinese imported goods.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0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environmental requirements, our business, financial condition, operating results and reputation could be adversely affected.</w:t>
      </w:r>
    </w:p>
    <w:p>
      <w:pPr>
        <w:spacing w:after="0" w:line="273"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have an adverse impact on the costs of components in our products.</w:t>
      </w:r>
    </w:p>
    <w:p>
      <w:pPr>
        <w:spacing w:after="0" w:line="21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(“SVHC”) in articles and in complex objects. The SCIP database is established under the WFD and managed by the European Chemicals Agency (“ECHA”). We have incurred costs in order to comply with this new requirement.</w:t>
      </w:r>
    </w:p>
    <w:p>
      <w:pPr>
        <w:spacing w:after="0" w:line="208" w:lineRule="exact"/>
        <w:rPr>
          <w:sz w:val="20"/>
          <w:szCs w:val="20"/>
          <w:color w:val="auto"/>
        </w:rPr>
      </w:pPr>
    </w:p>
    <w:p>
      <w:pPr>
        <w:ind w:right="40" w:firstLine="648"/>
        <w:spacing w:after="0" w:line="229" w:lineRule="auto"/>
        <w:rPr>
          <w:sz w:val="20"/>
          <w:szCs w:val="20"/>
          <w:color w:val="auto"/>
        </w:rPr>
      </w:pPr>
      <w:r>
        <w:rPr>
          <w:rFonts w:ascii="Arial" w:cs="Arial" w:eastAsia="Arial" w:hAnsi="Arial"/>
          <w:sz w:val="18"/>
          <w:szCs w:val="18"/>
          <w:color w:val="auto"/>
        </w:rPr>
        <w:t>The EU</w:t>
      </w:r>
      <w:r>
        <w:rPr>
          <w:rFonts w:ascii="Arial" w:cs="Arial" w:eastAsia="Arial" w:hAnsi="Arial"/>
          <w:sz w:val="21"/>
          <w:szCs w:val="21"/>
          <w:color w:val="008080"/>
        </w:rPr>
        <w:t>’</w:t>
      </w:r>
      <w:r>
        <w:rPr>
          <w:rFonts w:ascii="Arial" w:cs="Arial" w:eastAsia="Arial" w:hAnsi="Arial"/>
          <w:sz w:val="18"/>
          <w:szCs w:val="18"/>
          <w:color w:val="auto"/>
        </w:rPr>
        <w:t>s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United States.</w:t>
      </w:r>
    </w:p>
    <w:p>
      <w:pPr>
        <w:spacing w:after="0" w:line="202" w:lineRule="exact"/>
        <w:rPr>
          <w:sz w:val="20"/>
          <w:szCs w:val="20"/>
          <w:color w:val="auto"/>
        </w:rPr>
      </w:pPr>
    </w:p>
    <w:p>
      <w:pPr>
        <w:ind w:right="100" w:firstLine="648"/>
        <w:spacing w:after="0" w:line="239" w:lineRule="auto"/>
        <w:rPr>
          <w:sz w:val="20"/>
          <w:szCs w:val="20"/>
          <w:color w:val="auto"/>
        </w:rPr>
      </w:pPr>
      <w:r>
        <w:rPr>
          <w:rFonts w:ascii="Arial" w:cs="Arial" w:eastAsia="Arial" w:hAnsi="Arial"/>
          <w:sz w:val="17"/>
          <w:szCs w:val="17"/>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98"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There is an increasing focus from certain investors, employees, customers and other stakeholders concerning corporate responsibility, specifically related to environmental, social and governance (“ESG”)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We may face reputational damage in the event that we do not meet the ESG standards set by various constituencies.</w:t>
      </w:r>
    </w:p>
    <w:p>
      <w:pPr>
        <w:spacing w:after="0" w:line="186" w:lineRule="exact"/>
        <w:rPr>
          <w:sz w:val="20"/>
          <w:szCs w:val="20"/>
          <w:color w:val="auto"/>
        </w:rPr>
      </w:pPr>
    </w:p>
    <w:p>
      <w:pPr>
        <w:ind w:right="60" w:firstLine="648"/>
        <w:spacing w:after="0" w:line="237" w:lineRule="auto"/>
        <w:rPr>
          <w:sz w:val="20"/>
          <w:szCs w:val="20"/>
          <w:color w:val="auto"/>
        </w:rPr>
      </w:pPr>
      <w:r>
        <w:rPr>
          <w:rFonts w:ascii="Arial" w:cs="Arial" w:eastAsia="Arial" w:hAnsi="Arial"/>
          <w:sz w:val="17"/>
          <w:szCs w:val="17"/>
          <w:color w:val="auto"/>
        </w:rPr>
        <w:t>Furthermore, in the event that we communicate certain initiatives and goals regarding ESG matters, such as our commitment to target carbon neutrality on Scope 1 and Scope 2 emissions resulting from our owned facilities worldwide by 2030,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 In addition, the SEC has also proposed a draft rule that requires climate disclosures in financial filings. To the extent the SEC proposal becomes effective for our company,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Finance, Accounting and Tax Matters</w:t>
      </w:r>
    </w:p>
    <w:p>
      <w:pPr>
        <w:spacing w:after="0" w:line="2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valuation of inventory, accounting for business combination, contingent liabilities and accounting for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6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significant portion of our operating expenses are incurred outside the United States. These expenses are denominated in foreign currencies and are subject to fluctuations due to changes in foreign currency exchange rates, particularly changes in the Euro, Canadian dollar and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7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51" w:lineRule="exact"/>
        <w:rPr>
          <w:sz w:val="20"/>
          <w:szCs w:val="20"/>
          <w:color w:val="auto"/>
        </w:rPr>
      </w:pPr>
    </w:p>
    <w:p>
      <w:pPr>
        <w:ind w:left="5540" w:right="3700" w:hanging="4884"/>
        <w:spacing w:after="0" w:line="919" w:lineRule="auto"/>
        <w:tabs>
          <w:tab w:leader="none" w:pos="1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increases to corporate tax rates;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availability of tax credits and/or tax deductions;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52"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97" w:lineRule="exact"/>
        <w:rPr>
          <w:rFonts w:ascii="Arial" w:cs="Arial" w:eastAsia="Arial" w:hAnsi="Arial"/>
          <w:sz w:val="18"/>
          <w:szCs w:val="18"/>
          <w:color w:val="auto"/>
        </w:rPr>
      </w:pPr>
    </w:p>
    <w:p>
      <w:pPr>
        <w:ind w:left="1300" w:right="840" w:hanging="644"/>
        <w:spacing w:after="0" w:line="27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9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0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6"/>
          <w:szCs w:val="16"/>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0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11"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84"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2021, our internal controls over financial reporting were effective, we cannot predict the outcome of our testing in</w:t>
      </w:r>
    </w:p>
    <w:p>
      <w:pPr>
        <w:spacing w:after="0" w:line="3" w:lineRule="exact"/>
        <w:rPr>
          <w:sz w:val="20"/>
          <w:szCs w:val="20"/>
          <w:color w:val="auto"/>
        </w:rPr>
      </w:pPr>
    </w:p>
    <w:p>
      <w:pPr>
        <w:jc w:val="both"/>
        <w:ind w:right="140"/>
        <w:spacing w:after="0" w:line="228" w:lineRule="auto"/>
        <w:rPr>
          <w:sz w:val="20"/>
          <w:szCs w:val="20"/>
          <w:color w:val="auto"/>
        </w:rPr>
      </w:pPr>
      <w:r>
        <w:rPr>
          <w:rFonts w:ascii="Arial" w:cs="Arial" w:eastAsia="Arial" w:hAnsi="Arial"/>
          <w:sz w:val="18"/>
          <w:szCs w:val="18"/>
          <w:color w:val="auto"/>
        </w:rPr>
        <w:t>2022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1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9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we do not maintain adequate research coverage, if one or more of the analysts who cover us downgrades our stock or publishes inaccurate or unfavorable research about our business or if our results or forecasts fail to meet the expectations of research analysts and investors, our stock price could decline. If one or more of these analysts ceases coverage of our company or fails to publish reports on us regularly, demand for our stock could decrease, which could cause our stock price and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our common stock may be volatile, which may be exacerbated by share repurchases under our Share Repurchase Program.</w:t>
      </w:r>
    </w:p>
    <w:p>
      <w:pPr>
        <w:spacing w:after="0" w:line="275" w:lineRule="exact"/>
        <w:rPr>
          <w:sz w:val="20"/>
          <w:szCs w:val="20"/>
          <w:color w:val="auto"/>
        </w:rPr>
      </w:pPr>
    </w:p>
    <w:p>
      <w:pPr>
        <w:ind w:right="280" w:firstLine="648"/>
        <w:spacing w:after="0" w:line="262" w:lineRule="auto"/>
        <w:rPr>
          <w:sz w:val="20"/>
          <w:szCs w:val="20"/>
          <w:color w:val="auto"/>
        </w:rPr>
      </w:pPr>
      <w:r>
        <w:rPr>
          <w:rFonts w:ascii="Arial" w:cs="Arial" w:eastAsia="Arial" w:hAnsi="Arial"/>
          <w:sz w:val="17"/>
          <w:szCs w:val="17"/>
          <w:color w:val="auto"/>
        </w:rPr>
        <w:t>The market price of our common stock may be subject to wide fluctuations in response to, among other things, the risk factors described in this periodic report, news about us and our financial results, the impact of the COVID-19 pandemic, news about our competitors and their results, and other factors such as rumors or fluctuations in the valuation of companies perceived by investors to be comparable to us. For example, during the six months ended June 30, 2022, the closing price of our common stock ranged from $49.04 to $69.50 per share.</w:t>
      </w:r>
    </w:p>
    <w:p>
      <w:pPr>
        <w:spacing w:after="0" w:line="199" w:lineRule="exact"/>
        <w:rPr>
          <w:sz w:val="20"/>
          <w:szCs w:val="20"/>
          <w:color w:val="auto"/>
        </w:rPr>
      </w:pPr>
    </w:p>
    <w:p>
      <w:pPr>
        <w:ind w:right="160" w:firstLine="693"/>
        <w:spacing w:after="0" w:line="279" w:lineRule="auto"/>
        <w:rPr>
          <w:sz w:val="20"/>
          <w:szCs w:val="20"/>
          <w:color w:val="auto"/>
        </w:rPr>
      </w:pPr>
      <w:r>
        <w:rPr>
          <w:rFonts w:ascii="Arial" w:cs="Arial" w:eastAsia="Arial" w:hAnsi="Arial"/>
          <w:sz w:val="17"/>
          <w:szCs w:val="17"/>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In addition, the market price of our common stock and the market price of the common stock of many other companies have fallen significantly since the outbreak of the COVID-19 pandemic. The extent to which the COVID-19</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pandemic may impact the market price of our common stock is unclear, and the market price of our common stock may fluctuate significantly as a result of the COVID-19 pandemic.</w:t>
      </w:r>
    </w:p>
    <w:p>
      <w:pPr>
        <w:spacing w:after="0" w:line="19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of June 30, 2022, $29.6 million remained available for future share repurchases under the Repurchase Program. In July 2022, our board of directors approved a $1.00 billion increase in the authorized stock repurchase amount under the Repurchase Program, bringing the remaining aggregate amount authorized to be repurchased to $1.03 billion.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0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73" w:lineRule="exact"/>
        <w:rPr>
          <w:sz w:val="20"/>
          <w:szCs w:val="20"/>
          <w:color w:val="auto"/>
        </w:rPr>
      </w:pPr>
    </w:p>
    <w:p>
      <w:pPr>
        <w:ind w:left="1300" w:right="360" w:hanging="644"/>
        <w:spacing w:after="0" w:line="27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2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engaging in certain business combinations without approval of the holders of a substantial majority of all of our outstanding common stock.</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Global economic uncertainty, an economic downturn, the possibility of a recession, and weakening product demand caused by political instability, changes in trade agreements and conflicts, such as the conflict between Russia and Ukraine, could adversely affect our business and financial performance.</w:t>
      </w:r>
    </w:p>
    <w:p>
      <w:pPr>
        <w:spacing w:after="0" w:line="211"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Economic uncertainty in various global markets caused by political instability and conflict and economic challenges caused by the COVID-19 pandemic, the economic downturn and any recession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China and other countries. The continuing effect of any or all of these events could adversely impact demand for our products, harm our operations and weaken our financial results.</w:t>
      </w:r>
    </w:p>
    <w:p>
      <w:pPr>
        <w:spacing w:after="0" w:line="20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ship products and could result in delays and reductions in billings and revenues, and the COVID-19 pandemic will negatively impact our ability to manufacture and ship products, possibly in a material way, and could result in delays and reductions in billings and revenues,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financial accounting standards may cause adverse unexpected fluctuations and affect our reported results of operations.</w:t>
      </w:r>
    </w:p>
    <w:p>
      <w:pPr>
        <w:spacing w:after="0" w:line="26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1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under the Repurchase Program during the three months ended June 30, 2022 (in millions,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of Shares Purchased as</w:t>
            </w:r>
          </w:p>
        </w:tc>
        <w:tc>
          <w:tcPr>
            <w:tcW w:w="120" w:type="dxa"/>
            <w:vAlign w:val="bottom"/>
          </w:tcPr>
          <w:p>
            <w:pPr>
              <w:spacing w:after="0"/>
              <w:rPr>
                <w:sz w:val="11"/>
                <w:szCs w:val="11"/>
                <w:color w:val="auto"/>
              </w:rPr>
            </w:pPr>
          </w:p>
        </w:tc>
        <w:tc>
          <w:tcPr>
            <w:tcW w:w="2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1"/>
                <w:szCs w:val="11"/>
                <w:color w:val="auto"/>
              </w:rPr>
            </w:pPr>
          </w:p>
        </w:tc>
        <w:tc>
          <w:tcPr>
            <w:tcW w:w="200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Announced Plan or</w:t>
            </w:r>
          </w:p>
        </w:tc>
        <w:tc>
          <w:tcPr>
            <w:tcW w:w="120" w:type="dxa"/>
            <w:vAlign w:val="bottom"/>
          </w:tcPr>
          <w:p>
            <w:pPr>
              <w:spacing w:after="0"/>
              <w:rPr>
                <w:sz w:val="11"/>
                <w:szCs w:val="11"/>
                <w:color w:val="auto"/>
              </w:rPr>
            </w:pPr>
          </w:p>
        </w:tc>
        <w:tc>
          <w:tcPr>
            <w:tcW w:w="24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3"/>
              </w:rPr>
              <w:t>of Shares that May Yet Be Purchased</w:t>
            </w: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gridSpan w:val="3"/>
            <w:vMerge w:val="continue"/>
          </w:tcPr>
          <w:p>
            <w:pPr>
              <w:spacing w:after="0"/>
              <w:rPr>
                <w:sz w:val="7"/>
                <w:szCs w:val="7"/>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20" w:type="dxa"/>
            <w:vAlign w:val="bottom"/>
          </w:tcPr>
          <w:p>
            <w:pPr>
              <w:spacing w:after="0"/>
              <w:rPr>
                <w:sz w:val="7"/>
                <w:szCs w:val="7"/>
                <w:color w:val="auto"/>
              </w:rPr>
            </w:pPr>
          </w:p>
        </w:tc>
        <w:tc>
          <w:tcPr>
            <w:tcW w:w="240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Under the Plans or Programs</w:t>
            </w:r>
          </w:p>
        </w:tc>
        <w:tc>
          <w:tcPr>
            <w:tcW w:w="0" w:type="dxa"/>
            <w:vAlign w:val="bottom"/>
          </w:tcPr>
          <w:p>
            <w:pPr>
              <w:spacing w:after="0"/>
              <w:rPr>
                <w:sz w:val="1"/>
                <w:szCs w:val="1"/>
                <w:color w:val="auto"/>
              </w:rPr>
            </w:pPr>
          </w:p>
        </w:tc>
      </w:tr>
      <w:tr>
        <w:trPr>
          <w:trHeight w:val="105"/>
        </w:trPr>
        <w:tc>
          <w:tcPr>
            <w:tcW w:w="3200" w:type="dxa"/>
            <w:vAlign w:val="bottom"/>
            <w:gridSpan w:val="2"/>
            <w:vMerge w:val="restart"/>
          </w:tcPr>
          <w:p>
            <w:pPr>
              <w:ind w:left="1660"/>
              <w:spacing w:after="0"/>
              <w:rPr>
                <w:sz w:val="20"/>
                <w:szCs w:val="20"/>
                <w:color w:val="auto"/>
              </w:rPr>
            </w:pPr>
            <w:r>
              <w:rPr>
                <w:rFonts w:ascii="Arial" w:cs="Arial" w:eastAsia="Arial" w:hAnsi="Arial"/>
                <w:sz w:val="14"/>
                <w:szCs w:val="14"/>
                <w:b w:val="1"/>
                <w:bCs w:val="1"/>
                <w:color w:val="auto"/>
              </w:rPr>
              <w:t>Period</w:t>
            </w:r>
          </w:p>
        </w:tc>
        <w:tc>
          <w:tcPr>
            <w:tcW w:w="16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of Shares Purchased</w:t>
            </w:r>
          </w:p>
        </w:tc>
        <w:tc>
          <w:tcPr>
            <w:tcW w:w="100" w:type="dxa"/>
            <w:vAlign w:val="bottom"/>
          </w:tcPr>
          <w:p>
            <w:pPr>
              <w:spacing w:after="0"/>
              <w:rPr>
                <w:sz w:val="9"/>
                <w:szCs w:val="9"/>
                <w:color w:val="auto"/>
              </w:rPr>
            </w:pPr>
          </w:p>
        </w:tc>
        <w:tc>
          <w:tcPr>
            <w:tcW w:w="13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per Share</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20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0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April 1 - April 30, 2022</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0" w:type="dxa"/>
            <w:vAlign w:val="bottom"/>
          </w:tcPr>
          <w:p>
            <w:pPr>
              <w:spacing w:after="0"/>
              <w:rPr>
                <w:sz w:val="1"/>
                <w:szCs w:val="1"/>
                <w:color w:val="auto"/>
              </w:rPr>
            </w:pPr>
          </w:p>
        </w:tc>
      </w:tr>
      <w:tr>
        <w:trPr>
          <w:trHeight w:val="230"/>
        </w:trPr>
        <w:tc>
          <w:tcPr>
            <w:tcW w:w="3200" w:type="dxa"/>
            <w:vAlign w:val="bottom"/>
            <w:gridSpan w:val="2"/>
          </w:tcPr>
          <w:p>
            <w:pPr>
              <w:ind w:left="680"/>
              <w:spacing w:after="0"/>
              <w:rPr>
                <w:sz w:val="20"/>
                <w:szCs w:val="20"/>
                <w:color w:val="auto"/>
              </w:rPr>
            </w:pPr>
            <w:r>
              <w:rPr>
                <w:rFonts w:ascii="Arial" w:cs="Arial" w:eastAsia="Arial" w:hAnsi="Arial"/>
                <w:sz w:val="18"/>
                <w:szCs w:val="18"/>
                <w:color w:val="auto"/>
              </w:rPr>
              <w:t>May 1 - May 31, 2022</w:t>
            </w:r>
          </w:p>
        </w:tc>
        <w:tc>
          <w:tcPr>
            <w:tcW w:w="1680" w:type="dxa"/>
            <w:vAlign w:val="bottom"/>
          </w:tcPr>
          <w:p>
            <w:pPr>
              <w:jc w:val="right"/>
              <w:spacing w:after="0"/>
              <w:rPr>
                <w:sz w:val="20"/>
                <w:szCs w:val="20"/>
                <w:color w:val="auto"/>
              </w:rPr>
            </w:pPr>
            <w:r>
              <w:rPr>
                <w:rFonts w:ascii="Arial" w:cs="Arial" w:eastAsia="Arial" w:hAnsi="Arial"/>
                <w:sz w:val="18"/>
                <w:szCs w:val="18"/>
                <w:color w:val="auto"/>
              </w:rPr>
              <w:t>13.6</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55.26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13.6</w:t>
            </w:r>
          </w:p>
        </w:tc>
        <w:tc>
          <w:tcPr>
            <w:tcW w:w="146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June 1 - June 30,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6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3200" w:type="dxa"/>
            <w:vAlign w:val="bottom"/>
            <w:gridSpan w:val="2"/>
          </w:tcPr>
          <w:p>
            <w:pPr>
              <w:ind w:left="168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55.45</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80" w:firstLine="648"/>
        <w:spacing w:after="0" w:line="261" w:lineRule="auto"/>
        <w:rPr>
          <w:sz w:val="20"/>
          <w:szCs w:val="20"/>
          <w:color w:val="auto"/>
        </w:rPr>
      </w:pPr>
      <w:r>
        <w:rPr>
          <w:rFonts w:ascii="Arial" w:cs="Arial" w:eastAsia="Arial" w:hAnsi="Arial"/>
          <w:sz w:val="18"/>
          <w:szCs w:val="18"/>
          <w:color w:val="auto"/>
        </w:rPr>
        <w:t>In July 2022, our board of directors approved a $1.00 billion increase in the authorized stock repurchase under the Repurchase Program, bringing the remaining aggregate amount authorized to be repurchased to $1.03 billion.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Incorporated by reference herein</w:t>
            </w: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0" w:type="dxa"/>
            <w:vAlign w:val="bottom"/>
          </w:tcPr>
          <w:p>
            <w:pPr>
              <w:spacing w:after="0"/>
              <w:rPr>
                <w:sz w:val="1"/>
                <w:szCs w:val="1"/>
                <w:color w:val="auto"/>
              </w:rPr>
            </w:pPr>
          </w:p>
        </w:tc>
      </w:tr>
      <w:tr>
        <w:trPr>
          <w:trHeight w:val="184"/>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95">
              <w:r>
                <w:rPr>
                  <w:rFonts w:ascii="Arial" w:cs="Arial" w:eastAsia="Arial" w:hAnsi="Arial"/>
                  <w:sz w:val="14"/>
                  <w:szCs w:val="14"/>
                  <w:color w:val="0000FF"/>
                  <w:w w:val="81"/>
                </w:rPr>
                <w:t>3.</w:t>
              </w:r>
              <w:r>
                <w:rPr>
                  <w:rFonts w:ascii="Arial" w:cs="Arial" w:eastAsia="Arial" w:hAnsi="Arial"/>
                  <w:sz w:val="14"/>
                  <w:szCs w:val="14"/>
                  <w:u w:val="single" w:color="auto"/>
                  <w:color w:val="0000FF"/>
                  <w:w w:val="81"/>
                </w:rPr>
                <w:t>1</w:t>
              </w:r>
            </w:hyperlink>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60" w:type="dxa"/>
            <w:vAlign w:val="bottom"/>
          </w:tcPr>
          <w:p>
            <w:pPr>
              <w:ind w:left="60"/>
              <w:spacing w:after="0"/>
              <w:rPr>
                <w:sz w:val="20"/>
                <w:szCs w:val="20"/>
                <w:color w:val="auto"/>
              </w:rPr>
            </w:pPr>
            <w:r>
              <w:rPr>
                <w:rFonts w:ascii="Arial" w:cs="Arial" w:eastAsia="Arial" w:hAnsi="Arial"/>
                <w:sz w:val="14"/>
                <w:szCs w:val="14"/>
                <w:color w:val="auto"/>
              </w:rPr>
              <w:t>Amended and Restated Certificate of Incorporation</w:t>
            </w:r>
          </w:p>
        </w:tc>
        <w:tc>
          <w:tcPr>
            <w:tcW w:w="2160" w:type="dxa"/>
            <w:vAlign w:val="bottom"/>
            <w:gridSpan w:val="2"/>
          </w:tcPr>
          <w:p>
            <w:pPr>
              <w:spacing w:after="0"/>
              <w:rPr>
                <w:sz w:val="20"/>
                <w:szCs w:val="20"/>
                <w:color w:val="auto"/>
              </w:rPr>
            </w:pPr>
            <w:r>
              <w:rPr>
                <w:rFonts w:ascii="Arial" w:cs="Arial" w:eastAsia="Arial" w:hAnsi="Arial"/>
                <w:sz w:val="14"/>
                <w:szCs w:val="14"/>
                <w:color w:val="auto"/>
              </w:rPr>
              <w:t>Form 8-K</w:t>
            </w:r>
          </w:p>
        </w:tc>
        <w:tc>
          <w:tcPr>
            <w:tcW w:w="1440" w:type="dxa"/>
            <w:vAlign w:val="bottom"/>
            <w:gridSpan w:val="2"/>
          </w:tcPr>
          <w:p>
            <w:pPr>
              <w:spacing w:after="0"/>
              <w:rPr>
                <w:sz w:val="20"/>
                <w:szCs w:val="20"/>
                <w:color w:val="auto"/>
              </w:rPr>
            </w:pPr>
            <w:r>
              <w:rPr>
                <w:rFonts w:ascii="Arial" w:cs="Arial" w:eastAsia="Arial" w:hAnsi="Arial"/>
                <w:sz w:val="14"/>
                <w:szCs w:val="14"/>
                <w:color w:val="auto"/>
              </w:rPr>
              <w:t>June 22, 2022</w:t>
            </w:r>
          </w:p>
        </w:tc>
        <w:tc>
          <w:tcPr>
            <w:tcW w:w="1340" w:type="dxa"/>
            <w:vAlign w:val="bottom"/>
          </w:tcPr>
          <w:p>
            <w:pPr>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16"/>
        </w:trPr>
        <w:tc>
          <w:tcPr>
            <w:tcW w:w="680" w:type="dxa"/>
            <w:vAlign w:val="bottom"/>
            <w:gridSpan w:val="3"/>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5560" w:type="dxa"/>
            <w:vAlign w:val="bottom"/>
          </w:tcPr>
          <w:p>
            <w:pPr>
              <w:ind w:left="60"/>
              <w:spacing w:after="0"/>
              <w:rPr>
                <w:sz w:val="20"/>
                <w:szCs w:val="20"/>
                <w:color w:val="auto"/>
              </w:rPr>
            </w:pPr>
            <w:r>
              <w:rPr>
                <w:rFonts w:ascii="Arial" w:cs="Arial" w:eastAsia="Arial" w:hAnsi="Arial"/>
                <w:sz w:val="14"/>
                <w:szCs w:val="14"/>
                <w:color w:val="auto"/>
                <w:w w:val="97"/>
              </w:rPr>
              <w:t>Certification of Chief Executive Officer pursuant to Exchange Act Rules 13a-14(a) and 15d-</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560" w:type="dxa"/>
            <w:vAlign w:val="bottom"/>
          </w:tcPr>
          <w:p>
            <w:pPr>
              <w:ind w:left="60"/>
              <w:spacing w:after="0" w:line="155" w:lineRule="exact"/>
              <w:rPr>
                <w:sz w:val="20"/>
                <w:szCs w:val="20"/>
                <w:color w:val="auto"/>
              </w:rPr>
            </w:pPr>
            <w:r>
              <w:rPr>
                <w:rFonts w:ascii="Arial" w:cs="Arial" w:eastAsia="Arial" w:hAnsi="Arial"/>
                <w:sz w:val="14"/>
                <w:szCs w:val="14"/>
                <w:color w:val="auto"/>
              </w:rPr>
              <w:t>14(a), as adopted pursuant to Section 302 of the Sarbanes-Oxley Act of 2002</w:t>
            </w: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0" w:type="dxa"/>
            <w:vAlign w:val="bottom"/>
            <w:gridSpan w:val="3"/>
          </w:tcPr>
          <w:p>
            <w:pPr>
              <w:spacing w:after="0"/>
              <w:rPr>
                <w:rFonts w:ascii="Arial" w:cs="Arial" w:eastAsia="Arial" w:hAnsi="Arial"/>
                <w:sz w:val="14"/>
                <w:szCs w:val="14"/>
                <w:color w:val="0000FF"/>
              </w:rPr>
            </w:pPr>
            <w:hyperlink w:anchor="page86">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5560" w:type="dxa"/>
            <w:vAlign w:val="bottom"/>
          </w:tcPr>
          <w:p>
            <w:pPr>
              <w:ind w:left="60"/>
              <w:spacing w:after="0"/>
              <w:rPr>
                <w:sz w:val="20"/>
                <w:szCs w:val="20"/>
                <w:color w:val="auto"/>
              </w:rPr>
            </w:pPr>
            <w:r>
              <w:rPr>
                <w:rFonts w:ascii="Arial" w:cs="Arial" w:eastAsia="Arial" w:hAnsi="Arial"/>
                <w:sz w:val="14"/>
                <w:szCs w:val="14"/>
                <w:color w:val="auto"/>
                <w:w w:val="98"/>
              </w:rPr>
              <w:t>Certification of Chief Financial Officer pursuant to Exchange Act Rules 13a-14(a) and 15d-</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vMerge w:val="restart"/>
          </w:tcPr>
          <w:p>
            <w:pPr>
              <w:ind w:left="60"/>
              <w:spacing w:after="0"/>
              <w:rPr>
                <w:sz w:val="20"/>
                <w:szCs w:val="20"/>
                <w:color w:val="auto"/>
              </w:rPr>
            </w:pPr>
            <w:r>
              <w:rPr>
                <w:rFonts w:ascii="Arial" w:cs="Arial" w:eastAsia="Arial" w:hAnsi="Arial"/>
                <w:sz w:val="14"/>
                <w:szCs w:val="14"/>
                <w:color w:val="auto"/>
              </w:rPr>
              <w:t>14(a), as adopted pursuant to Section 302 of the Sarbanes-Oxley Act of 2002</w:t>
            </w: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680" w:type="dxa"/>
            <w:vAlign w:val="bottom"/>
            <w:gridSpan w:val="3"/>
            <w:vMerge w:val="restart"/>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8"/>
                <w:szCs w:val="18"/>
                <w:color w:val="000000"/>
                <w:vertAlign w:val="superscript"/>
              </w:rPr>
              <w:t>#</w:t>
            </w:r>
          </w:p>
        </w:tc>
        <w:tc>
          <w:tcPr>
            <w:tcW w:w="5560" w:type="dxa"/>
            <w:vAlign w:val="bottom"/>
            <w:vMerge w:val="continue"/>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0" w:type="dxa"/>
            <w:vAlign w:val="bottom"/>
            <w:gridSpan w:val="3"/>
            <w:vMerge w:val="continue"/>
          </w:tcPr>
          <w:p>
            <w:pPr>
              <w:spacing w:after="0"/>
              <w:rPr>
                <w:sz w:val="17"/>
                <w:szCs w:val="17"/>
                <w:color w:val="auto"/>
              </w:rPr>
            </w:pPr>
          </w:p>
        </w:tc>
        <w:tc>
          <w:tcPr>
            <w:tcW w:w="5560" w:type="dxa"/>
            <w:vAlign w:val="bottom"/>
          </w:tcPr>
          <w:p>
            <w:pPr>
              <w:ind w:left="60"/>
              <w:spacing w:after="0"/>
              <w:rPr>
                <w:sz w:val="20"/>
                <w:szCs w:val="20"/>
                <w:color w:val="auto"/>
              </w:rPr>
            </w:pPr>
            <w:r>
              <w:rPr>
                <w:rFonts w:ascii="Arial" w:cs="Arial" w:eastAsia="Arial" w:hAnsi="Arial"/>
                <w:sz w:val="14"/>
                <w:szCs w:val="14"/>
                <w:color w:val="auto"/>
                <w:w w:val="99"/>
              </w:rPr>
              <w:t>Certifications of Chief Executive Officer and Chief Financial Officer pursuant to 18 U.S.C.</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560" w:type="dxa"/>
            <w:vAlign w:val="bottom"/>
          </w:tcPr>
          <w:p>
            <w:pPr>
              <w:ind w:left="60"/>
              <w:spacing w:after="0" w:line="155" w:lineRule="exact"/>
              <w:rPr>
                <w:sz w:val="20"/>
                <w:szCs w:val="20"/>
                <w:color w:val="auto"/>
              </w:rPr>
            </w:pPr>
            <w:r>
              <w:rPr>
                <w:rFonts w:ascii="Arial" w:cs="Arial" w:eastAsia="Arial" w:hAnsi="Arial"/>
                <w:sz w:val="14"/>
                <w:szCs w:val="14"/>
                <w:color w:val="auto"/>
              </w:rPr>
              <w:t>Section 1350, as adopted pursuant to Section 906 of the Sarbanes-Oxley Act of 2002</w:t>
            </w: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0" w:type="dxa"/>
            <w:vAlign w:val="bottom"/>
            <w:gridSpan w:val="3"/>
          </w:tcPr>
          <w:p>
            <w:pPr>
              <w:spacing w:after="0"/>
              <w:rPr>
                <w:sz w:val="20"/>
                <w:szCs w:val="20"/>
                <w:color w:val="auto"/>
              </w:rPr>
            </w:pPr>
            <w:r>
              <w:rPr>
                <w:rFonts w:ascii="Arial" w:cs="Arial" w:eastAsia="Arial" w:hAnsi="Arial"/>
                <w:sz w:val="14"/>
                <w:szCs w:val="14"/>
                <w:color w:val="auto"/>
              </w:rPr>
              <w:t>101.INS*</w:t>
            </w:r>
          </w:p>
        </w:tc>
        <w:tc>
          <w:tcPr>
            <w:tcW w:w="5560" w:type="dxa"/>
            <w:vAlign w:val="bottom"/>
          </w:tcPr>
          <w:p>
            <w:pPr>
              <w:ind w:left="60"/>
              <w:spacing w:after="0"/>
              <w:rPr>
                <w:sz w:val="20"/>
                <w:szCs w:val="20"/>
                <w:color w:val="auto"/>
              </w:rPr>
            </w:pPr>
            <w:r>
              <w:rPr>
                <w:rFonts w:ascii="Arial" w:cs="Arial" w:eastAsia="Arial" w:hAnsi="Arial"/>
                <w:sz w:val="14"/>
                <w:szCs w:val="14"/>
                <w:color w:val="auto"/>
                <w:w w:val="97"/>
              </w:rPr>
              <w:t>Inline XBRL Instance Document - the instance document does not appear in the interactive</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60" w:type="dxa"/>
            <w:vAlign w:val="bottom"/>
          </w:tcPr>
          <w:p>
            <w:pPr>
              <w:ind w:left="60"/>
              <w:spacing w:after="0"/>
              <w:rPr>
                <w:sz w:val="20"/>
                <w:szCs w:val="20"/>
                <w:color w:val="auto"/>
              </w:rPr>
            </w:pPr>
            <w:r>
              <w:rPr>
                <w:rFonts w:ascii="Arial" w:cs="Arial" w:eastAsia="Arial" w:hAnsi="Arial"/>
                <w:sz w:val="14"/>
                <w:szCs w:val="14"/>
                <w:color w:val="auto"/>
              </w:rPr>
              <w:t>data file because its XBRL tags are embedded within the inline XBRL document.</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80" w:type="dxa"/>
            <w:vAlign w:val="bottom"/>
            <w:gridSpan w:val="3"/>
          </w:tcPr>
          <w:p>
            <w:pPr>
              <w:spacing w:after="0"/>
              <w:rPr>
                <w:sz w:val="20"/>
                <w:szCs w:val="20"/>
                <w:color w:val="auto"/>
              </w:rPr>
            </w:pPr>
            <w:r>
              <w:rPr>
                <w:rFonts w:ascii="Arial" w:cs="Arial" w:eastAsia="Arial" w:hAnsi="Arial"/>
                <w:sz w:val="14"/>
                <w:szCs w:val="14"/>
                <w:color w:val="auto"/>
              </w:rPr>
              <w:t>101.SCH*</w:t>
            </w:r>
          </w:p>
        </w:tc>
        <w:tc>
          <w:tcPr>
            <w:tcW w:w="5560" w:type="dxa"/>
            <w:vAlign w:val="bottom"/>
          </w:tcPr>
          <w:p>
            <w:pPr>
              <w:ind w:left="60"/>
              <w:spacing w:after="0"/>
              <w:rPr>
                <w:sz w:val="20"/>
                <w:szCs w:val="20"/>
                <w:color w:val="auto"/>
              </w:rPr>
            </w:pPr>
            <w:r>
              <w:rPr>
                <w:rFonts w:ascii="Arial" w:cs="Arial" w:eastAsia="Arial" w:hAnsi="Arial"/>
                <w:sz w:val="14"/>
                <w:szCs w:val="14"/>
                <w:color w:val="auto"/>
              </w:rPr>
              <w:t>Inline XBRL Taxonomy Extension Schema Document</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 w:type="dxa"/>
            <w:vAlign w:val="bottom"/>
            <w:gridSpan w:val="3"/>
          </w:tcPr>
          <w:p>
            <w:pPr>
              <w:spacing w:after="0"/>
              <w:rPr>
                <w:sz w:val="20"/>
                <w:szCs w:val="20"/>
                <w:color w:val="auto"/>
              </w:rPr>
            </w:pPr>
            <w:r>
              <w:rPr>
                <w:rFonts w:ascii="Arial" w:cs="Arial" w:eastAsia="Arial" w:hAnsi="Arial"/>
                <w:sz w:val="14"/>
                <w:szCs w:val="14"/>
                <w:color w:val="auto"/>
              </w:rPr>
              <w:t>101.CAL*</w:t>
            </w:r>
          </w:p>
        </w:tc>
        <w:tc>
          <w:tcPr>
            <w:tcW w:w="5560" w:type="dxa"/>
            <w:vAlign w:val="bottom"/>
          </w:tcPr>
          <w:p>
            <w:pPr>
              <w:ind w:left="60"/>
              <w:spacing w:after="0"/>
              <w:rPr>
                <w:sz w:val="20"/>
                <w:szCs w:val="20"/>
                <w:color w:val="auto"/>
              </w:rPr>
            </w:pPr>
            <w:r>
              <w:rPr>
                <w:rFonts w:ascii="Arial" w:cs="Arial" w:eastAsia="Arial" w:hAnsi="Arial"/>
                <w:sz w:val="14"/>
                <w:szCs w:val="14"/>
                <w:color w:val="auto"/>
              </w:rPr>
              <w:t>Inline XBRL Taxonomy Extension Calculation Linkbase Document</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 w:type="dxa"/>
            <w:vAlign w:val="bottom"/>
            <w:gridSpan w:val="3"/>
          </w:tcPr>
          <w:p>
            <w:pPr>
              <w:spacing w:after="0"/>
              <w:rPr>
                <w:sz w:val="20"/>
                <w:szCs w:val="20"/>
                <w:color w:val="auto"/>
              </w:rPr>
            </w:pPr>
            <w:r>
              <w:rPr>
                <w:rFonts w:ascii="Arial" w:cs="Arial" w:eastAsia="Arial" w:hAnsi="Arial"/>
                <w:sz w:val="14"/>
                <w:szCs w:val="14"/>
                <w:color w:val="auto"/>
              </w:rPr>
              <w:t>101.DEF*</w:t>
            </w:r>
          </w:p>
        </w:tc>
        <w:tc>
          <w:tcPr>
            <w:tcW w:w="5560" w:type="dxa"/>
            <w:vAlign w:val="bottom"/>
          </w:tcPr>
          <w:p>
            <w:pPr>
              <w:ind w:left="60"/>
              <w:spacing w:after="0"/>
              <w:rPr>
                <w:sz w:val="20"/>
                <w:szCs w:val="20"/>
                <w:color w:val="auto"/>
              </w:rPr>
            </w:pPr>
            <w:r>
              <w:rPr>
                <w:rFonts w:ascii="Arial" w:cs="Arial" w:eastAsia="Arial" w:hAnsi="Arial"/>
                <w:sz w:val="14"/>
                <w:szCs w:val="14"/>
                <w:color w:val="auto"/>
              </w:rPr>
              <w:t>Inline XBRL Taxonomy Extension Definition Linkbase Document</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 w:type="dxa"/>
            <w:vAlign w:val="bottom"/>
            <w:gridSpan w:val="3"/>
          </w:tcPr>
          <w:p>
            <w:pPr>
              <w:spacing w:after="0"/>
              <w:rPr>
                <w:sz w:val="20"/>
                <w:szCs w:val="20"/>
                <w:color w:val="auto"/>
              </w:rPr>
            </w:pPr>
            <w:r>
              <w:rPr>
                <w:rFonts w:ascii="Arial" w:cs="Arial" w:eastAsia="Arial" w:hAnsi="Arial"/>
                <w:sz w:val="14"/>
                <w:szCs w:val="14"/>
                <w:color w:val="auto"/>
              </w:rPr>
              <w:t>101.LAB*</w:t>
            </w:r>
          </w:p>
        </w:tc>
        <w:tc>
          <w:tcPr>
            <w:tcW w:w="5560" w:type="dxa"/>
            <w:vAlign w:val="bottom"/>
          </w:tcPr>
          <w:p>
            <w:pPr>
              <w:ind w:left="60"/>
              <w:spacing w:after="0"/>
              <w:rPr>
                <w:sz w:val="20"/>
                <w:szCs w:val="20"/>
                <w:color w:val="auto"/>
              </w:rPr>
            </w:pPr>
            <w:r>
              <w:rPr>
                <w:rFonts w:ascii="Arial" w:cs="Arial" w:eastAsia="Arial" w:hAnsi="Arial"/>
                <w:sz w:val="14"/>
                <w:szCs w:val="14"/>
                <w:color w:val="auto"/>
              </w:rPr>
              <w:t>Inline XBRL Taxonomy Extension Label Linkbase Document</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 w:type="dxa"/>
            <w:vAlign w:val="bottom"/>
            <w:gridSpan w:val="3"/>
          </w:tcPr>
          <w:p>
            <w:pPr>
              <w:spacing w:after="0"/>
              <w:rPr>
                <w:sz w:val="20"/>
                <w:szCs w:val="20"/>
                <w:color w:val="auto"/>
              </w:rPr>
            </w:pPr>
            <w:r>
              <w:rPr>
                <w:rFonts w:ascii="Arial" w:cs="Arial" w:eastAsia="Arial" w:hAnsi="Arial"/>
                <w:sz w:val="14"/>
                <w:szCs w:val="14"/>
                <w:color w:val="auto"/>
              </w:rPr>
              <w:t>101.PRE*</w:t>
            </w:r>
          </w:p>
        </w:tc>
        <w:tc>
          <w:tcPr>
            <w:tcW w:w="5560" w:type="dxa"/>
            <w:vAlign w:val="bottom"/>
          </w:tcPr>
          <w:p>
            <w:pPr>
              <w:ind w:left="60"/>
              <w:spacing w:after="0"/>
              <w:rPr>
                <w:sz w:val="20"/>
                <w:szCs w:val="20"/>
                <w:color w:val="auto"/>
              </w:rPr>
            </w:pPr>
            <w:r>
              <w:rPr>
                <w:rFonts w:ascii="Arial" w:cs="Arial" w:eastAsia="Arial" w:hAnsi="Arial"/>
                <w:sz w:val="14"/>
                <w:szCs w:val="14"/>
                <w:color w:val="auto"/>
              </w:rPr>
              <w:t>Inline XBRL Taxonomy Extension Presentation Linkbase Document</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80" w:type="dxa"/>
            <w:vAlign w:val="bottom"/>
            <w:gridSpan w:val="3"/>
          </w:tcPr>
          <w:p>
            <w:pPr>
              <w:spacing w:after="0"/>
              <w:rPr>
                <w:sz w:val="20"/>
                <w:szCs w:val="20"/>
                <w:color w:val="auto"/>
              </w:rPr>
            </w:pPr>
            <w:r>
              <w:rPr>
                <w:rFonts w:ascii="Arial" w:cs="Arial" w:eastAsia="Arial" w:hAnsi="Arial"/>
                <w:sz w:val="14"/>
                <w:szCs w:val="14"/>
                <w:color w:val="auto"/>
              </w:rPr>
              <w:t>104*</w:t>
            </w:r>
          </w:p>
        </w:tc>
        <w:tc>
          <w:tcPr>
            <w:tcW w:w="5560" w:type="dxa"/>
            <w:vAlign w:val="bottom"/>
          </w:tcPr>
          <w:p>
            <w:pPr>
              <w:ind w:left="60"/>
              <w:spacing w:after="0"/>
              <w:rPr>
                <w:sz w:val="20"/>
                <w:szCs w:val="20"/>
                <w:color w:val="auto"/>
              </w:rPr>
            </w:pPr>
            <w:r>
              <w:rPr>
                <w:rFonts w:ascii="Arial" w:cs="Arial" w:eastAsia="Arial" w:hAnsi="Arial"/>
                <w:sz w:val="14"/>
                <w:szCs w:val="14"/>
                <w:color w:val="auto"/>
                <w:w w:val="97"/>
              </w:rPr>
              <w:t>Cover Page Interactive Data File - the cover page from the Company’s Quarterly Report on</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60" w:type="dxa"/>
            <w:vAlign w:val="bottom"/>
          </w:tcPr>
          <w:p>
            <w:pPr>
              <w:ind w:left="60"/>
              <w:spacing w:after="0"/>
              <w:rPr>
                <w:sz w:val="20"/>
                <w:szCs w:val="20"/>
                <w:color w:val="auto"/>
              </w:rPr>
            </w:pPr>
            <w:r>
              <w:rPr>
                <w:rFonts w:ascii="Arial" w:cs="Arial" w:eastAsia="Arial" w:hAnsi="Arial"/>
                <w:sz w:val="14"/>
                <w:szCs w:val="14"/>
                <w:color w:val="auto"/>
              </w:rPr>
              <w:t>Form 10-Q for the quarter ended June 30, 2022 is formatted in inline XBRL.</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35"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18"/>
          <w:szCs w:val="18"/>
          <w:color w:val="auto"/>
        </w:rPr>
      </w:pPr>
      <w:r>
        <w:rPr>
          <w:rFonts w:ascii="Arial" w:cs="Arial" w:eastAsia="Arial" w:hAnsi="Arial"/>
          <w:sz w:val="14"/>
          <w:szCs w:val="14"/>
          <w:color w:val="auto"/>
        </w:rPr>
        <w:t>Filed herewith.</w:t>
      </w:r>
    </w:p>
    <w:p>
      <w:pPr>
        <w:ind w:left="100" w:hanging="92"/>
        <w:spacing w:after="0" w:line="181" w:lineRule="auto"/>
        <w:tabs>
          <w:tab w:leader="none" w:pos="100" w:val="left"/>
        </w:tabs>
        <w:numPr>
          <w:ilvl w:val="0"/>
          <w:numId w:val="45"/>
        </w:numPr>
        <w:rPr>
          <w:rFonts w:ascii="Arial" w:cs="Arial" w:eastAsia="Arial" w:hAnsi="Arial"/>
          <w:sz w:val="23"/>
          <w:szCs w:val="23"/>
          <w:color w:val="auto"/>
          <w:vertAlign w:val="superscript"/>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5, 2022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4" w:lineRule="exact"/>
        <w:rPr>
          <w:sz w:val="20"/>
          <w:szCs w:val="20"/>
          <w:color w:val="auto"/>
        </w:rPr>
      </w:pPr>
    </w:p>
    <w:p>
      <w:pPr>
        <w:ind w:left="3540"/>
        <w:spacing w:after="0"/>
        <w:tabs>
          <w:tab w:leader="none" w:pos="714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13"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5, 2022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4" w:lineRule="exact"/>
        <w:rPr>
          <w:sz w:val="20"/>
          <w:szCs w:val="20"/>
          <w:color w:val="auto"/>
        </w:rPr>
      </w:pPr>
    </w:p>
    <w:p>
      <w:pPr>
        <w:ind w:left="3540"/>
        <w:spacing w:after="0"/>
        <w:tabs>
          <w:tab w:leader="none" w:pos="6800" w:val="left"/>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2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80"/>
          </w:cols>
          <w:pgMar w:left="320" w:top="283" w:right="39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9229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Ken Xie</w:t>
      </w:r>
    </w:p>
    <w:p>
      <w:pPr>
        <w:spacing w:after="0" w:line="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w:t>
      </w: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922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Keith Jensen</w:t>
      </w:r>
    </w:p>
    <w:p>
      <w:pPr>
        <w:spacing w:after="0" w:line="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ind w:left="63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June 30, 2022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2800" w:type="dxa"/>
            <w:vAlign w:val="bottom"/>
          </w:tcPr>
          <w:p>
            <w:pPr>
              <w:ind w:left="21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Xie</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Date:   August 5, 2022</w:t>
            </w:r>
          </w:p>
        </w:tc>
        <w:tc>
          <w:tcPr>
            <w:tcW w:w="2800" w:type="dxa"/>
            <w:vAlign w:val="bottom"/>
          </w:tcPr>
          <w:p>
            <w:pPr>
              <w:ind w:left="21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176"/>
        </w:trPr>
        <w:tc>
          <w:tcPr>
            <w:tcW w:w="3820" w:type="dxa"/>
            <w:vAlign w:val="bottom"/>
          </w:tcPr>
          <w:p>
            <w:pPr>
              <w:spacing w:after="0"/>
              <w:rPr>
                <w:sz w:val="15"/>
                <w:szCs w:val="15"/>
                <w:color w:val="auto"/>
              </w:rPr>
            </w:pPr>
          </w:p>
        </w:tc>
        <w:tc>
          <w:tcPr>
            <w:tcW w:w="2800" w:type="dxa"/>
            <w:vAlign w:val="bottom"/>
          </w:tcPr>
          <w:p>
            <w:pPr>
              <w:ind w:left="210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and Chairman</w:t>
            </w:r>
          </w:p>
        </w:tc>
      </w:tr>
      <w:tr>
        <w:trPr>
          <w:trHeight w:val="230"/>
        </w:trPr>
        <w:tc>
          <w:tcPr>
            <w:tcW w:w="3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4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June 30, 2022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2800" w:type="dxa"/>
            <w:vAlign w:val="bottom"/>
          </w:tcPr>
          <w:p>
            <w:pPr>
              <w:ind w:left="21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Jensen</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Date:   August 5, 2022</w:t>
            </w:r>
          </w:p>
        </w:tc>
        <w:tc>
          <w:tcPr>
            <w:tcW w:w="2800" w:type="dxa"/>
            <w:vAlign w:val="bottom"/>
          </w:tcPr>
          <w:p>
            <w:pPr>
              <w:ind w:left="21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Keith Jensen</w:t>
            </w:r>
          </w:p>
        </w:tc>
      </w:tr>
      <w:tr>
        <w:trPr>
          <w:trHeight w:val="176"/>
        </w:trPr>
        <w:tc>
          <w:tcPr>
            <w:tcW w:w="3820" w:type="dxa"/>
            <w:vAlign w:val="bottom"/>
          </w:tcPr>
          <w:p>
            <w:pPr>
              <w:spacing w:after="0"/>
              <w:rPr>
                <w:sz w:val="15"/>
                <w:szCs w:val="15"/>
                <w:color w:val="auto"/>
              </w:rPr>
            </w:pPr>
          </w:p>
        </w:tc>
        <w:tc>
          <w:tcPr>
            <w:tcW w:w="2800" w:type="dxa"/>
            <w:vAlign w:val="bottom"/>
          </w:tcPr>
          <w:p>
            <w:pPr>
              <w:ind w:left="210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5"/>
              </w:rPr>
              <w:t>(Principal Financial Officer and Principal Accounting Officer)</w:t>
            </w:r>
          </w:p>
        </w:tc>
      </w:tr>
    </w:tbl>
    <w:p>
      <w:pPr>
        <w:spacing w:after="0" w:line="200" w:lineRule="exact"/>
        <w:rPr>
          <w:sz w:val="20"/>
          <w:szCs w:val="20"/>
          <w:color w:val="auto"/>
        </w:rPr>
      </w:pPr>
    </w:p>
    <w:p>
      <w:pPr>
        <w:spacing w:after="0" w:line="284"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2"/>
    </w:lvl>
  </w:abstractNum>
  <w:abstractNum w:abstractNumId="6">
    <w:nsid w:val="54E49EB4"/>
    <w:multiLevelType w:val="hybridMultilevel"/>
    <w:lvl w:ilvl="0">
      <w:lvlJc w:val="left"/>
      <w:lvlText w:val="%1."/>
      <w:numFmt w:val="decimal"/>
      <w:start w:val="3"/>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1."/>
      <w:numFmt w:val="decimal"/>
      <w:start w:val="7"/>
    </w:lvl>
  </w:abstractNum>
  <w:abstractNum w:abstractNumId="9">
    <w:nsid w:val="836C40E"/>
    <w:multiLevelType w:val="hybridMultilevel"/>
    <w:lvl w:ilvl="0">
      <w:lvlJc w:val="left"/>
      <w:lvlText w:val="%1."/>
      <w:numFmt w:val="decimal"/>
      <w:start w:val="9"/>
    </w:lvl>
  </w:abstractNum>
  <w:abstractNum w:abstractNumId="10">
    <w:nsid w:val="2901D82"/>
    <w:multiLevelType w:val="hybridMultilevel"/>
    <w:lvl w:ilvl="0">
      <w:lvlJc w:val="left"/>
      <w:lvlText w:val="%1."/>
      <w:numFmt w:val="decimal"/>
      <w:start w:val="10"/>
    </w:lvl>
  </w:abstractNum>
  <w:abstractNum w:abstractNumId="11">
    <w:nsid w:val="3A95F874"/>
    <w:multiLevelType w:val="hybridMultilevel"/>
    <w:lvl w:ilvl="0">
      <w:lvlJc w:val="left"/>
      <w:lvlText w:val="%1."/>
      <w:numFmt w:val="decimal"/>
      <w:start w:val="11"/>
    </w:lvl>
  </w:abstractNum>
  <w:abstractNum w:abstractNumId="12">
    <w:nsid w:val="8138641"/>
    <w:multiLevelType w:val="hybridMultilevel"/>
    <w:lvl w:ilvl="0">
      <w:lvlJc w:val="left"/>
      <w:lvlText w:val="%1."/>
      <w:numFmt w:val="decimal"/>
      <w:start w:val="12"/>
    </w:lvl>
  </w:abstractNum>
  <w:abstractNum w:abstractNumId="13">
    <w:nsid w:val="1E7FF521"/>
    <w:multiLevelType w:val="hybridMultilevel"/>
    <w:lvl w:ilvl="0">
      <w:lvlJc w:val="left"/>
      <w:lvlText w:val="%1."/>
      <w:numFmt w:val="decimal"/>
      <w:start w:val="14"/>
    </w:lvl>
  </w:abstractNum>
  <w:abstractNum w:abstractNumId="14">
    <w:nsid w:val="7C3DBD3D"/>
    <w:multiLevelType w:val="hybridMultilevel"/>
    <w:lvl w:ilvl="0">
      <w:lvlJc w:val="left"/>
      <w:lvlText w:val="%1."/>
      <w:numFmt w:val="decimal"/>
      <w:start w:val="15"/>
    </w:lvl>
  </w:abstractNum>
  <w:abstractNum w:abstractNumId="15">
    <w:nsid w:val="737B8DDC"/>
    <w:multiLevelType w:val="hybridMultilevel"/>
    <w:lvl w:ilvl="0">
      <w:lvlJc w:val="left"/>
      <w:lvlText w:val="%1."/>
      <w:numFmt w:val="decimal"/>
      <w:start w:val="16"/>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95" Type="http://schemas.openxmlformats.org/officeDocument/2006/relationships/hyperlink" Target="https://www.sec.gov/Archives/edgar/data/1262039/000126203922000023/ex31ftnt-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2022-08-05T15:16:28Z</dcterms:created>
  <dcterms:modified xsi:type="dcterms:W3CDTF">2022-08-05T15:16:28Z</dcterms:modified>
</cp:coreProperties>
</file>