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7dc029bb3b82494a8136cb244d07aa3e_7">
        <w:r>
          <w:rPr>
            <w:rStyle w:val="InternetLink"/>
            <w:rFonts w:ascii="Times New Roman;sans-serif" w:hAnsi="Times New Roman;sans-serif"/>
            <w:b w:val="false"/>
            <w:color w:val="0000FF"/>
            <w:sz w:val="16"/>
            <w:u w:val="single"/>
          </w:rPr>
          <w:t>Table of Contents</w:t>
        </w:r>
      </w:hyperlink>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UNITED STATES</w:t>
      </w:r>
    </w:p>
    <w:p>
      <w:pPr>
        <w:pStyle w:val="TextBody"/>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SECURITIES AND EXCHANGE COMMISSION</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spacing w:before="0" w:after="0"/>
        <w:rPr/>
      </w:pPr>
      <w:r>
        <w:rPr/>
      </w:r>
    </w:p>
    <w:p>
      <w:pPr>
        <w:pStyle w:val="TextBody"/>
        <w:spacing w:lineRule="auto" w:line="288" w:before="0" w:after="0"/>
        <w:jc w:val="center"/>
        <w:rPr/>
      </w:pPr>
      <w:r>
        <w:rPr>
          <w:rFonts w:ascii="Times New Roman;sans-serif" w:hAnsi="Times New Roman;sans-serif"/>
          <w:b/>
          <w:color w:val="000000"/>
          <w:sz w:val="26"/>
        </w:rPr>
        <w:t>FORM 10-Q</w:t>
      </w:r>
      <w:r>
        <w:rPr>
          <w:color w:val="000000"/>
        </w:rPr>
        <w:t> </w:t>
      </w:r>
    </w:p>
    <w:p>
      <w:pPr>
        <w:pStyle w:val="TextBody"/>
        <w:spacing w:lineRule="auto" w:line="288" w:before="180" w:after="283"/>
        <w:rPr>
          <w:rFonts w:ascii="Times New Roman;sans-serif" w:hAnsi="Times New Roman;sans-serif"/>
          <w:b w:val="false"/>
          <w:color w:val="000000"/>
          <w:sz w:val="18"/>
        </w:rPr>
      </w:pPr>
      <w:r>
        <w:rPr>
          <w:rFonts w:ascii="Times New Roman;sans-serif" w:hAnsi="Times New Roman;sans-serif"/>
          <w:b w:val="false"/>
          <w:color w:val="000000"/>
          <w:sz w:val="18"/>
        </w:rPr>
        <w:t>(Mark One)</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2023 </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lineRule="auto" w:line="288" w:before="180" w:after="283"/>
        <w:jc w:val="center"/>
        <w:rPr/>
      </w:pPr>
      <w:r>
        <w:rPr>
          <w:color w:val="000000"/>
        </w:rPr>
        <w:t> </w:t>
      </w: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001-34511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FORTINET, INC.</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w:t>
      </w:r>
    </w:p>
    <w:p>
      <w:pPr>
        <w:pStyle w:val="TextBody"/>
        <w:spacing w:before="0" w:after="0"/>
        <w:jc w:val="center"/>
        <w:rPr/>
      </w:pPr>
      <w:r>
        <w:rPr/>
      </w:r>
    </w:p>
    <w:tbl>
      <w:tblPr>
        <w:tblW w:w="4659" w:type="dxa"/>
        <w:jc w:val="center"/>
        <w:tblInd w:w="0" w:type="dxa"/>
        <w:tblCellMar>
          <w:top w:w="28" w:type="dxa"/>
          <w:left w:w="28" w:type="dxa"/>
          <w:bottom w:w="28" w:type="dxa"/>
          <w:right w:w="28" w:type="dxa"/>
        </w:tblCellMar>
      </w:tblPr>
      <w:tblGrid>
        <w:gridCol w:w="883"/>
        <w:gridCol w:w="777"/>
        <w:gridCol w:w="785"/>
        <w:gridCol w:w="109"/>
        <w:gridCol w:w="109"/>
        <w:gridCol w:w="109"/>
        <w:gridCol w:w="109"/>
        <w:gridCol w:w="109"/>
        <w:gridCol w:w="109"/>
        <w:gridCol w:w="455"/>
        <w:gridCol w:w="455"/>
        <w:gridCol w:w="650"/>
      </w:tblGrid>
      <w:tr>
        <w:trPr/>
        <w:tc>
          <w:tcPr>
            <w:tcW w:w="883"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654" w:type="dxa"/>
            <w:gridSpan w:val="6"/>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77-0560389</w:t>
            </w:r>
          </w:p>
        </w:tc>
      </w:tr>
      <w:tr>
        <w:trPr/>
        <w:tc>
          <w:tcPr>
            <w:tcW w:w="24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(State or other jurisdiction of</w:t>
              <w:br/>
              <w:t>incorporation or organization)</w:t>
            </w:r>
          </w:p>
        </w:tc>
        <w:tc>
          <w:tcPr>
            <w:tcW w:w="654" w:type="dxa"/>
            <w:gridSpan w:val="6"/>
            <w:vMerge w:val="continue"/>
            <w:tcBorders/>
            <w:shd w:fill="auto" w:val="clear"/>
            <w:tcMar>
              <w:top w:w="0" w:type="dxa"/>
              <w:left w:w="0" w:type="dxa"/>
              <w:bottom w:w="0" w:type="dxa"/>
              <w:right w:w="0" w:type="dxa"/>
            </w:tcMar>
            <w:vAlign w:val="center"/>
          </w:tcPr>
          <w:p>
            <w:pPr>
              <w:pStyle w:val="Normal"/>
              <w:rPr/>
            </w:pPr>
            <w:r>
              <w:rPr/>
            </w:r>
          </w:p>
        </w:tc>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(I.R.S. Employer</w:t>
              <w:br/>
              <w:t>Identification No.)</w:t>
            </w:r>
          </w:p>
        </w:tc>
      </w:tr>
      <w:tr>
        <w:trPr/>
        <w:tc>
          <w:tcPr>
            <w:tcW w:w="24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899 Kifer Road</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Sunnyvale, California 94086 </w:t>
      </w:r>
    </w:p>
    <w:p>
      <w:pPr>
        <w:pStyle w:val="TextBody"/>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(Address of principal executive offices, including zip code)</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(408) 235-7700</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(Registrant’s telephone number, including area code)</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Exchange Act:</w:t>
      </w:r>
    </w:p>
    <w:tbl>
      <w:tblPr>
        <w:tblW w:w="8813" w:type="dxa"/>
        <w:jc w:val="left"/>
        <w:tblInd w:w="0" w:type="dxa"/>
        <w:tblCellMar>
          <w:top w:w="28" w:type="dxa"/>
          <w:left w:w="28" w:type="dxa"/>
          <w:bottom w:w="28" w:type="dxa"/>
          <w:right w:w="28" w:type="dxa"/>
        </w:tblCellMar>
      </w:tblPr>
      <w:tblGrid>
        <w:gridCol w:w="1073"/>
        <w:gridCol w:w="943"/>
        <w:gridCol w:w="954"/>
        <w:gridCol w:w="109"/>
        <w:gridCol w:w="109"/>
        <w:gridCol w:w="109"/>
        <w:gridCol w:w="454"/>
        <w:gridCol w:w="454"/>
        <w:gridCol w:w="456"/>
        <w:gridCol w:w="109"/>
        <w:gridCol w:w="109"/>
        <w:gridCol w:w="109"/>
        <w:gridCol w:w="1118"/>
        <w:gridCol w:w="1118"/>
        <w:gridCol w:w="1589"/>
      </w:tblGrid>
      <w:tr>
        <w:trPr/>
        <w:tc>
          <w:tcPr>
            <w:tcW w:w="107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r>
      <w:tr>
        <w:trPr/>
        <w:tc>
          <w:tcPr>
            <w:tcW w:w="29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9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$0.001 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FTNT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spacing w:before="0" w:after="0"/>
        <w:ind w:left="0" w:right="0" w:firstLine="360"/>
        <w:rPr/>
      </w:pPr>
      <w:r>
        <w:rPr/>
      </w:r>
    </w:p>
    <w:p>
      <w:pPr>
        <w:pStyle w:val="TextBody"/>
        <w:spacing w:lineRule="auto" w:line="288" w:before="0" w:after="0"/>
        <w:ind w:left="0" w:right="0" w:firstLine="36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180" w:after="283"/>
        <w:ind w:left="0" w:right="0" w:firstLine="315"/>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No  </w:t>
      </w:r>
      <w:r>
        <w:rPr>
          <w:color w:val="000000"/>
        </w:rPr>
        <w:t>☐ </w:t>
      </w:r>
    </w:p>
    <w:p>
      <w:pPr>
        <w:pStyle w:val="TextBody"/>
        <w:spacing w:lineRule="auto" w:line="288" w:before="180" w:after="283"/>
        <w:ind w:left="0" w:right="0" w:firstLine="315"/>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color w:val="000000"/>
        </w:rPr>
        <w:t> </w:t>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7dc029bb3b82494a8136cb244d07aa3e_7">
        <w:r>
          <w:rPr>
            <w:rStyle w:val="InternetLink"/>
            <w:rFonts w:ascii="Times New Roman;sans-serif" w:hAnsi="Times New Roman;sans-serif"/>
            <w:b w:val="false"/>
            <w:color w:val="0000FF"/>
            <w:sz w:val="16"/>
            <w:u w:val="single"/>
          </w:rPr>
          <w:t>Table of Contents</w:t>
        </w:r>
      </w:hyperlink>
    </w:p>
    <w:tbl>
      <w:tblPr>
        <w:tblW w:w="5583" w:type="dxa"/>
        <w:jc w:val="left"/>
        <w:tblInd w:w="0" w:type="dxa"/>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3"/>
        <w:gridCol w:w="109"/>
        <w:gridCol w:w="109"/>
        <w:gridCol w:w="154"/>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91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91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88" w:before="80" w:after="283"/>
        <w:ind w:left="0" w:right="0" w:firstLine="315"/>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spacing w:lineRule="auto" w:line="288" w:before="180" w:after="283"/>
        <w:ind w:left="0" w:right="0" w:firstLine="315"/>
        <w:rPr/>
      </w:pPr>
      <w:r>
        <w:rPr>
          <w:rFonts w:ascii="Times New Roman;sans-serif" w:hAnsi="Times New Roman;sans-serif"/>
          <w:b w:val="false"/>
          <w:color w:val="000000"/>
          <w:sz w:val="20"/>
        </w:rPr>
        <w:t>Indicate by check mark whether the registrant is a shell company (as defined in Rule 12b-2 of the Act).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180" w:after="283"/>
        <w:ind w:left="0" w:right="0" w:firstLine="315"/>
        <w:rPr>
          <w:rFonts w:ascii="Times New Roman;sans-serif" w:hAnsi="Times New Roman;sans-serif"/>
          <w:b w:val="false"/>
          <w:color w:val="000000"/>
          <w:sz w:val="20"/>
        </w:rPr>
      </w:pPr>
      <w:r>
        <w:rPr>
          <w:rFonts w:ascii="Times New Roman;sans-serif" w:hAnsi="Times New Roman;sans-serif"/>
          <w:b w:val="false"/>
          <w:color w:val="000000"/>
          <w:sz w:val="20"/>
        </w:rPr>
        <w:t>As of May 5, 2023, there were 785,196,153 shares of the registrant’s common stock outstanding.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FORTINET, INC.</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For the Quarter Ended March 31, 2023</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281"/>
        <w:gridCol w:w="247"/>
        <w:gridCol w:w="248"/>
        <w:gridCol w:w="2970"/>
        <w:gridCol w:w="2970"/>
        <w:gridCol w:w="2975"/>
        <w:gridCol w:w="149"/>
        <w:gridCol w:w="149"/>
        <w:gridCol w:w="216"/>
      </w:tblGrid>
      <w:tr>
        <w:trPr/>
        <w:tc>
          <w:tcPr>
            <w:tcW w:w="281"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970" w:type="dxa"/>
            <w:tcBorders/>
            <w:shd w:fill="auto" w:val="clear"/>
            <w:vAlign w:val="center"/>
          </w:tcPr>
          <w:p>
            <w:pPr>
              <w:pStyle w:val="TableContents"/>
              <w:spacing w:before="0" w:after="283"/>
              <w:rPr>
                <w:sz w:val="4"/>
                <w:szCs w:val="4"/>
              </w:rPr>
            </w:pPr>
            <w:r>
              <w:rPr>
                <w:sz w:val="4"/>
                <w:szCs w:val="4"/>
              </w:rPr>
            </w:r>
          </w:p>
        </w:tc>
        <w:tc>
          <w:tcPr>
            <w:tcW w:w="2970" w:type="dxa"/>
            <w:tcBorders/>
            <w:shd w:fill="auto" w:val="clear"/>
            <w:vAlign w:val="center"/>
          </w:tcPr>
          <w:p>
            <w:pPr>
              <w:pStyle w:val="TableContents"/>
              <w:spacing w:before="0" w:after="283"/>
              <w:rPr>
                <w:sz w:val="4"/>
                <w:szCs w:val="4"/>
              </w:rPr>
            </w:pPr>
            <w:r>
              <w:rPr>
                <w:sz w:val="4"/>
                <w:szCs w:val="4"/>
              </w:rPr>
            </w:r>
          </w:p>
        </w:tc>
        <w:tc>
          <w:tcPr>
            <w:tcW w:w="297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r>
      <w:tr>
        <w:trPr/>
        <w:tc>
          <w:tcPr>
            <w:tcW w:w="7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w:t>
            </w:r>
          </w:p>
        </w:tc>
      </w:tr>
      <w:tr>
        <w:trPr/>
        <w:tc>
          <w:tcPr>
            <w:tcW w:w="7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PART I</w:t>
            </w:r>
            <w:r>
              <w:rPr>
                <w:color w:val="000000"/>
              </w:rPr>
              <w:t>—</w:t>
            </w:r>
            <w:r>
              <w:rPr>
                <w:rFonts w:ascii="Times New Roman;sans-serif" w:hAnsi="Times New Roman;sans-serif"/>
                <w:b/>
                <w:color w:val="000000"/>
                <w:sz w:val="20"/>
              </w:rPr>
              <w:t>FINANCIAL INFORMATION</w:t>
            </w:r>
          </w:p>
        </w:tc>
        <w:tc>
          <w:tcPr>
            <w:tcW w:w="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9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c029bb3b82494a8136cb244d07aa3e_16">
              <w:r>
                <w:rPr>
                  <w:rStyle w:val="InternetLink"/>
                  <w:rFonts w:ascii="Times New Roman;sans-serif" w:hAnsi="Times New Roman;sans-serif"/>
                  <w:b w:val="false"/>
                  <w:color w:val="0000FF"/>
                  <w:sz w:val="20"/>
                  <w:u w:val="single"/>
                </w:rPr>
                <w:t>Financial Statements (unaudited)</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dc029bb3b82494a8136cb244d07aa3e_16">
              <w:r>
                <w:rPr>
                  <w:rStyle w:val="InternetLink"/>
                  <w:rFonts w:ascii="Times New Roman;sans-serif" w:hAnsi="Times New Roman;sans-serif"/>
                  <w:b w:val="false"/>
                  <w:color w:val="0000FF"/>
                  <w:sz w:val="20"/>
                  <w:u w:val="single"/>
                </w:rPr>
                <w:t>3</w:t>
              </w:r>
            </w:hyperlink>
          </w:p>
        </w:tc>
      </w:tr>
      <w:tr>
        <w:trPr/>
        <w:tc>
          <w:tcPr>
            <w:tcW w:w="7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c029bb3b82494a8136cb244d07aa3e_19">
              <w:r>
                <w:rPr>
                  <w:rStyle w:val="InternetLink"/>
                </w:rPr>
                <w:t xml:space="preserve">Condensed Consolidated Balance Sheets as of </w:t>
              </w:r>
            </w:hyperlink>
            <w:hyperlink w:anchor="i7dc029bb3b82494a8136cb244d07aa3e_19">
              <w:r>
                <w:rPr>
                  <w:rStyle w:val="InternetLink"/>
                </w:rPr>
                <w:t>March</w:t>
              </w:r>
            </w:hyperlink>
            <w:hyperlink w:anchor="i7dc029bb3b82494a8136cb244d07aa3e_19">
              <w:r>
                <w:rPr>
                  <w:rStyle w:val="InternetLink"/>
                </w:rPr>
                <w:t xml:space="preserve"> 3</w:t>
              </w:r>
            </w:hyperlink>
            <w:hyperlink w:anchor="i7dc029bb3b82494a8136cb244d07aa3e_19">
              <w:r>
                <w:rPr>
                  <w:rStyle w:val="InternetLink"/>
                </w:rPr>
                <w:t>1</w:t>
              </w:r>
            </w:hyperlink>
            <w:hyperlink w:anchor="i7dc029bb3b82494a8136cb244d07aa3e_19">
              <w:r>
                <w:rPr>
                  <w:rStyle w:val="InternetLink"/>
                </w:rPr>
                <w:t>, 202</w:t>
              </w:r>
            </w:hyperlink>
            <w:hyperlink w:anchor="i7dc029bb3b82494a8136cb244d07aa3e_19">
              <w:r>
                <w:rPr>
                  <w:rStyle w:val="InternetLink"/>
                </w:rPr>
                <w:t>3</w:t>
              </w:r>
            </w:hyperlink>
            <w:hyperlink w:anchor="i7dc029bb3b82494a8136cb244d07aa3e_19">
              <w:r>
                <w:rPr>
                  <w:rStyle w:val="InternetLink"/>
                </w:rPr>
                <w:t xml:space="preserve"> and December 31, 202</w:t>
              </w:r>
            </w:hyperlink>
            <w:hyperlink w:anchor="i7dc029bb3b82494a8136cb244d07aa3e_19">
              <w:r>
                <w:rPr>
                  <w:rStyle w:val="InternetLink"/>
                </w:rPr>
                <w:t>2</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dc029bb3b82494a8136cb244d07aa3e_19">
              <w:r>
                <w:rPr>
                  <w:rStyle w:val="InternetLink"/>
                  <w:rFonts w:ascii="Times New Roman;sans-serif" w:hAnsi="Times New Roman;sans-serif"/>
                  <w:b w:val="false"/>
                  <w:color w:val="0000FF"/>
                  <w:sz w:val="20"/>
                  <w:u w:val="single"/>
                </w:rPr>
                <w:t>3</w:t>
              </w:r>
            </w:hyperlink>
          </w:p>
        </w:tc>
      </w:tr>
      <w:tr>
        <w:trPr/>
        <w:tc>
          <w:tcPr>
            <w:tcW w:w="7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c029bb3b82494a8136cb244d07aa3e_22">
              <w:r>
                <w:rPr>
                  <w:rStyle w:val="InternetLink"/>
                </w:rPr>
                <w:t xml:space="preserve">Condensed Consolidated Statements of Income for the Three </w:t>
              </w:r>
            </w:hyperlink>
            <w:hyperlink w:anchor="i7dc029bb3b82494a8136cb244d07aa3e_22">
              <w:r>
                <w:rPr>
                  <w:rStyle w:val="InternetLink"/>
                </w:rPr>
                <w:t xml:space="preserve">Months Ended </w:t>
              </w:r>
            </w:hyperlink>
            <w:hyperlink w:anchor="i7dc029bb3b82494a8136cb244d07aa3e_22">
              <w:r>
                <w:rPr>
                  <w:rStyle w:val="InternetLink"/>
                </w:rPr>
                <w:t>March</w:t>
              </w:r>
            </w:hyperlink>
            <w:hyperlink w:anchor="i7dc029bb3b82494a8136cb244d07aa3e_22">
              <w:r>
                <w:rPr>
                  <w:rStyle w:val="InternetLink"/>
                </w:rPr>
                <w:t xml:space="preserve"> 3</w:t>
              </w:r>
            </w:hyperlink>
            <w:hyperlink w:anchor="i7dc029bb3b82494a8136cb244d07aa3e_22">
              <w:r>
                <w:rPr>
                  <w:rStyle w:val="InternetLink"/>
                </w:rPr>
                <w:t>1</w:t>
              </w:r>
            </w:hyperlink>
            <w:hyperlink w:anchor="i7dc029bb3b82494a8136cb244d07aa3e_22">
              <w:r>
                <w:rPr>
                  <w:rStyle w:val="InternetLink"/>
                </w:rPr>
                <w:t>, 202</w:t>
              </w:r>
            </w:hyperlink>
            <w:hyperlink w:anchor="i7dc029bb3b82494a8136cb244d07aa3e_22">
              <w:r>
                <w:rPr>
                  <w:rStyle w:val="InternetLink"/>
                </w:rPr>
                <w:t>3</w:t>
              </w:r>
            </w:hyperlink>
            <w:hyperlink w:anchor="i7dc029bb3b82494a8136cb244d07aa3e_22">
              <w:r>
                <w:rPr>
                  <w:rStyle w:val="InternetLink"/>
                </w:rPr>
                <w:t xml:space="preserve"> and 202</w:t>
              </w:r>
            </w:hyperlink>
            <w:hyperlink w:anchor="i7dc029bb3b82494a8136cb244d07aa3e_22">
              <w:r>
                <w:rPr>
                  <w:rStyle w:val="InternetLink"/>
                </w:rPr>
                <w:t>2</w:t>
              </w:r>
            </w:hyperlink>
            <w:hyperlink w:anchor="i7dc029bb3b82494a8136cb244d07aa3e_22">
              <w:r>
                <w:rPr>
                  <w:rStyle w:val="InternetLink"/>
                </w:rPr>
                <w:t xml:space="preserve"> </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dc029bb3b82494a8136cb244d07aa3e_22">
              <w:r>
                <w:rPr>
                  <w:rStyle w:val="InternetLink"/>
                  <w:rFonts w:ascii="Times New Roman;sans-serif" w:hAnsi="Times New Roman;sans-serif"/>
                  <w:b w:val="false"/>
                  <w:color w:val="0000FF"/>
                  <w:sz w:val="20"/>
                  <w:u w:val="single"/>
                </w:rPr>
                <w:t>4</w:t>
              </w:r>
            </w:hyperlink>
          </w:p>
        </w:tc>
      </w:tr>
      <w:tr>
        <w:trPr/>
        <w:tc>
          <w:tcPr>
            <w:tcW w:w="7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7dc029bb3b82494a8136cb244d07aa3e_25">
              <w:r>
                <w:rPr>
                  <w:rStyle w:val="InternetLink"/>
                </w:rPr>
                <w:t xml:space="preserve">Condensed Consolidated Statements of Comprehensive Income for the Three </w:t>
              </w:r>
            </w:hyperlink>
            <w:hyperlink w:anchor="i7dc029bb3b82494a8136cb244d07aa3e_25">
              <w:r>
                <w:rPr>
                  <w:rStyle w:val="InternetLink"/>
                </w:rPr>
                <w:t xml:space="preserve">Months Ended </w:t>
              </w:r>
            </w:hyperlink>
            <w:hyperlink w:anchor="i7dc029bb3b82494a8136cb244d07aa3e_25">
              <w:r>
                <w:rPr>
                  <w:rStyle w:val="InternetLink"/>
                </w:rPr>
                <w:t>March</w:t>
              </w:r>
            </w:hyperlink>
            <w:hyperlink w:anchor="i7dc029bb3b82494a8136cb244d07aa3e_25">
              <w:r>
                <w:rPr>
                  <w:rStyle w:val="InternetLink"/>
                </w:rPr>
                <w:t xml:space="preserve"> 3</w:t>
              </w:r>
            </w:hyperlink>
            <w:hyperlink w:anchor="i7dc029bb3b82494a8136cb244d07aa3e_25">
              <w:r>
                <w:rPr>
                  <w:rStyle w:val="InternetLink"/>
                </w:rPr>
                <w:t>1</w:t>
              </w:r>
            </w:hyperlink>
            <w:hyperlink w:anchor="i7dc029bb3b82494a8136cb244d07aa3e_25">
              <w:r>
                <w:rPr>
                  <w:rStyle w:val="InternetLink"/>
                </w:rPr>
                <w:t>, 202</w:t>
              </w:r>
            </w:hyperlink>
            <w:hyperlink w:anchor="i7dc029bb3b82494a8136cb244d07aa3e_25">
              <w:r>
                <w:rPr>
                  <w:rStyle w:val="InternetLink"/>
                </w:rPr>
                <w:t>3</w:t>
              </w:r>
            </w:hyperlink>
            <w:hyperlink w:anchor="i7dc029bb3b82494a8136cb244d07aa3e_25">
              <w:r>
                <w:rPr>
                  <w:rStyle w:val="InternetLink"/>
                </w:rPr>
                <w:t xml:space="preserve"> and 202</w:t>
              </w:r>
            </w:hyperlink>
            <w:hyperlink w:anchor="i7dc029bb3b82494a8136cb244d07aa3e_25">
              <w:r>
                <w:rPr>
                  <w:rStyle w:val="InternetLink"/>
                </w:rPr>
                <w:t>2</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dc029bb3b82494a8136cb244d07aa3e_25">
              <w:r>
                <w:rPr>
                  <w:rStyle w:val="InternetLink"/>
                  <w:rFonts w:ascii="Times New Roman;sans-serif" w:hAnsi="Times New Roman;sans-serif"/>
                  <w:b w:val="false"/>
                  <w:color w:val="0000FF"/>
                  <w:sz w:val="20"/>
                  <w:u w:val="single"/>
                </w:rPr>
                <w:t>5</w:t>
              </w:r>
            </w:hyperlink>
          </w:p>
        </w:tc>
      </w:tr>
      <w:tr>
        <w:trPr/>
        <w:tc>
          <w:tcPr>
            <w:tcW w:w="7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7dc029bb3b82494a8136cb244d07aa3e_28">
              <w:r>
                <w:rPr>
                  <w:rStyle w:val="InternetLink"/>
                </w:rPr>
                <w:t xml:space="preserve">Condensed Consolidated Statements of Equity (Deficit) for the Three </w:t>
              </w:r>
            </w:hyperlink>
            <w:hyperlink w:anchor="i7dc029bb3b82494a8136cb244d07aa3e_28">
              <w:r>
                <w:rPr>
                  <w:rStyle w:val="InternetLink"/>
                </w:rPr>
                <w:t xml:space="preserve">Months Ended </w:t>
              </w:r>
            </w:hyperlink>
            <w:hyperlink w:anchor="i7dc029bb3b82494a8136cb244d07aa3e_28">
              <w:r>
                <w:rPr>
                  <w:rStyle w:val="InternetLink"/>
                </w:rPr>
                <w:t>March</w:t>
              </w:r>
            </w:hyperlink>
            <w:hyperlink w:anchor="i7dc029bb3b82494a8136cb244d07aa3e_28">
              <w:r>
                <w:rPr>
                  <w:rStyle w:val="InternetLink"/>
                </w:rPr>
                <w:t xml:space="preserve"> 3</w:t>
              </w:r>
            </w:hyperlink>
            <w:hyperlink w:anchor="i7dc029bb3b82494a8136cb244d07aa3e_28">
              <w:r>
                <w:rPr>
                  <w:rStyle w:val="InternetLink"/>
                </w:rPr>
                <w:t>1</w:t>
              </w:r>
            </w:hyperlink>
            <w:hyperlink w:anchor="i7dc029bb3b82494a8136cb244d07aa3e_28">
              <w:r>
                <w:rPr>
                  <w:rStyle w:val="InternetLink"/>
                </w:rPr>
                <w:t>, 202</w:t>
              </w:r>
            </w:hyperlink>
            <w:hyperlink w:anchor="i7dc029bb3b82494a8136cb244d07aa3e_28">
              <w:r>
                <w:rPr>
                  <w:rStyle w:val="InternetLink"/>
                </w:rPr>
                <w:t>3</w:t>
              </w:r>
            </w:hyperlink>
            <w:hyperlink w:anchor="i7dc029bb3b82494a8136cb244d07aa3e_28">
              <w:r>
                <w:rPr>
                  <w:rStyle w:val="InternetLink"/>
                </w:rPr>
                <w:t xml:space="preserve"> and 202</w:t>
              </w:r>
            </w:hyperlink>
            <w:hyperlink w:anchor="i7dc029bb3b82494a8136cb244d07aa3e_28">
              <w:r>
                <w:rPr>
                  <w:rStyle w:val="InternetLink"/>
                </w:rPr>
                <w:t>2</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dc029bb3b82494a8136cb244d07aa3e_28">
              <w:r>
                <w:rPr>
                  <w:rStyle w:val="InternetLink"/>
                  <w:rFonts w:ascii="Times New Roman;sans-serif" w:hAnsi="Times New Roman;sans-serif"/>
                  <w:b w:val="false"/>
                  <w:color w:val="0000FF"/>
                  <w:sz w:val="20"/>
                  <w:u w:val="single"/>
                </w:rPr>
                <w:t>6</w:t>
              </w:r>
            </w:hyperlink>
          </w:p>
        </w:tc>
      </w:tr>
      <w:tr>
        <w:trPr/>
        <w:tc>
          <w:tcPr>
            <w:tcW w:w="7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c029bb3b82494a8136cb244d07aa3e_34">
              <w:r>
                <w:rPr>
                  <w:rStyle w:val="InternetLink"/>
                </w:rPr>
                <w:t xml:space="preserve">Condensed Consolidated Statements of Cash Flows for the </w:t>
              </w:r>
            </w:hyperlink>
            <w:hyperlink w:anchor="i7dc029bb3b82494a8136cb244d07aa3e_34">
              <w:r>
                <w:rPr>
                  <w:rStyle w:val="InternetLink"/>
                </w:rPr>
                <w:t>T</w:t>
              </w:r>
            </w:hyperlink>
            <w:hyperlink w:anchor="i7dc029bb3b82494a8136cb244d07aa3e_34">
              <w:r>
                <w:rPr>
                  <w:rStyle w:val="InternetLink"/>
                </w:rPr>
                <w:t>hree</w:t>
              </w:r>
            </w:hyperlink>
            <w:hyperlink w:anchor="i7dc029bb3b82494a8136cb244d07aa3e_34">
              <w:r>
                <w:rPr>
                  <w:rStyle w:val="InternetLink"/>
                </w:rPr>
                <w:t xml:space="preserve"> Months Ended </w:t>
              </w:r>
            </w:hyperlink>
            <w:hyperlink w:anchor="i7dc029bb3b82494a8136cb244d07aa3e_34">
              <w:r>
                <w:rPr>
                  <w:rStyle w:val="InternetLink"/>
                </w:rPr>
                <w:t>March</w:t>
              </w:r>
            </w:hyperlink>
            <w:hyperlink w:anchor="i7dc029bb3b82494a8136cb244d07aa3e_34">
              <w:r>
                <w:rPr>
                  <w:rStyle w:val="InternetLink"/>
                </w:rPr>
                <w:t xml:space="preserve"> 3</w:t>
              </w:r>
            </w:hyperlink>
            <w:hyperlink w:anchor="i7dc029bb3b82494a8136cb244d07aa3e_34">
              <w:r>
                <w:rPr>
                  <w:rStyle w:val="InternetLink"/>
                </w:rPr>
                <w:t>1</w:t>
              </w:r>
            </w:hyperlink>
            <w:hyperlink w:anchor="i7dc029bb3b82494a8136cb244d07aa3e_34">
              <w:r>
                <w:rPr>
                  <w:rStyle w:val="InternetLink"/>
                </w:rPr>
                <w:t>, 202</w:t>
              </w:r>
            </w:hyperlink>
            <w:hyperlink w:anchor="i7dc029bb3b82494a8136cb244d07aa3e_34">
              <w:r>
                <w:rPr>
                  <w:rStyle w:val="InternetLink"/>
                </w:rPr>
                <w:t>3</w:t>
              </w:r>
            </w:hyperlink>
            <w:hyperlink w:anchor="i7dc029bb3b82494a8136cb244d07aa3e_34">
              <w:r>
                <w:rPr>
                  <w:rStyle w:val="InternetLink"/>
                </w:rPr>
                <w:t xml:space="preserve"> and 202</w:t>
              </w:r>
            </w:hyperlink>
            <w:hyperlink w:anchor="i7dc029bb3b82494a8136cb244d07aa3e_34">
              <w:r>
                <w:rPr>
                  <w:rStyle w:val="InternetLink"/>
                </w:rPr>
                <w:t>2</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dc029bb3b82494a8136cb244d07aa3e_34">
              <w:r>
                <w:rPr>
                  <w:rStyle w:val="InternetLink"/>
                  <w:rFonts w:ascii="Times New Roman;sans-serif" w:hAnsi="Times New Roman;sans-serif"/>
                  <w:b w:val="false"/>
                  <w:color w:val="0000FF"/>
                  <w:sz w:val="20"/>
                  <w:u w:val="single"/>
                </w:rPr>
                <w:t>7</w:t>
              </w:r>
            </w:hyperlink>
          </w:p>
        </w:tc>
      </w:tr>
      <w:tr>
        <w:trPr/>
        <w:tc>
          <w:tcPr>
            <w:tcW w:w="7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c029bb3b82494a8136cb244d07aa3e_37">
              <w:r>
                <w:rPr>
                  <w:rStyle w:val="InternetLink"/>
                  <w:rFonts w:ascii="Times New Roman;sans-serif" w:hAnsi="Times New Roman;sans-serif"/>
                  <w:b w:val="false"/>
                  <w:color w:val="0000FF"/>
                  <w:sz w:val="20"/>
                  <w:u w:val="single"/>
                </w:rPr>
                <w:t>Notes to Condensed Consolidated Financial Statements</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dc029bb3b82494a8136cb244d07aa3e_37">
              <w:r>
                <w:rPr>
                  <w:rStyle w:val="InternetLink"/>
                  <w:rFonts w:ascii="Times New Roman;sans-serif" w:hAnsi="Times New Roman;sans-serif"/>
                  <w:b w:val="false"/>
                  <w:color w:val="0000FF"/>
                  <w:sz w:val="20"/>
                  <w:u w:val="single"/>
                </w:rPr>
                <w:t>8</w:t>
              </w:r>
            </w:hyperlink>
          </w:p>
        </w:tc>
      </w:tr>
      <w:tr>
        <w:trPr/>
        <w:tc>
          <w:tcPr>
            <w:tcW w:w="7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9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c029bb3b82494a8136cb244d07aa3e_91">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dc029bb3b82494a8136cb244d07aa3e_91">
              <w:r>
                <w:rPr>
                  <w:rStyle w:val="InternetLink"/>
                  <w:rFonts w:ascii="Times New Roman;sans-serif" w:hAnsi="Times New Roman;sans-serif"/>
                  <w:b w:val="false"/>
                  <w:color w:val="0000FF"/>
                  <w:sz w:val="20"/>
                  <w:u w:val="single"/>
                </w:rPr>
                <w:t>24</w:t>
              </w:r>
            </w:hyperlink>
          </w:p>
        </w:tc>
      </w:tr>
      <w:tr>
        <w:trPr/>
        <w:tc>
          <w:tcPr>
            <w:tcW w:w="7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9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c029bb3b82494a8136cb244d07aa3e_103">
              <w:r>
                <w:rPr>
                  <w:rStyle w:val="InternetLink"/>
                  <w:rFonts w:ascii="Times New Roman;sans-serif" w:hAnsi="Times New Roman;sans-serif"/>
                  <w:b w:val="false"/>
                  <w:color w:val="0000FF"/>
                  <w:sz w:val="20"/>
                  <w:u w:val="single"/>
                </w:rPr>
                <w:t>Quantitative and Qualitative Disclosures about Market Risk</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dc029bb3b82494a8136cb244d07aa3e_103">
              <w:r>
                <w:rPr>
                  <w:rStyle w:val="InternetLink"/>
                  <w:rFonts w:ascii="Times New Roman;sans-serif" w:hAnsi="Times New Roman;sans-serif"/>
                  <w:b w:val="false"/>
                  <w:color w:val="0000FF"/>
                  <w:sz w:val="20"/>
                  <w:u w:val="single"/>
                </w:rPr>
                <w:t>37</w:t>
              </w:r>
            </w:hyperlink>
          </w:p>
        </w:tc>
      </w:tr>
      <w:tr>
        <w:trPr/>
        <w:tc>
          <w:tcPr>
            <w:tcW w:w="7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9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c029bb3b82494a8136cb244d07aa3e_106">
              <w:r>
                <w:rPr>
                  <w:rStyle w:val="InternetLink"/>
                  <w:rFonts w:ascii="Times New Roman;sans-serif" w:hAnsi="Times New Roman;sans-serif"/>
                  <w:b w:val="false"/>
                  <w:color w:val="0000FF"/>
                  <w:sz w:val="20"/>
                  <w:u w:val="single"/>
                </w:rPr>
                <w:t>Controls and Procedures</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dc029bb3b82494a8136cb244d07aa3e_106">
              <w:r>
                <w:rPr>
                  <w:rStyle w:val="InternetLink"/>
                  <w:rFonts w:ascii="Times New Roman;sans-serif" w:hAnsi="Times New Roman;sans-serif"/>
                  <w:b w:val="false"/>
                  <w:color w:val="0000FF"/>
                  <w:sz w:val="20"/>
                  <w:u w:val="single"/>
                </w:rPr>
                <w:t>37</w:t>
              </w:r>
            </w:hyperlink>
          </w:p>
        </w:tc>
      </w:tr>
      <w:tr>
        <w:trPr/>
        <w:tc>
          <w:tcPr>
            <w:tcW w:w="7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tc>
        <w:tc>
          <w:tcPr>
            <w:tcW w:w="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9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c029bb3b82494a8136cb244d07aa3e_112">
              <w:r>
                <w:rPr>
                  <w:rStyle w:val="InternetLink"/>
                  <w:rFonts w:ascii="Times New Roman;sans-serif" w:hAnsi="Times New Roman;sans-serif"/>
                  <w:b w:val="false"/>
                  <w:color w:val="0000FF"/>
                  <w:sz w:val="20"/>
                  <w:u w:val="single"/>
                </w:rPr>
                <w:t>Legal Proceedings</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dc029bb3b82494a8136cb244d07aa3e_112">
              <w:r>
                <w:rPr>
                  <w:rStyle w:val="InternetLink"/>
                  <w:rFonts w:ascii="Times New Roman;sans-serif" w:hAnsi="Times New Roman;sans-serif"/>
                  <w:b w:val="false"/>
                  <w:color w:val="0000FF"/>
                  <w:sz w:val="20"/>
                  <w:u w:val="single"/>
                </w:rPr>
                <w:t>38</w:t>
              </w:r>
            </w:hyperlink>
          </w:p>
        </w:tc>
      </w:tr>
      <w:tr>
        <w:trPr/>
        <w:tc>
          <w:tcPr>
            <w:tcW w:w="7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9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c029bb3b82494a8136cb244d07aa3e_115">
              <w:r>
                <w:rPr>
                  <w:rStyle w:val="InternetLink"/>
                  <w:rFonts w:ascii="Times New Roman;sans-serif" w:hAnsi="Times New Roman;sans-serif"/>
                  <w:b w:val="false"/>
                  <w:color w:val="0000FF"/>
                  <w:sz w:val="20"/>
                  <w:u w:val="single"/>
                </w:rPr>
                <w:t>Risk Factors</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dc029bb3b82494a8136cb244d07aa3e_115">
              <w:r>
                <w:rPr>
                  <w:rStyle w:val="InternetLink"/>
                  <w:rFonts w:ascii="Times New Roman;sans-serif" w:hAnsi="Times New Roman;sans-serif"/>
                  <w:b w:val="false"/>
                  <w:color w:val="0000FF"/>
                  <w:sz w:val="20"/>
                  <w:u w:val="single"/>
                </w:rPr>
                <w:t>38</w:t>
              </w:r>
            </w:hyperlink>
          </w:p>
        </w:tc>
      </w:tr>
      <w:tr>
        <w:trPr/>
        <w:tc>
          <w:tcPr>
            <w:tcW w:w="7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9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c029bb3b82494a8136cb244d07aa3e_118">
              <w:r>
                <w:rPr>
                  <w:rStyle w:val="InternetLink"/>
                  <w:rFonts w:ascii="Times New Roman;sans-serif" w:hAnsi="Times New Roman;sans-serif"/>
                  <w:b w:val="false"/>
                  <w:color w:val="0000FF"/>
                  <w:sz w:val="20"/>
                  <w:u w:val="single"/>
                </w:rPr>
                <w:t>Unregistered Sales of Equity Securities and Use of Proceeds</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dc029bb3b82494a8136cb244d07aa3e_118">
              <w:r>
                <w:rPr>
                  <w:rStyle w:val="InternetLink"/>
                  <w:rFonts w:ascii="Times New Roman;sans-serif" w:hAnsi="Times New Roman;sans-serif"/>
                  <w:b w:val="false"/>
                  <w:color w:val="0000FF"/>
                  <w:sz w:val="20"/>
                  <w:u w:val="single"/>
                </w:rPr>
                <w:t>72</w:t>
              </w:r>
            </w:hyperlink>
          </w:p>
        </w:tc>
      </w:tr>
      <w:tr>
        <w:trPr/>
        <w:tc>
          <w:tcPr>
            <w:tcW w:w="7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9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c029bb3b82494a8136cb244d07aa3e_121">
              <w:r>
                <w:rPr>
                  <w:rStyle w:val="InternetLink"/>
                  <w:rFonts w:ascii="Times New Roman;sans-serif" w:hAnsi="Times New Roman;sans-serif"/>
                  <w:b w:val="false"/>
                  <w:color w:val="0000FF"/>
                  <w:sz w:val="20"/>
                  <w:u w:val="single"/>
                </w:rPr>
                <w:t>Exhibits</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dc029bb3b82494a8136cb244d07aa3e_121">
              <w:r>
                <w:rPr>
                  <w:rStyle w:val="InternetLink"/>
                  <w:rFonts w:ascii="Times New Roman;sans-serif" w:hAnsi="Times New Roman;sans-serif"/>
                  <w:b w:val="false"/>
                  <w:color w:val="0000FF"/>
                  <w:sz w:val="20"/>
                  <w:u w:val="single"/>
                </w:rPr>
                <w:t>73</w:t>
              </w:r>
            </w:hyperlink>
          </w:p>
        </w:tc>
      </w:tr>
      <w:tr>
        <w:trPr/>
        <w:tc>
          <w:tcPr>
            <w:tcW w:w="7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c029bb3b82494a8136cb244d07aa3e_124">
              <w:r>
                <w:rPr>
                  <w:rStyle w:val="InternetLink"/>
                  <w:rFonts w:ascii="Times New Roman;sans-serif" w:hAnsi="Times New Roman;sans-serif"/>
                  <w:b w:val="false"/>
                  <w:color w:val="0000FF"/>
                  <w:sz w:val="20"/>
                  <w:u w:val="single"/>
                </w:rPr>
                <w:t>Exhibit Index</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dc029bb3b82494a8136cb244d07aa3e_124">
              <w:r>
                <w:rPr>
                  <w:rStyle w:val="InternetLink"/>
                  <w:rFonts w:ascii="Times New Roman;sans-serif" w:hAnsi="Times New Roman;sans-serif"/>
                  <w:b w:val="false"/>
                  <w:color w:val="0000FF"/>
                  <w:sz w:val="20"/>
                  <w:u w:val="single"/>
                </w:rPr>
                <w:t>73</w:t>
              </w:r>
            </w:hyperlink>
          </w:p>
        </w:tc>
      </w:tr>
      <w:tr>
        <w:trPr/>
        <w:tc>
          <w:tcPr>
            <w:tcW w:w="7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c029bb3b82494a8136cb244d07aa3e_127">
              <w:r>
                <w:rPr>
                  <w:rStyle w:val="InternetLink"/>
                  <w:rFonts w:ascii="Times New Roman;sans-serif" w:hAnsi="Times New Roman;sans-serif"/>
                  <w:b w:val="false"/>
                  <w:color w:val="0000FF"/>
                  <w:sz w:val="20"/>
                  <w:u w:val="single"/>
                </w:rPr>
                <w:t>Signatures</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dc029bb3b82494a8136cb244d07aa3e_127">
              <w:r>
                <w:rPr>
                  <w:rStyle w:val="InternetLink"/>
                  <w:rFonts w:ascii="Times New Roman;sans-serif" w:hAnsi="Times New Roman;sans-serif"/>
                  <w:b w:val="false"/>
                  <w:color w:val="0000FF"/>
                  <w:sz w:val="20"/>
                  <w:u w:val="single"/>
                </w:rPr>
                <w:t>74</w:t>
              </w:r>
            </w:hyperlink>
          </w:p>
        </w:tc>
      </w:tr>
    </w:tbl>
    <w:p>
      <w:pPr>
        <w:pStyle w:val="TextBody"/>
        <w:spacing w:before="0" w:after="0"/>
        <w:rPr/>
      </w:pPr>
      <w:r>
        <w:rPr/>
      </w:r>
    </w:p>
    <w:p>
      <w:pPr>
        <w:pStyle w:val="TextBody"/>
        <w:spacing w:before="0" w:after="0"/>
        <w:jc w:val="center"/>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44" w:before="0" w:after="0"/>
        <w:jc w:val="center"/>
        <w:rPr>
          <w:rFonts w:ascii="Times New Roman;sans-serif" w:hAnsi="Times New Roman;sans-serif"/>
          <w:b/>
          <w:color w:val="000000"/>
          <w:sz w:val="20"/>
        </w:rPr>
      </w:pPr>
      <w:r>
        <w:rPr>
          <w:rFonts w:ascii="Times New Roman;sans-serif" w:hAnsi="Times New Roman;sans-serif"/>
          <w:b/>
          <w:color w:val="000000"/>
          <w:sz w:val="20"/>
        </w:rPr>
        <w:t>Summary of Risk Factors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subject to numerous risks and uncertainties, including those described in Part II, Item 1A, “Risk Factors” in this Quarterly Report on Form 10-Q. You should carefully consider these risks and uncertainties when investing in our common stock. Some of the principal risks and uncertainties include: </w: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Our operating results are likely to vary significantly and be unpredictable.</w: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Adverse economic conditions, such as a possible economic downturn or recession, and possible impacts of inflation or stagflation, increasing or decreasing interest rates, instability in the global banking system or reduced information technology spending may adversely impact our business.</w: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We have been, and may in the future be, susceptible to supply chain constraints, supply shortages and disruptions, long or less predictable lead times for components and finished goods and supply changes because some of the key components in our products come from limited sources of supply.</w: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As a result of supply chain disruptions in recent periods, we increased our purchase order commitments in recent periods and, as a result, may be required to accept or pay for components and finished goods regardless of our level of sales in a particular period, which may negatively impact our operating results and financial condition.</w: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The effects of the COVID-19 pandemic, including its ongoing variants, will likely continue to adversely affect our business, for example, through product and component shortages, less predictable product lead times, changes in customer buying-behavior, including changes in service contract purchases , accelerating or delaying purchases, changes in the mix of backlog and the related margins.</w: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Our real estate investments, including construction or acquisition of new data centers, data center expansions or office buildings could involve significant risks to our business.</w: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Our billings, revenue, and free cash flow growth may slow or may not continue, and our operating margins may decline.</w: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Our backlog increased during past quarters and, now that supply chain shortages are lessening to some extent, as we fulfill, ship and bill during a quarter based in part on backlog from sales in earlier quarters, this may increase our aggregate billings and revenue during any particular quarter such that any decrease in growth or negative growth of in-quarter billings and revenue may not be reflected by our aggregate billings and revenue.</w: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Any weakness in sales productivity could negatively impact our results of operations.</w: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We are dependent on the continued services and performance of our senior management, as well as our ability to hire, retain and motivate qualified personnel.</w: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We rely on third-party channel partners for substantially all of our revenue and a small number of distributors represents a large percentage of our revenue and accounts receivable.</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Reliance on a concentration of shipments at the end of the quarter could cause our billings and revenue to fall below expected levels.</w: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We rely significantly on revenue from FortiGuard security subscription and FortiCare technical support services, and revenue from these services may decline or fluctuate.</w: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We have incurred indebtedness and may incur other debt in the future, which may adversely affect our financial condition and future financial results.</w: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We generate a majority of revenue and cash flow from sales outside of the United States.</w: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We may not be successful in executing our strategy to increase our sales to large- and medium-sized end-customers.</w: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A portion of our revenue is generated by sales to government organizations and other customers, which are subject to a number of regulatory requirements, challenges and risks.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The war in Ukraine, its related macroeconomic effects and our decision to reduce operations in Russia have affected and may continue to affect our business.</w: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We face intense competition in our market and we may not maintain or improve our competitive position.</w: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We order components from third-party manufacturers based on our forecasts of future demand and targeted inventory levels, which exposes us to the risk of both product shortages, which may result in lost sales and higher expenses, and excess inventory, which may require us to sell our products at discounts and lead to inventory write-offs.</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We depend on third-party manufacturers to provide various components for our products and build our products and are susceptible to manufacturing delays, capacity constraints and cost increases.</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We are susceptible to defects or vulnerabilities in our products or services, as well as reputational harm from the failure or misuse of our products or services, and any actual or perceived defects or vulnerabilities in our products or services or the failure of our products or services to detect or prevent a security breach could harm our operational results and reputation more significantly as compared to certain other companies given we are a security company.</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inability to successfully acquire and integrate other businesses, products or technologies, or to successfully invest in and form successful strategic alliances with other businesses, could seriously harm our competitive position and could negatively affect our financial condition and results of operations. In addition, any additional future impairment of the value of our investment in Linksys Holdings, Inc. (“Linksys”) could negatively affect our financial condition and results of operations.</w: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Investors’ and regulators’ expectations of our performance relating to environmental, social and governance factors may impose additional costs and expose us to new risks.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are exposed to fluctuations in currency exchange rates, which could negatively affect our financial condition and results of operations.</w: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Our proprietary rights may be difficult to enforce and we may be subject to claims by others that we infringe their proprietary technology.</w: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The trading price of our common stock may be volatile, which volatility may be exacerbated by share repurchases under our Share Repurchase Program (the “Repurchase Program”).</w: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Anti-takeover provisions contained in our certificate of incorporation and bylaws, as well as provisions of Delaware law, could impair a takeover attempt.</w: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Global economic uncertainty and weakening product demand caused by political instability, changes in trade agreements, wars and foreign conflicts, such as the war in Ukraine or tensions between China and Taiwan, could adversely affect our business and financial performance.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FORTINET, INC.</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millions, except per share amounts)</w:t>
      </w:r>
    </w:p>
    <w:tbl>
      <w:tblPr>
        <w:tblW w:w="10205" w:type="dxa"/>
        <w:jc w:val="left"/>
        <w:tblInd w:w="0" w:type="dxa"/>
        <w:tblCellMar>
          <w:top w:w="28" w:type="dxa"/>
          <w:left w:w="28" w:type="dxa"/>
          <w:bottom w:w="28" w:type="dxa"/>
          <w:right w:w="28" w:type="dxa"/>
        </w:tblCellMar>
      </w:tblPr>
      <w:tblGrid>
        <w:gridCol w:w="2966"/>
        <w:gridCol w:w="2272"/>
        <w:gridCol w:w="2287"/>
        <w:gridCol w:w="211"/>
        <w:gridCol w:w="766"/>
        <w:gridCol w:w="109"/>
        <w:gridCol w:w="109"/>
        <w:gridCol w:w="109"/>
        <w:gridCol w:w="109"/>
        <w:gridCol w:w="215"/>
        <w:gridCol w:w="784"/>
        <w:gridCol w:w="111"/>
        <w:gridCol w:w="157"/>
      </w:tblGrid>
      <w:tr>
        <w:trPr/>
        <w:tc>
          <w:tcPr>
            <w:tcW w:w="2966" w:type="dxa"/>
            <w:tcBorders/>
            <w:shd w:fill="auto" w:val="clear"/>
            <w:vAlign w:val="center"/>
          </w:tcPr>
          <w:p>
            <w:pPr>
              <w:pStyle w:val="TableContents"/>
              <w:spacing w:before="0" w:after="283"/>
              <w:rPr>
                <w:sz w:val="4"/>
                <w:szCs w:val="4"/>
              </w:rPr>
            </w:pPr>
            <w:r>
              <w:rPr>
                <w:sz w:val="4"/>
                <w:szCs w:val="4"/>
              </w:rPr>
            </w:r>
          </w:p>
        </w:tc>
        <w:tc>
          <w:tcPr>
            <w:tcW w:w="2272" w:type="dxa"/>
            <w:tcBorders/>
            <w:shd w:fill="auto" w:val="clear"/>
            <w:vAlign w:val="center"/>
          </w:tcPr>
          <w:p>
            <w:pPr>
              <w:pStyle w:val="TableContents"/>
              <w:spacing w:before="0" w:after="283"/>
              <w:rPr>
                <w:sz w:val="4"/>
                <w:szCs w:val="4"/>
              </w:rPr>
            </w:pPr>
            <w:r>
              <w:rPr>
                <w:sz w:val="4"/>
                <w:szCs w:val="4"/>
              </w:rPr>
            </w:r>
          </w:p>
        </w:tc>
        <w:tc>
          <w:tcPr>
            <w:tcW w:w="228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c>
          <w:tcPr>
            <w:tcW w:w="157" w:type="dxa"/>
            <w:tcBorders/>
            <w:shd w:fill="auto" w:val="clear"/>
            <w:vAlign w:val="center"/>
          </w:tcPr>
          <w:p>
            <w:pPr>
              <w:pStyle w:val="TableContents"/>
              <w:spacing w:before="0" w:after="283"/>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1,682.9 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502.6 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equity securities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receivable—net </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1,261.7 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3,810.4 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EQUIPMENT—NET</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898.5 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CONTRACT COSTS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518.2 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569.4 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ASSETS—NET</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6,228.0 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 (DEFICIT)</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compensation</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2,349.3 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3,078.4 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2,291.0 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LIABILITIES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990.4 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6,509.6 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11)</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(DEFICIT):</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value—1,500.0 shares authorized; 784.4 and 781.5 shares issued and outstanding on March 31, 2023 and December 31, 2022, respectively</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1,284.2 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(1,546.4)</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 (deficit)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 (DEFICIT)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6,228.0 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FORTINET, INC.</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millions, except per share amounts)</w:t>
      </w:r>
    </w:p>
    <w:tbl>
      <w:tblPr>
        <w:tblW w:w="10205" w:type="dxa"/>
        <w:jc w:val="left"/>
        <w:tblInd w:w="0" w:type="dxa"/>
        <w:tblCellMar>
          <w:top w:w="28" w:type="dxa"/>
          <w:left w:w="28" w:type="dxa"/>
          <w:bottom w:w="28" w:type="dxa"/>
          <w:right w:w="28" w:type="dxa"/>
        </w:tblCellMar>
      </w:tblPr>
      <w:tblGrid>
        <w:gridCol w:w="2734"/>
        <w:gridCol w:w="2390"/>
        <w:gridCol w:w="2399"/>
        <w:gridCol w:w="211"/>
        <w:gridCol w:w="616"/>
        <w:gridCol w:w="109"/>
        <w:gridCol w:w="109"/>
        <w:gridCol w:w="109"/>
        <w:gridCol w:w="109"/>
        <w:gridCol w:w="211"/>
        <w:gridCol w:w="616"/>
        <w:gridCol w:w="109"/>
        <w:gridCol w:w="109"/>
        <w:gridCol w:w="109"/>
        <w:gridCol w:w="109"/>
        <w:gridCol w:w="156"/>
      </w:tblGrid>
      <w:tr>
        <w:trPr/>
        <w:tc>
          <w:tcPr>
            <w:tcW w:w="2734" w:type="dxa"/>
            <w:tcBorders/>
            <w:shd w:fill="auto" w:val="clear"/>
            <w:vAlign w:val="center"/>
          </w:tcPr>
          <w:p>
            <w:pPr>
              <w:pStyle w:val="TableContents"/>
              <w:spacing w:before="0" w:after="283"/>
              <w:rPr>
                <w:sz w:val="4"/>
                <w:szCs w:val="4"/>
              </w:rPr>
            </w:pPr>
            <w:r>
              <w:rPr>
                <w:sz w:val="4"/>
                <w:szCs w:val="4"/>
              </w:rPr>
            </w:r>
          </w:p>
        </w:tc>
        <w:tc>
          <w:tcPr>
            <w:tcW w:w="2390" w:type="dxa"/>
            <w:tcBorders/>
            <w:shd w:fill="auto" w:val="clear"/>
            <w:vAlign w:val="center"/>
          </w:tcPr>
          <w:p>
            <w:pPr>
              <w:pStyle w:val="TableContents"/>
              <w:spacing w:before="0" w:after="283"/>
              <w:rPr>
                <w:sz w:val="4"/>
                <w:szCs w:val="4"/>
              </w:rPr>
            </w:pPr>
            <w:r>
              <w:rPr>
                <w:sz w:val="4"/>
                <w:szCs w:val="4"/>
              </w:rPr>
            </w:r>
          </w:p>
        </w:tc>
        <w:tc>
          <w:tcPr>
            <w:tcW w:w="239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gridSpan w:val="2"/>
            <w:tcBorders/>
            <w:shd w:fill="auto" w:val="clear"/>
          </w:tcPr>
          <w:p>
            <w:pPr>
              <w:pStyle w:val="TableContents"/>
              <w:spacing w:before="0" w:after="283"/>
              <w:rPr>
                <w:sz w:val="4"/>
                <w:szCs w:val="4"/>
              </w:rPr>
            </w:pPr>
            <w:r>
              <w:rPr>
                <w:sz w:val="4"/>
                <w:szCs w:val="4"/>
              </w:rPr>
            </w:r>
          </w:p>
        </w:tc>
      </w:tr>
      <w:tr>
        <w:trPr/>
        <w:tc>
          <w:tcPr>
            <w:tcW w:w="7523" w:type="dxa"/>
            <w:gridSpan w:val="3"/>
            <w:vMerge w:val="continue"/>
            <w:tcBorders/>
            <w:shd w:fill="auto" w:val="clear"/>
            <w:tcMar>
              <w:top w:w="0" w:type="dxa"/>
              <w:left w:w="0" w:type="dxa"/>
              <w:bottom w:w="0" w:type="dxa"/>
              <w:right w:w="0" w:type="dxa"/>
            </w:tcMar>
            <w:vAlign w:val="center"/>
          </w:tcPr>
          <w:p>
            <w:pPr>
              <w:pStyle w:val="Normal"/>
              <w:rPr/>
            </w:pPr>
            <w:r>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 </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 </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 </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intellectual property matter</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(EXPENSE)—NET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 AND LOSS FROM EQUITY METHOD INVESTMENT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EQUITY METHOD INVESTMENT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INCLUDING NON-CONTROLLING INTERESTS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 NET OF TAX</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FORTINET,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attributable to Fortinet, Inc. (Note 9):</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net income per share attributable to Fortinet, Inc.:</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FORTINET, INC.</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millions)</w:t>
      </w:r>
    </w:p>
    <w:tbl>
      <w:tblPr>
        <w:tblW w:w="9535" w:type="dxa"/>
        <w:jc w:val="center"/>
        <w:tblInd w:w="0" w:type="dxa"/>
        <w:tblCellMar>
          <w:top w:w="28" w:type="dxa"/>
          <w:left w:w="28" w:type="dxa"/>
          <w:bottom w:w="28" w:type="dxa"/>
          <w:right w:w="28" w:type="dxa"/>
        </w:tblCellMar>
      </w:tblPr>
      <w:tblGrid>
        <w:gridCol w:w="2483"/>
        <w:gridCol w:w="2181"/>
        <w:gridCol w:w="2191"/>
        <w:gridCol w:w="211"/>
        <w:gridCol w:w="616"/>
        <w:gridCol w:w="109"/>
        <w:gridCol w:w="109"/>
        <w:gridCol w:w="109"/>
        <w:gridCol w:w="109"/>
        <w:gridCol w:w="211"/>
        <w:gridCol w:w="616"/>
        <w:gridCol w:w="109"/>
        <w:gridCol w:w="109"/>
        <w:gridCol w:w="109"/>
        <w:gridCol w:w="109"/>
        <w:gridCol w:w="154"/>
      </w:tblGrid>
      <w:tr>
        <w:trPr/>
        <w:tc>
          <w:tcPr>
            <w:tcW w:w="2483" w:type="dxa"/>
            <w:tcBorders/>
            <w:shd w:fill="auto" w:val="clear"/>
            <w:vAlign w:val="center"/>
          </w:tcPr>
          <w:p>
            <w:pPr>
              <w:pStyle w:val="TableContents"/>
              <w:spacing w:before="0" w:after="283"/>
              <w:rPr>
                <w:sz w:val="4"/>
                <w:szCs w:val="4"/>
              </w:rPr>
            </w:pPr>
            <w:r>
              <w:rPr>
                <w:sz w:val="4"/>
                <w:szCs w:val="4"/>
              </w:rPr>
            </w:r>
          </w:p>
        </w:tc>
        <w:tc>
          <w:tcPr>
            <w:tcW w:w="2181" w:type="dxa"/>
            <w:tcBorders/>
            <w:shd w:fill="auto" w:val="clear"/>
            <w:vAlign w:val="center"/>
          </w:tcPr>
          <w:p>
            <w:pPr>
              <w:pStyle w:val="TableContents"/>
              <w:spacing w:before="0" w:after="283"/>
              <w:rPr>
                <w:sz w:val="4"/>
                <w:szCs w:val="4"/>
              </w:rPr>
            </w:pPr>
            <w:r>
              <w:rPr>
                <w:sz w:val="4"/>
                <w:szCs w:val="4"/>
              </w:rPr>
            </w:r>
          </w:p>
        </w:tc>
        <w:tc>
          <w:tcPr>
            <w:tcW w:w="219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8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including non-controlling interests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losses on investments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tax provision (benefit) related to items of other comprehensive income or loss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including non-controlling interests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loss attributable to non-controlling interests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Fortinet,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FORTINET, INC.</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EQUITY (DEFICIT)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millions)</w:t>
      </w:r>
    </w:p>
    <w:tbl>
      <w:tblPr>
        <w:tblW w:w="10916" w:type="dxa"/>
        <w:jc w:val="center"/>
        <w:tblInd w:w="0" w:type="dxa"/>
        <w:tblCellMar>
          <w:top w:w="28" w:type="dxa"/>
          <w:left w:w="28" w:type="dxa"/>
          <w:bottom w:w="28" w:type="dxa"/>
          <w:right w:w="28" w:type="dxa"/>
        </w:tblCellMar>
      </w:tblPr>
      <w:tblGrid>
        <w:gridCol w:w="476"/>
        <w:gridCol w:w="392"/>
        <w:gridCol w:w="393"/>
        <w:gridCol w:w="308"/>
        <w:gridCol w:w="308"/>
        <w:gridCol w:w="211"/>
        <w:gridCol w:w="109"/>
        <w:gridCol w:w="109"/>
        <w:gridCol w:w="109"/>
        <w:gridCol w:w="218"/>
        <w:gridCol w:w="419"/>
        <w:gridCol w:w="114"/>
        <w:gridCol w:w="109"/>
        <w:gridCol w:w="109"/>
        <w:gridCol w:w="109"/>
        <w:gridCol w:w="211"/>
        <w:gridCol w:w="766"/>
        <w:gridCol w:w="109"/>
        <w:gridCol w:w="109"/>
        <w:gridCol w:w="109"/>
        <w:gridCol w:w="109"/>
        <w:gridCol w:w="325"/>
        <w:gridCol w:w="812"/>
        <w:gridCol w:w="169"/>
        <w:gridCol w:w="109"/>
        <w:gridCol w:w="109"/>
        <w:gridCol w:w="109"/>
        <w:gridCol w:w="211"/>
        <w:gridCol w:w="806"/>
        <w:gridCol w:w="109"/>
        <w:gridCol w:w="109"/>
        <w:gridCol w:w="109"/>
        <w:gridCol w:w="109"/>
        <w:gridCol w:w="350"/>
        <w:gridCol w:w="849"/>
        <w:gridCol w:w="182"/>
        <w:gridCol w:w="109"/>
        <w:gridCol w:w="109"/>
        <w:gridCol w:w="109"/>
        <w:gridCol w:w="257"/>
        <w:gridCol w:w="770"/>
        <w:gridCol w:w="189"/>
      </w:tblGrid>
      <w:tr>
        <w:trPr/>
        <w:tc>
          <w:tcPr>
            <w:tcW w:w="476"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5" w:type="dxa"/>
            <w:gridSpan w:val="3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r>
      <w:tr>
        <w:trPr/>
        <w:tc>
          <w:tcPr>
            <w:tcW w:w="12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 Loss</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 Equity (Deficit)</w:t>
            </w:r>
          </w:p>
        </w:tc>
      </w:tr>
      <w:tr>
        <w:trPr/>
        <w:tc>
          <w:tcPr>
            <w:tcW w:w="1261" w:type="dxa"/>
            <w:gridSpan w:val="3"/>
            <w:vMerge w:val="continue"/>
            <w:tcBorders/>
            <w:shd w:fill="auto" w:val="clear"/>
            <w:tcMar>
              <w:top w:w="0" w:type="dxa"/>
              <w:left w:w="0" w:type="dxa"/>
              <w:bottom w:w="0" w:type="dxa"/>
              <w:right w:w="0" w:type="dxa"/>
            </w:tcMar>
            <w:vAlign w:val="center"/>
          </w:tcPr>
          <w:p>
            <w:pPr>
              <w:pStyle w:val="Normal"/>
              <w:rPr/>
            </w:pPr>
            <w:r>
              <w:rPr/>
            </w:r>
          </w:p>
        </w:tc>
        <w:tc>
          <w:tcPr>
            <w:tcW w:w="8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30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12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BALANCE—December 31, 2022</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equity incentive plans - net of tax withholding</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on investments - net of tax</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BALANCE—March 31, 2023</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16" w:type="dxa"/>
            <w:gridSpan w:val="4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5" w:type="dxa"/>
            <w:gridSpan w:val="39"/>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2022</w:t>
            </w:r>
          </w:p>
        </w:tc>
      </w:tr>
      <w:tr>
        <w:trPr/>
        <w:tc>
          <w:tcPr>
            <w:tcW w:w="1261"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05"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vMerge w:val="restart"/>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 Loss</w:t>
            </w:r>
          </w:p>
        </w:tc>
        <w:tc>
          <w:tcPr>
            <w:tcW w:w="327" w:type="dxa"/>
            <w:gridSpan w:val="3"/>
            <w:vMerge w:val="restart"/>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Equity</w:t>
            </w:r>
          </w:p>
        </w:tc>
      </w:tr>
      <w:tr>
        <w:trPr/>
        <w:tc>
          <w:tcPr>
            <w:tcW w:w="1261" w:type="dxa"/>
            <w:gridSpan w:val="3"/>
            <w:vMerge w:val="continue"/>
            <w:tcBorders/>
            <w:shd w:fill="FFFFFF" w:val="clear"/>
            <w:tcMar>
              <w:top w:w="0" w:type="dxa"/>
              <w:left w:w="0" w:type="dxa"/>
              <w:bottom w:w="0" w:type="dxa"/>
              <w:right w:w="0" w:type="dxa"/>
            </w:tcMar>
            <w:vAlign w:val="center"/>
          </w:tcPr>
          <w:p>
            <w:pPr>
              <w:pStyle w:val="Normal"/>
              <w:rPr/>
            </w:pPr>
            <w:r>
              <w:rPr/>
            </w:r>
          </w:p>
        </w:tc>
        <w:tc>
          <w:tcPr>
            <w:tcW w:w="82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FFFFFF" w:val="clear"/>
            <w:tcMar>
              <w:left w:w="0" w:type="dxa"/>
              <w:bottom w:w="0" w:type="dxa"/>
              <w:right w:w="0" w:type="dxa"/>
            </w:tcMar>
            <w:vAlign w:val="center"/>
          </w:tcPr>
          <w:p>
            <w:pPr>
              <w:pStyle w:val="Normal"/>
              <w:rPr/>
            </w:pPr>
            <w:r>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FFFFFF" w:val="clear"/>
            <w:tcMar>
              <w:left w:w="0" w:type="dxa"/>
              <w:bottom w:w="0" w:type="dxa"/>
              <w:right w:w="0" w:type="dxa"/>
            </w:tcMar>
            <w:vAlign w:val="center"/>
          </w:tcPr>
          <w:p>
            <w:pPr>
              <w:pStyle w:val="Normal"/>
              <w:rPr/>
            </w:pPr>
            <w:r>
              <w:rPr/>
            </w:r>
          </w:p>
        </w:tc>
        <w:tc>
          <w:tcPr>
            <w:tcW w:w="112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BALANCE—December 31, 2021</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798.4 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equity incentive plans - net of tax withholding</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and retirement of common stock</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(691.2)</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on investments - net of tax</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BALANCE—March 31, 2022</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801.3 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FORTINET, INC.</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millions)</w:t>
      </w:r>
    </w:p>
    <w:tbl>
      <w:tblPr>
        <w:tblW w:w="8358" w:type="dxa"/>
        <w:jc w:val="left"/>
        <w:tblInd w:w="0" w:type="dxa"/>
        <w:tblCellMar>
          <w:top w:w="28" w:type="dxa"/>
          <w:left w:w="28" w:type="dxa"/>
          <w:bottom w:w="28" w:type="dxa"/>
          <w:right w:w="28" w:type="dxa"/>
        </w:tblCellMar>
      </w:tblPr>
      <w:tblGrid>
        <w:gridCol w:w="2211"/>
        <w:gridCol w:w="1942"/>
        <w:gridCol w:w="1952"/>
        <w:gridCol w:w="196"/>
        <w:gridCol w:w="691"/>
        <w:gridCol w:w="109"/>
        <w:gridCol w:w="109"/>
        <w:gridCol w:w="109"/>
        <w:gridCol w:w="109"/>
        <w:gridCol w:w="201"/>
        <w:gridCol w:w="571"/>
        <w:gridCol w:w="158"/>
      </w:tblGrid>
      <w:tr>
        <w:trPr/>
        <w:tc>
          <w:tcPr>
            <w:tcW w:w="2211" w:type="dxa"/>
            <w:tcBorders/>
            <w:shd w:fill="auto" w:val="clear"/>
            <w:vAlign w:val="center"/>
          </w:tcPr>
          <w:p>
            <w:pPr>
              <w:pStyle w:val="TableContents"/>
              <w:spacing w:before="0" w:after="283"/>
              <w:rPr>
                <w:sz w:val="4"/>
                <w:szCs w:val="4"/>
              </w:rPr>
            </w:pPr>
            <w:r>
              <w:rPr>
                <w:sz w:val="4"/>
                <w:szCs w:val="4"/>
              </w:rPr>
            </w:r>
          </w:p>
        </w:tc>
        <w:tc>
          <w:tcPr>
            <w:tcW w:w="1942" w:type="dxa"/>
            <w:tcBorders/>
            <w:shd w:fill="auto" w:val="clear"/>
            <w:vAlign w:val="center"/>
          </w:tcPr>
          <w:p>
            <w:pPr>
              <w:pStyle w:val="TableContents"/>
              <w:spacing w:before="0" w:after="283"/>
              <w:rPr>
                <w:sz w:val="4"/>
                <w:szCs w:val="4"/>
              </w:rPr>
            </w:pPr>
            <w:r>
              <w:rPr>
                <w:sz w:val="4"/>
                <w:szCs w:val="4"/>
              </w:rPr>
            </w:r>
          </w:p>
        </w:tc>
        <w:tc>
          <w:tcPr>
            <w:tcW w:w="195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1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5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61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2022</w:t>
            </w:r>
          </w:p>
        </w:tc>
      </w:tr>
      <w:tr>
        <w:trPr/>
        <w:tc>
          <w:tcPr>
            <w:tcW w:w="6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including non-controlling interests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138.3 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deferred contract costs</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investment premiums (discounts)</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from equity method investment</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 net of impact of business combinations:</w:t>
            </w:r>
          </w:p>
        </w:tc>
        <w:tc>
          <w:tcPr>
            <w:tcW w:w="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receivable—net</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contract costs</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assets</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(87.6)</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payroll and compensation</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investments</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(385.2)</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of investments</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Maturities of investments</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459.4 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(122.6)</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and retirement of common stock</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(691.2)</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paid related to net share settlement of equity awards</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(64.8)</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(746.0)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 AND CASH EQUIVALENTS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AND CASH EQUIVALENTS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EQUIVALENTS—Beginning of period</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1,319.1 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923.5 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DISCLOSURES OF CASH FLOW INFORMATION:</w:t>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Cash paid for income taxes—net </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arising from obtaining right-of-use assets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INVESTING AND FINANCING ACTIVITIES:</w:t>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Transfers of evaluation units from inventory to property and equipment</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Liability for purchase of property and equipment</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15.5 </w:t>
            </w:r>
          </w:p>
        </w:tc>
        <w:tc>
          <w:tcPr>
            <w:tcW w:w="1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FORTINET, INC.</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1.     SUMMARY OF SIGNIFICANT ACCOUNTING POLICIES</w:t>
      </w:r>
    </w:p>
    <w:p>
      <w:pPr>
        <w:pStyle w:val="TextBody"/>
        <w:spacing w:before="0" w:after="0"/>
        <w:ind w:left="0" w:right="0" w:firstLine="720"/>
        <w:rPr/>
      </w:pPr>
      <w:r>
        <w:rPr/>
      </w:r>
    </w:p>
    <w:p>
      <w:pPr>
        <w:pStyle w:val="TextBody"/>
        <w:spacing w:lineRule="auto" w:line="288" w:before="0" w:after="0"/>
        <w:ind w:left="0" w:right="0" w:firstLine="720"/>
        <w:rPr/>
      </w:pPr>
      <w:r>
        <w:rPr>
          <w:rFonts w:ascii="Times New Roman;sans-serif" w:hAnsi="Times New Roman;sans-serif"/>
          <w:b/>
          <w:color w:val="000000"/>
          <w:sz w:val="20"/>
        </w:rPr>
        <w:t>Basis of Presentation and Preparation</w:t>
      </w:r>
      <w:r>
        <w:rPr>
          <w:color w:val="000000"/>
        </w:rPr>
        <w:t>—</w:t>
      </w:r>
      <w:r>
        <w:rPr>
          <w:rFonts w:ascii="Times New Roman;sans-serif" w:hAnsi="Times New Roman;sans-serif"/>
          <w:b w:val="false"/>
          <w:color w:val="000000"/>
          <w:sz w:val="20"/>
        </w:rPr>
        <w:t xml:space="preserve">The unaudited condensed consolidated financial statements of Fortinet, Inc. and its subsidiaries (collectively, “we,” “us” or “our”) have been prepared in accordance with generally accepted accounting principles in the United States (“GAAP”) for interim financial information, as well as the instructions to Form 10-Q pursuant to the rules and regulations of the U.S. Securities and Exchange Commission (the “SEC”). Accordingly, they do not include all of the information and footnotes required by GAAP for complete financial statements, and should be read in conjunction with our audited consolidated financial statements as of and for the year ended December 31, 2022, contained in our Annual Report on Form 10-K filed with the SEC on February 24, 2023. In the opinion of management, all adjustments, which include normal recurring adjustments, considered necessary for a fair presentation, have been included. The results of operations for the three months ended March 31, 2023 are not necessarily indicative of the results to be expected for the full year or for any future periods. The condensed consolidated balance sheet as of December 31, 2022 is derived from the audited consolidated financial statements for the year ended December 31, 2022.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Fortinet, Inc. and its subsidiaries. We consolidate all legal entities in which we have an absolute controlling financial interest. All intercompany balances and transactions have been eliminated in consolidation.</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condensed consolidated financial statements in accordance with GAAP requires management to make estimates and assumptions that affect the amounts reported in the condensed consolidated financial statements and accompanying notes. Actual results could differ materially from those estimates.</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April 14, 2022, our board of directors approved a five-for-one forward stock split of our common stock (the “Forward Stock Split”), which was conditioned upon obtaining stockholder approval for the Forward Stock Split, and to increase the number of our authorized shares of common stock. On June 17, 2022, at our 2022 Annual Meeting of Stockholders, our stockholders approved the Forward Stock Split and the amendment and restatement of our amended and restated certificate of incorporation to increase the number of authorized shares of common stock from 300.0 million to 1.5 billion. The par value of our common stock was not adjusted as a result of the Forward Stock Split. Effective June 22, 2022, we filed our amended and restated certification of incorporation and completed the Forward Stock Split. All share and per share amounts and related equity (deficit) balances presented herein have been retroactively adjusted to reflect the Forward Stock Split.</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significant accounting policies as of and for the three months ended March 31, 2023, as compared to the significant accounting policies described in the Form 10-K.</w:t>
      </w:r>
    </w:p>
    <w:p>
      <w:pPr>
        <w:pStyle w:val="TextBody"/>
        <w:spacing w:before="0" w:after="0"/>
        <w:rPr/>
      </w:pPr>
      <w:r>
        <w:rPr/>
      </w:r>
    </w:p>
    <w:p>
      <w:pPr>
        <w:pStyle w:val="TextBody"/>
        <w:spacing w:lineRule="auto" w:line="268"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Recently Adopted and Recently Issued Accounting Standards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There were no recently adopted accounting standards which would have a material effect on our condensed consolidated financial statements and accompanying disclosures, and no recently issued accounting standards that are expected to have a material impact on our condensed consolidated financial statements and accompanying disclosures.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7dc029bb3b82494a8136cb244d07aa3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FORTINET,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STATEMENTS—(Continued)</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2.     REVENUE RECOGNITION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revenue disaggregated by major product and service lines (in millions):</w:t>
      </w:r>
    </w:p>
    <w:tbl>
      <w:tblPr>
        <w:tblW w:w="5230" w:type="dxa"/>
        <w:jc w:val="center"/>
        <w:tblInd w:w="0" w:type="dxa"/>
        <w:tblCellMar>
          <w:top w:w="28" w:type="dxa"/>
          <w:left w:w="28" w:type="dxa"/>
          <w:bottom w:w="28" w:type="dxa"/>
          <w:right w:w="28" w:type="dxa"/>
        </w:tblCellMar>
      </w:tblPr>
      <w:tblGrid>
        <w:gridCol w:w="868"/>
        <w:gridCol w:w="763"/>
        <w:gridCol w:w="769"/>
        <w:gridCol w:w="211"/>
        <w:gridCol w:w="766"/>
        <w:gridCol w:w="109"/>
        <w:gridCol w:w="109"/>
        <w:gridCol w:w="109"/>
        <w:gridCol w:w="109"/>
        <w:gridCol w:w="211"/>
        <w:gridCol w:w="616"/>
        <w:gridCol w:w="109"/>
        <w:gridCol w:w="109"/>
        <w:gridCol w:w="109"/>
        <w:gridCol w:w="109"/>
        <w:gridCol w:w="154"/>
      </w:tblGrid>
      <w:tr>
        <w:trPr/>
        <w:tc>
          <w:tcPr>
            <w:tcW w:w="868"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subscription</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Technical support and other</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service revenue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Deferred Revenue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and 2022, we recognized $675.9 million and $507.3 million in service revenue that was included in the deferred revenue balance as of December 31, 2022 and 2021, respectively. </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Transaction Price Allocated to the Remaining Performance Obligations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aggregate amount of the transaction price allocated to remaining performance obligations was $4.91 billion, which was substantially comprised of deferred security subscription, technical support services revenue and unbilled contract revenue from non-cancellable contracts that will be recognized in future periods. We expect to recognize approximately $2.49 billion as revenue over the next 12 months and the remainder thereafter.</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spacing w:before="0" w:after="0"/>
        <w:ind w:left="0" w:right="0" w:firstLine="720"/>
        <w:rPr/>
      </w:pPr>
      <w:r>
        <w:rPr/>
      </w:r>
    </w:p>
    <w:p>
      <w:pPr>
        <w:pStyle w:val="TextBody"/>
        <w:spacing w:lineRule="auto" w:line="271"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are recorded at the invoiced amount, net of an allowance for expected credit losses. We measure expected credit losses of accounts receivable on a collective (pooled) basis, aggregating accounts receivable that are either current or no more than 60 days past due, and aggregating accounts receivable that are more than 60 days past due. We apply a credit-loss percentage to each of the pools that is based on our historical credit losses. We review whether each of our significant accounts receivable that is more than 60 days past due continues to exhibit similar risk characteristics with the other accounts receivable in the pool. If we determine that it does not, we evaluate it for expected credit losses on an individual basis. Expected credit losses are recorded as general and administrative expenses on our consolidated statements of income.</w:t>
      </w:r>
    </w:p>
    <w:p>
      <w:pPr>
        <w:pStyle w:val="TextBody"/>
        <w:spacing w:before="0" w:after="0"/>
        <w:ind w:left="0" w:right="0" w:firstLine="648"/>
        <w:rPr/>
      </w:pPr>
      <w:r>
        <w:rPr/>
      </w:r>
    </w:p>
    <w:p>
      <w:pPr>
        <w:pStyle w:val="TextBody"/>
        <w:spacing w:lineRule="auto" w:line="252" w:before="0" w:after="0"/>
        <w:ind w:left="0" w:right="0" w:firstLine="648"/>
        <w:rPr>
          <w:rFonts w:ascii="Times New Roman;sans-serif" w:hAnsi="Times New Roman;sans-serif"/>
          <w:b w:val="false"/>
          <w:color w:val="000000"/>
          <w:sz w:val="20"/>
        </w:rPr>
      </w:pPr>
      <w:r>
        <w:rPr>
          <w:rFonts w:ascii="Times New Roman;sans-serif" w:hAnsi="Times New Roman;sans-serif"/>
          <w:b w:val="false"/>
          <w:color w:val="000000"/>
          <w:sz w:val="20"/>
        </w:rPr>
        <w:t>The allowance for credit losses was $6.7 million and $3.6 million as of March 31, 2023 and December 31, 2022, respectively. Provisions, write-offs and recoveries were not material during the three months ended March 31, 2023 and 2022.</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Deferred Contract Costs</w:t>
      </w:r>
    </w:p>
    <w:p>
      <w:pPr>
        <w:pStyle w:val="TextBody"/>
        <w:spacing w:lineRule="auto" w:line="288" w:before="0" w:after="0"/>
        <w:rPr>
          <w:color w:val="000000"/>
        </w:rPr>
      </w:pPr>
      <w:r>
        <w:rPr>
          <w:color w:val="000000"/>
        </w:rPr>
        <w:t xml:space="preserve">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deferred contract costs during the three months ended March 31, 2023 and 2022 were $62.5 million and $52.5 million, respectively.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7dc029bb3b82494a8136cb244d07aa3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FORTINET,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STATEMENTS—(Continued)</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3.     FINANCIAL INSTRUMENTS AND FAIR VALUE</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Available-for-sale Securities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our available-for-sale securities (in millions):</w:t>
      </w:r>
    </w:p>
    <w:p>
      <w:pPr>
        <w:pStyle w:val="TextBody"/>
        <w:spacing w:lineRule="auto" w:line="288" w:before="0" w:after="0"/>
        <w:ind w:left="0" w:right="0" w:firstLine="720"/>
        <w:rPr>
          <w:color w:val="000000"/>
        </w:rPr>
      </w:pPr>
      <w:r>
        <w:rPr>
          <w:color w:val="000000"/>
        </w:rPr>
        <w:t> </w:t>
      </w:r>
    </w:p>
    <w:tbl>
      <w:tblPr>
        <w:tblW w:w="8134" w:type="dxa"/>
        <w:jc w:val="center"/>
        <w:tblInd w:w="0" w:type="dxa"/>
        <w:tblCellMar>
          <w:top w:w="28" w:type="dxa"/>
          <w:left w:w="28" w:type="dxa"/>
          <w:bottom w:w="28" w:type="dxa"/>
          <w:right w:w="28" w:type="dxa"/>
        </w:tblCellMar>
      </w:tblPr>
      <w:tblGrid>
        <w:gridCol w:w="1223"/>
        <w:gridCol w:w="1074"/>
        <w:gridCol w:w="1077"/>
        <w:gridCol w:w="211"/>
        <w:gridCol w:w="616"/>
        <w:gridCol w:w="109"/>
        <w:gridCol w:w="109"/>
        <w:gridCol w:w="109"/>
        <w:gridCol w:w="109"/>
        <w:gridCol w:w="270"/>
        <w:gridCol w:w="520"/>
        <w:gridCol w:w="141"/>
        <w:gridCol w:w="109"/>
        <w:gridCol w:w="109"/>
        <w:gridCol w:w="109"/>
        <w:gridCol w:w="265"/>
        <w:gridCol w:w="528"/>
        <w:gridCol w:w="138"/>
        <w:gridCol w:w="109"/>
        <w:gridCol w:w="109"/>
        <w:gridCol w:w="109"/>
        <w:gridCol w:w="211"/>
        <w:gridCol w:w="616"/>
        <w:gridCol w:w="154"/>
      </w:tblGrid>
      <w:tr>
        <w:trPr/>
        <w:tc>
          <w:tcPr>
            <w:tcW w:w="1223"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6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33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w:t>
              <w:b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w:t>
              <w:br/>
              <w:t>Value</w:t>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agency securities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 and term deposits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8134" w:type="dxa"/>
        <w:jc w:val="center"/>
        <w:tblInd w:w="0" w:type="dxa"/>
        <w:tblCellMar>
          <w:top w:w="28" w:type="dxa"/>
          <w:left w:w="28" w:type="dxa"/>
          <w:bottom w:w="28" w:type="dxa"/>
          <w:right w:w="28" w:type="dxa"/>
        </w:tblCellMar>
      </w:tblPr>
      <w:tblGrid>
        <w:gridCol w:w="1223"/>
        <w:gridCol w:w="1074"/>
        <w:gridCol w:w="1077"/>
        <w:gridCol w:w="211"/>
        <w:gridCol w:w="616"/>
        <w:gridCol w:w="109"/>
        <w:gridCol w:w="109"/>
        <w:gridCol w:w="109"/>
        <w:gridCol w:w="109"/>
        <w:gridCol w:w="270"/>
        <w:gridCol w:w="520"/>
        <w:gridCol w:w="141"/>
        <w:gridCol w:w="109"/>
        <w:gridCol w:w="109"/>
        <w:gridCol w:w="109"/>
        <w:gridCol w:w="265"/>
        <w:gridCol w:w="528"/>
        <w:gridCol w:w="138"/>
        <w:gridCol w:w="109"/>
        <w:gridCol w:w="109"/>
        <w:gridCol w:w="109"/>
        <w:gridCol w:w="211"/>
        <w:gridCol w:w="616"/>
        <w:gridCol w:w="154"/>
      </w:tblGrid>
      <w:tr>
        <w:trPr/>
        <w:tc>
          <w:tcPr>
            <w:tcW w:w="1223"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6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3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w:t>
              <w:b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w:t>
              <w:br/>
              <w:t>Value</w:t>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agency securities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 and term deposits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securities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tables show the gross unrealized losses and the related fair values of our available-for-sale securities that have been in a continuous unrealized loss position (in millions):</w:t>
      </w:r>
    </w:p>
    <w:tbl>
      <w:tblPr>
        <w:tblW w:w="10205" w:type="dxa"/>
        <w:jc w:val="center"/>
        <w:tblInd w:w="0" w:type="dxa"/>
        <w:tblCellMar>
          <w:top w:w="28" w:type="dxa"/>
          <w:left w:w="28" w:type="dxa"/>
          <w:bottom w:w="28" w:type="dxa"/>
          <w:right w:w="28" w:type="dxa"/>
        </w:tblCellMar>
      </w:tblPr>
      <w:tblGrid>
        <w:gridCol w:w="1112"/>
        <w:gridCol w:w="904"/>
        <w:gridCol w:w="907"/>
        <w:gridCol w:w="211"/>
        <w:gridCol w:w="616"/>
        <w:gridCol w:w="109"/>
        <w:gridCol w:w="109"/>
        <w:gridCol w:w="109"/>
        <w:gridCol w:w="109"/>
        <w:gridCol w:w="265"/>
        <w:gridCol w:w="528"/>
        <w:gridCol w:w="138"/>
        <w:gridCol w:w="109"/>
        <w:gridCol w:w="109"/>
        <w:gridCol w:w="109"/>
        <w:gridCol w:w="211"/>
        <w:gridCol w:w="616"/>
        <w:gridCol w:w="109"/>
        <w:gridCol w:w="109"/>
        <w:gridCol w:w="109"/>
        <w:gridCol w:w="109"/>
        <w:gridCol w:w="265"/>
        <w:gridCol w:w="528"/>
        <w:gridCol w:w="138"/>
        <w:gridCol w:w="109"/>
        <w:gridCol w:w="109"/>
        <w:gridCol w:w="109"/>
        <w:gridCol w:w="211"/>
        <w:gridCol w:w="616"/>
        <w:gridCol w:w="109"/>
        <w:gridCol w:w="109"/>
        <w:gridCol w:w="109"/>
        <w:gridCol w:w="109"/>
        <w:gridCol w:w="262"/>
        <w:gridCol w:w="522"/>
        <w:gridCol w:w="193"/>
      </w:tblGrid>
      <w:tr>
        <w:trPr/>
        <w:tc>
          <w:tcPr>
            <w:tcW w:w="1112"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29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2"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29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9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Less Than 12 Months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9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12 Months or Greater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4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9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r>
      <w:tr>
        <w:trPr/>
        <w:tc>
          <w:tcPr>
            <w:tcW w:w="29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agency securities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1112"/>
        <w:gridCol w:w="904"/>
        <w:gridCol w:w="907"/>
        <w:gridCol w:w="211"/>
        <w:gridCol w:w="616"/>
        <w:gridCol w:w="109"/>
        <w:gridCol w:w="109"/>
        <w:gridCol w:w="109"/>
        <w:gridCol w:w="109"/>
        <w:gridCol w:w="265"/>
        <w:gridCol w:w="528"/>
        <w:gridCol w:w="138"/>
        <w:gridCol w:w="109"/>
        <w:gridCol w:w="109"/>
        <w:gridCol w:w="109"/>
        <w:gridCol w:w="211"/>
        <w:gridCol w:w="616"/>
        <w:gridCol w:w="109"/>
        <w:gridCol w:w="109"/>
        <w:gridCol w:w="109"/>
        <w:gridCol w:w="109"/>
        <w:gridCol w:w="265"/>
        <w:gridCol w:w="528"/>
        <w:gridCol w:w="138"/>
        <w:gridCol w:w="109"/>
        <w:gridCol w:w="109"/>
        <w:gridCol w:w="109"/>
        <w:gridCol w:w="211"/>
        <w:gridCol w:w="616"/>
        <w:gridCol w:w="109"/>
        <w:gridCol w:w="109"/>
        <w:gridCol w:w="109"/>
        <w:gridCol w:w="109"/>
        <w:gridCol w:w="262"/>
        <w:gridCol w:w="522"/>
        <w:gridCol w:w="193"/>
      </w:tblGrid>
      <w:tr>
        <w:trPr/>
        <w:tc>
          <w:tcPr>
            <w:tcW w:w="1112"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29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2"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9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9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Less Than 12 Months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9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12 Months or Greater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4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9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r>
      <w:tr>
        <w:trPr/>
        <w:tc>
          <w:tcPr>
            <w:tcW w:w="29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agency securities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7dc029bb3b82494a8136cb244d07aa3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FORTINET,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STATEMENTS—(Continued)</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contractual maturities of our investments were (in millions):</w:t>
      </w:r>
    </w:p>
    <w:tbl>
      <w:tblPr>
        <w:tblW w:w="4937" w:type="dxa"/>
        <w:jc w:val="center"/>
        <w:tblInd w:w="0" w:type="dxa"/>
        <w:tblCellMar>
          <w:top w:w="28" w:type="dxa"/>
          <w:left w:w="28" w:type="dxa"/>
          <w:bottom w:w="28" w:type="dxa"/>
          <w:right w:w="28" w:type="dxa"/>
        </w:tblCellMar>
      </w:tblPr>
      <w:tblGrid>
        <w:gridCol w:w="902"/>
        <w:gridCol w:w="790"/>
        <w:gridCol w:w="797"/>
        <w:gridCol w:w="211"/>
        <w:gridCol w:w="616"/>
        <w:gridCol w:w="109"/>
        <w:gridCol w:w="109"/>
        <w:gridCol w:w="109"/>
        <w:gridCol w:w="109"/>
        <w:gridCol w:w="255"/>
        <w:gridCol w:w="744"/>
        <w:gridCol w:w="186"/>
      </w:tblGrid>
      <w:tr>
        <w:trPr/>
        <w:tc>
          <w:tcPr>
            <w:tcW w:w="902"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within one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within one to three years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548.1 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Available-for-sale securities are reported at fair value, with unrealized gains and losses and the related tax impact included as a separate component of equity (deficit) and in comprehensive income. We do not intend to sell any of the securities in an unrealized loss position and it is not more likely than not that we would be required to sell these securities before recovery of their amortized cost basis, which may be at maturity.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Realized gains and losses on available-for-sale securities were insignificant in the periods presented.</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Marketable Equity Securities</w:t>
      </w:r>
    </w:p>
    <w:p>
      <w:pPr>
        <w:pStyle w:val="TextBody"/>
        <w:spacing w:before="0" w:after="0"/>
        <w:rPr/>
      </w:pPr>
      <w:r>
        <w:rPr/>
      </w:r>
    </w:p>
    <w:p>
      <w:pPr>
        <w:pStyle w:val="TextBody"/>
        <w:spacing w:lineRule="auto" w:line="252" w:before="0" w:after="0"/>
        <w:ind w:left="0" w:right="0" w:firstLine="720"/>
        <w:rPr/>
      </w:pPr>
      <w:r>
        <w:rPr>
          <w:rFonts w:ascii="Times New Roman;sans-serif" w:hAnsi="Times New Roman;sans-serif"/>
          <w:b w:val="false"/>
          <w:color w:val="000000"/>
          <w:sz w:val="20"/>
        </w:rPr>
        <w:t xml:space="preserve">Our marketable equity securities were </w:t>
      </w:r>
      <w:r>
        <w:rPr>
          <w:rFonts w:ascii="Times New Roman;sans-serif" w:hAnsi="Times New Roman;sans-serif"/>
          <w:b w:val="false"/>
          <w:color w:val="000000"/>
          <w:sz w:val="20"/>
          <w:highlight w:val="white"/>
        </w:rPr>
        <w:t>$26.1 million and $25.5 million</w:t>
      </w:r>
      <w:r>
        <w:rPr>
          <w:color w:val="000000"/>
        </w:rPr>
        <w:t xml:space="preserve"> </w:t>
      </w:r>
      <w:r>
        <w:rPr>
          <w:rFonts w:ascii="Times New Roman;sans-serif" w:hAnsi="Times New Roman;sans-serif"/>
          <w:b w:val="false"/>
          <w:color w:val="000000"/>
          <w:sz w:val="20"/>
        </w:rPr>
        <w:t xml:space="preserve">as of March 31, 2023 and December 31, 2022. The changes in fair value of our marketable equity securities are recorded in other expense—net on the condensed consolidated statements of </w:t>
      </w:r>
      <w:r>
        <w:rPr>
          <w:rFonts w:ascii="Times New Roman;sans-serif" w:hAnsi="Times New Roman;sans-serif"/>
          <w:b w:val="false"/>
          <w:color w:val="000000"/>
          <w:sz w:val="20"/>
          <w:highlight w:val="white"/>
        </w:rPr>
        <w:t xml:space="preserve">income. We recognized a </w:t>
      </w:r>
      <w:r>
        <w:rPr>
          <w:rFonts w:ascii="Times New Roman;sans-serif" w:hAnsi="Times New Roman;sans-serif"/>
          <w:b w:val="false"/>
          <w:color w:val="000000"/>
          <w:sz w:val="20"/>
        </w:rPr>
        <w:t xml:space="preserve">$0.6 million gain and $6.2 million loss during the </w:t>
      </w:r>
      <w:r>
        <w:rPr>
          <w:rFonts w:ascii="Times New Roman;sans-serif" w:hAnsi="Times New Roman;sans-serif"/>
          <w:b w:val="false"/>
          <w:color w:val="000000"/>
          <w:sz w:val="20"/>
          <w:highlight w:val="white"/>
        </w:rPr>
        <w:t>three</w:t>
      </w:r>
      <w:r>
        <w:rPr>
          <w:color w:val="000000"/>
        </w:rPr>
        <w:t xml:space="preserve"> </w:t>
      </w:r>
      <w:r>
        <w:rPr>
          <w:rFonts w:ascii="Times New Roman;sans-serif" w:hAnsi="Times New Roman;sans-serif"/>
          <w:b w:val="false"/>
          <w:color w:val="000000"/>
          <w:sz w:val="20"/>
        </w:rPr>
        <w:t xml:space="preserve">months ended March 31, 2023 and 2022, respectively. </w:t>
      </w:r>
    </w:p>
    <w:p>
      <w:pPr>
        <w:pStyle w:val="TextBody"/>
        <w:spacing w:before="0" w:after="0"/>
        <w:ind w:left="0" w:right="0" w:firstLine="720"/>
        <w:rPr/>
      </w:pPr>
      <w:r>
        <w:rPr/>
      </w:r>
    </w:p>
    <w:p>
      <w:pPr>
        <w:pStyle w:val="TextBody"/>
        <w:spacing w:lineRule="auto" w:line="252" w:before="0" w:after="0"/>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Fair Value Accounting—We apply the following fair value hierarchy for disclosure of the inputs used to measure fair value. This hierarchy prioritizes the inputs into three broad levels:</w:t>
      </w:r>
    </w:p>
    <w:p>
      <w:pPr>
        <w:pStyle w:val="TextBody"/>
        <w:spacing w:before="0" w:after="0"/>
        <w:ind w:left="0" w:right="0" w:firstLine="72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Level 1—Inputs are unadjusted quoted prices in active markets for identical assets or liabilities.</w:t>
      </w:r>
    </w:p>
    <w:p>
      <w:pPr>
        <w:pStyle w:val="TextBody"/>
        <w:spacing w:before="0" w:after="0"/>
        <w:ind w:left="0" w:right="0" w:firstLine="72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pStyle w:val="TextBody"/>
        <w:spacing w:before="0" w:after="0"/>
        <w:ind w:left="0" w:right="0" w:firstLine="72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Level 3—Unobservable inputs based on our own assumptions used to measure assets and liabilities at fair value. The inputs require significant management judgment or estimation.</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measure the fair value of money market funds, certain U.S. government and agency securities and marketable equity securities using quoted prices in active markets for identical assets. The fair value of all other financial instruments was based on quoted prices for similar assets in active markets, or model-driven valuations using significant inputs derived from or corroborated by observable market data.</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classify investments within Level 1 if quoted prices are available in active markets for identical securities.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classify items within Level 2 if the investments are valued using model-driven valuations using observable inputs such as quoted market prices, benchmark yields, reported trades, broker/dealer quotes or alternative pricing sources with reasonable levels of price transparency. Investments are held by custodians who obtain investment prices from a third-party pricing provider that incorporates standard inputs in various asset price models.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7dc029bb3b82494a8136cb244d07aa3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FORTINET,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STATEMENTS—(Continued)</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Assets Measured at Fair Value on a Recurring Basis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fair value of our financial assets measured at fair value on a recurring basis (in millions):</w:t>
      </w:r>
    </w:p>
    <w:tbl>
      <w:tblPr>
        <w:tblW w:w="11223" w:type="dxa"/>
        <w:jc w:val="center"/>
        <w:tblInd w:w="0" w:type="dxa"/>
        <w:tblCellMar>
          <w:top w:w="28" w:type="dxa"/>
          <w:left w:w="28" w:type="dxa"/>
          <w:bottom w:w="28" w:type="dxa"/>
          <w:right w:w="28" w:type="dxa"/>
        </w:tblCellMar>
      </w:tblPr>
      <w:tblGrid>
        <w:gridCol w:w="411"/>
        <w:gridCol w:w="349"/>
        <w:gridCol w:w="351"/>
        <w:gridCol w:w="211"/>
        <w:gridCol w:w="766"/>
        <w:gridCol w:w="109"/>
        <w:gridCol w:w="109"/>
        <w:gridCol w:w="109"/>
        <w:gridCol w:w="109"/>
        <w:gridCol w:w="211"/>
        <w:gridCol w:w="616"/>
        <w:gridCol w:w="109"/>
        <w:gridCol w:w="109"/>
        <w:gridCol w:w="109"/>
        <w:gridCol w:w="109"/>
        <w:gridCol w:w="211"/>
        <w:gridCol w:w="616"/>
        <w:gridCol w:w="109"/>
        <w:gridCol w:w="109"/>
        <w:gridCol w:w="109"/>
        <w:gridCol w:w="109"/>
        <w:gridCol w:w="270"/>
        <w:gridCol w:w="520"/>
        <w:gridCol w:w="141"/>
        <w:gridCol w:w="109"/>
        <w:gridCol w:w="109"/>
        <w:gridCol w:w="109"/>
        <w:gridCol w:w="211"/>
        <w:gridCol w:w="766"/>
        <w:gridCol w:w="109"/>
        <w:gridCol w:w="109"/>
        <w:gridCol w:w="109"/>
        <w:gridCol w:w="109"/>
        <w:gridCol w:w="211"/>
        <w:gridCol w:w="616"/>
        <w:gridCol w:w="109"/>
        <w:gridCol w:w="109"/>
        <w:gridCol w:w="109"/>
        <w:gridCol w:w="109"/>
        <w:gridCol w:w="211"/>
        <w:gridCol w:w="616"/>
        <w:gridCol w:w="109"/>
        <w:gridCol w:w="109"/>
        <w:gridCol w:w="109"/>
        <w:gridCol w:w="109"/>
        <w:gridCol w:w="267"/>
        <w:gridCol w:w="513"/>
        <w:gridCol w:w="196"/>
      </w:tblGrid>
      <w:tr>
        <w:trPr/>
        <w:tc>
          <w:tcPr>
            <w:tcW w:w="411"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87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Aggregate</w:t>
              <w:b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Quoted</w:t>
              <w:br/>
              <w:t>Prices in</w:t>
              <w:br/>
              <w:t>Active</w:t>
              <w:br/>
              <w:t>Markets For</w:t>
              <w:br/>
              <w:t>Identical</w:t>
              <w:br/>
              <w:t>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Significant</w:t>
              <w:br/>
              <w:t>Other</w:t>
              <w:br/>
              <w:t>Observable</w:t>
              <w:br/>
              <w:t>Remaining</w:t>
              <w:br/>
              <w:t>Inputs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Significant</w:t>
              <w:br/>
              <w:t>Other</w:t>
              <w:br/>
              <w:t>Unobservable</w:t>
              <w:br/>
              <w:t>Remaining</w:t>
              <w:br/>
              <w:t>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Aggregate</w:t>
              <w:b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Quoted</w:t>
              <w:br/>
              <w:t>Prices in</w:t>
              <w:br/>
              <w:t>Active</w:t>
              <w:br/>
              <w:t>Markets For</w:t>
              <w:br/>
              <w:t>Identical</w:t>
              <w:br/>
              <w:t>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Significant</w:t>
              <w:br/>
              <w:t>Other</w:t>
              <w:br/>
              <w:t>Observable</w:t>
              <w:br/>
              <w:t>Remaining</w:t>
              <w:br/>
              <w:t>Inputs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Significant</w:t>
              <w:br/>
              <w:t>Other</w:t>
              <w:br/>
              <w:t>Unobservable</w:t>
              <w:br/>
              <w:t>Remaining</w:t>
              <w:br/>
              <w:t>Inputs</w:t>
            </w:r>
          </w:p>
        </w:tc>
      </w:tr>
      <w:tr>
        <w:trPr/>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agency securities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 and term deposits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equity securities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Reported as:</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equity securities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1 and Level 2 of the fair value hierarchy during the three months ended March 31, 2023 and year ended December 31, 2022.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4.     INVENTORY</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Inventory consisted of (in millions):</w:t>
      </w:r>
    </w:p>
    <w:tbl>
      <w:tblPr>
        <w:tblW w:w="3873" w:type="dxa"/>
        <w:jc w:val="center"/>
        <w:tblInd w:w="0" w:type="dxa"/>
        <w:tblCellMar>
          <w:top w:w="28" w:type="dxa"/>
          <w:left w:w="28" w:type="dxa"/>
          <w:bottom w:w="28" w:type="dxa"/>
          <w:right w:w="28" w:type="dxa"/>
        </w:tblCellMar>
      </w:tblPr>
      <w:tblGrid>
        <w:gridCol w:w="516"/>
        <w:gridCol w:w="453"/>
        <w:gridCol w:w="456"/>
        <w:gridCol w:w="211"/>
        <w:gridCol w:w="616"/>
        <w:gridCol w:w="109"/>
        <w:gridCol w:w="109"/>
        <w:gridCol w:w="109"/>
        <w:gridCol w:w="109"/>
        <w:gridCol w:w="255"/>
        <w:gridCol w:w="744"/>
        <w:gridCol w:w="186"/>
      </w:tblGrid>
      <w:tr>
        <w:trPr/>
        <w:tc>
          <w:tcPr>
            <w:tcW w:w="516"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1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7dc029bb3b82494a8136cb244d07aa3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FORTINET,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STATEMENTS—(Continued)</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5.     PROPERTY AND EQUIPMENT—Net</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Property and equipment—net consisted of (in millions):</w:t>
      </w:r>
    </w:p>
    <w:p>
      <w:pPr>
        <w:pStyle w:val="TextBody"/>
        <w:spacing w:lineRule="auto" w:line="288" w:before="0" w:after="0"/>
        <w:rPr>
          <w:color w:val="000000"/>
        </w:rPr>
      </w:pPr>
      <w:r>
        <w:rPr>
          <w:color w:val="000000"/>
        </w:rPr>
        <w:t> </w:t>
      </w:r>
    </w:p>
    <w:tbl>
      <w:tblPr>
        <w:tblW w:w="5358" w:type="dxa"/>
        <w:jc w:val="center"/>
        <w:tblInd w:w="0" w:type="dxa"/>
        <w:tblCellMar>
          <w:top w:w="28" w:type="dxa"/>
          <w:left w:w="28" w:type="dxa"/>
          <w:bottom w:w="28" w:type="dxa"/>
          <w:right w:w="28" w:type="dxa"/>
        </w:tblCellMar>
      </w:tblPr>
      <w:tblGrid>
        <w:gridCol w:w="1054"/>
        <w:gridCol w:w="923"/>
        <w:gridCol w:w="933"/>
        <w:gridCol w:w="211"/>
        <w:gridCol w:w="616"/>
        <w:gridCol w:w="109"/>
        <w:gridCol w:w="109"/>
        <w:gridCol w:w="109"/>
        <w:gridCol w:w="109"/>
        <w:gridCol w:w="255"/>
        <w:gridCol w:w="744"/>
        <w:gridCol w:w="186"/>
      </w:tblGrid>
      <w:tr>
        <w:trPr/>
        <w:tc>
          <w:tcPr>
            <w:tcW w:w="1054"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29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490.3 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Evaluation units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1,178.7 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898.5 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ind w:left="0" w:right="0" w:firstLine="720"/>
        <w:rPr/>
      </w:pPr>
      <w:r>
        <w:rPr>
          <w:rFonts w:ascii="Times New Roman;sans-serif" w:hAnsi="Times New Roman;sans-serif"/>
          <w:b w:val="false"/>
          <w:color w:val="000000"/>
          <w:sz w:val="20"/>
        </w:rPr>
        <w:t>Depreciation expense was $22.8 million and</w:t>
      </w:r>
      <w:r>
        <w:rPr>
          <w:color w:val="000000"/>
          <w:highlight w:val="white"/>
        </w:rPr>
        <w:t xml:space="preserve"> </w:t>
      </w:r>
      <w:r>
        <w:rPr>
          <w:rFonts w:ascii="Times New Roman;sans-serif" w:hAnsi="Times New Roman;sans-serif"/>
          <w:b w:val="false"/>
          <w:color w:val="000000"/>
          <w:sz w:val="20"/>
        </w:rPr>
        <w:t xml:space="preserve">$19.1 million during the three months ended March 31, 2023 and 2022, respectively.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6.     INVESTMENTS IN PRIVATELY HELD COMPANIES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Linksys Holdings, Inc.</w:t>
      </w:r>
    </w:p>
    <w:p>
      <w:pPr>
        <w:pStyle w:val="TextBody"/>
        <w:spacing w:before="0" w:after="0"/>
        <w:ind w:left="0" w:right="0" w:firstLine="720"/>
        <w:rPr/>
      </w:pPr>
      <w:r>
        <w:rPr/>
      </w:r>
    </w:p>
    <w:p>
      <w:pPr>
        <w:pStyle w:val="TextBody"/>
        <w:spacing w:lineRule="auto" w:line="25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2021, we invested $160 million in cash for shares of the Series A Preferred Stock of privately held Linksys Holdings, Inc. (“Linksys”), representing a 50.8% ownership interest in the outstanding common stock (on an as-converted basis). Linksys provides router connectivity solutions to the consumer and small business markets. </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concluded that our investment in Linksys is an in-substance common stock investment and that we do not hold an absolute controlling financial interest in Linksys, but that we have the ability to exercise significant influence over the operating and financial policies of Linksys. Determining that we have significant influence but not control over the operating and financial policies of Linksys required significant judgement of many factors, including but not limited to the ownership interest in Linksys, board representation, participation in policy-making processes and participation rights in certain significant financial and operating decisions of Linksys in the ordinary course of business. Therefore, we determined to account for this investment using the equity method of accounting. We record our share of Linksys’ financial results on a three-month lag basis. We determined that there was a basis difference between the cost of our investment in Linksys and the amount of underlying equity in net assets of Linksys. Our share of loss of Linksys’ financial results, as well as our share of the amortization of the basis differences, in total was $22.1 million and $8.5 million for the three months ended March 31, 2023 and 2022, respectively, and has been recorded in loss from equity method investment on the condensed consolidated statements of income. As of March 31, 2023 and December 31, 2022, the investment was included in other assets on our condensed consolidated balance sheets. </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fourth quarter of 2022, we recorded a non-cash charge of $22.2 million related to other-than-temporary impairment (“OTTI”) recognized on our equity method investment in Linksys and our proportionate share of Linksys' financial results included a $17.5 million charge in connection with a valuation allowance established on deferred tax assets at Linksys. Due to the presence of impairment indicators, such as a series of operating losses, we evaluated our equity method investment for an OTTI during the three months ended March 31, 2023. We considered various factors in determining whether an OTTI has occurred, including the limited operating history available, our ability and intent to hold the investment until its fair value recovers, the implied revenue valuation multiples compared to guideline public companies, Linksys’ ability to achieve milestones and any notable operational and strategic changes. After the evaluation, we determined that an additional OTTI has not occurred as of March 31, 2023. However, we may be required to recognize an impairment loss in future reporting periods if and when our evaluation of the aforementioned factors indicates that the investment in Linksys is determined to be other than temporarily impaired. Such determination will be based on the prevailing facts and circumstances at that time, including the results and disclosures of Linksys. </w:t>
      </w:r>
    </w:p>
    <w:p>
      <w:pPr>
        <w:pStyle w:val="TextBody"/>
        <w:spacing w:before="0" w:after="0"/>
        <w:ind w:left="0" w:right="0" w:firstLine="720"/>
        <w:rPr/>
      </w:pPr>
      <w:r>
        <w:rPr/>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7dc029bb3b82494a8136cb244d07aa3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FORTINET,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STATEMENTS—(Continued)</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7.     BUSINESS COMBINATIONS</w:t>
      </w:r>
    </w:p>
    <w:p>
      <w:pPr>
        <w:pStyle w:val="TextBody"/>
        <w:spacing w:before="0" w:after="0"/>
        <w:rPr/>
      </w:pPr>
      <w:r>
        <w:rPr/>
      </w:r>
    </w:p>
    <w:p>
      <w:pPr>
        <w:pStyle w:val="TextBody"/>
        <w:spacing w:lineRule="auto" w:line="288" w:before="0" w:after="0"/>
        <w:rPr/>
      </w:pPr>
      <w:r>
        <w:rPr>
          <w:rFonts w:ascii="Times New Roman;sans-serif" w:hAnsi="Times New Roman;sans-serif"/>
          <w:b/>
          <w:i/>
          <w:color w:val="000000"/>
          <w:sz w:val="20"/>
          <w:highlight w:val="white"/>
        </w:rPr>
        <w:t>Alaxala Networks Corporation</w:t>
      </w:r>
      <w:r>
        <w:rPr>
          <w:color w:val="000000"/>
          <w:highlight w:val="white"/>
        </w:rPr>
        <w:t xml:space="preserve"> </w: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val="false"/>
          <w:color w:val="000000"/>
          <w:sz w:val="20"/>
        </w:rPr>
        <w:t>On August 31, 2021, we closed an acquisition of 75% of equity interests as controlling interests</w:t>
      </w:r>
      <w:r>
        <w:rPr>
          <w:color w:val="008080"/>
        </w:rPr>
        <w:t xml:space="preserve"> </w:t>
      </w:r>
      <w:r>
        <w:rPr>
          <w:rFonts w:ascii="Times New Roman;sans-serif" w:hAnsi="Times New Roman;sans-serif"/>
          <w:b w:val="false"/>
          <w:color w:val="000000"/>
          <w:sz w:val="20"/>
        </w:rPr>
        <w:t xml:space="preserve">in Alaxala Networks Corporation (“Alaxala”), a privately held network hardware equipment company in Japan, for $64.2 million in cash. On October 3, 2022, we acquired the remaining 25% of equity interests in Alaxala for $13.5 million in cash, and Alaxala became our wholly owned subsidiary. We acquired the equity interests in Alaxala to broaden our offering of secure switches integrated with our Core Platform and Enhanced Platform Technology functionality, and over time, to innovate and rebrand certain of Alaxala’s switches to offer a broader suite of secure switches globally. </w:t>
      </w:r>
    </w:p>
    <w:p>
      <w:pPr>
        <w:pStyle w:val="TextBody"/>
        <w:spacing w:before="0" w:after="0"/>
        <w:ind w:left="0" w:right="0" w:firstLine="720"/>
        <w:rPr/>
      </w:pPr>
      <w:r>
        <w:rPr/>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8.     GOODWILL AND OTHER INTANGIBLE ASSETS—Net</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spacing w:before="0" w:after="0"/>
        <w:jc w:val="center"/>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the carrying amount of goodwill (in millions):</w:t>
      </w:r>
    </w:p>
    <w:tbl>
      <w:tblPr>
        <w:tblW w:w="4415" w:type="dxa"/>
        <w:jc w:val="left"/>
        <w:tblInd w:w="0" w:type="dxa"/>
        <w:tblCellMar>
          <w:top w:w="28" w:type="dxa"/>
          <w:left w:w="28" w:type="dxa"/>
          <w:bottom w:w="28" w:type="dxa"/>
          <w:right w:w="28" w:type="dxa"/>
        </w:tblCellMar>
      </w:tblPr>
      <w:tblGrid>
        <w:gridCol w:w="1242"/>
        <w:gridCol w:w="1094"/>
        <w:gridCol w:w="1098"/>
        <w:gridCol w:w="211"/>
        <w:gridCol w:w="616"/>
        <w:gridCol w:w="154"/>
      </w:tblGrid>
      <w:tr>
        <w:trPr/>
        <w:tc>
          <w:tcPr>
            <w:tcW w:w="1242"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Balance—December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Balance—March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There were no impairments to goodwill during the three months ended March 31, 2023 or during prior periods.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Other Intangible Assets—Net</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other intangible assets—net (in millions, except years):</w:t>
      </w:r>
    </w:p>
    <w:tbl>
      <w:tblPr>
        <w:tblW w:w="10205" w:type="dxa"/>
        <w:jc w:val="center"/>
        <w:tblInd w:w="0" w:type="dxa"/>
        <w:tblCellMar>
          <w:top w:w="28" w:type="dxa"/>
          <w:left w:w="28" w:type="dxa"/>
          <w:bottom w:w="28" w:type="dxa"/>
          <w:right w:w="28" w:type="dxa"/>
        </w:tblCellMar>
      </w:tblPr>
      <w:tblGrid>
        <w:gridCol w:w="944"/>
        <w:gridCol w:w="794"/>
        <w:gridCol w:w="795"/>
        <w:gridCol w:w="964"/>
        <w:gridCol w:w="964"/>
        <w:gridCol w:w="966"/>
        <w:gridCol w:w="109"/>
        <w:gridCol w:w="109"/>
        <w:gridCol w:w="109"/>
        <w:gridCol w:w="211"/>
        <w:gridCol w:w="616"/>
        <w:gridCol w:w="109"/>
        <w:gridCol w:w="109"/>
        <w:gridCol w:w="109"/>
        <w:gridCol w:w="109"/>
        <w:gridCol w:w="501"/>
        <w:gridCol w:w="1218"/>
        <w:gridCol w:w="261"/>
        <w:gridCol w:w="109"/>
        <w:gridCol w:w="109"/>
        <w:gridCol w:w="109"/>
        <w:gridCol w:w="211"/>
        <w:gridCol w:w="511"/>
        <w:gridCol w:w="159"/>
      </w:tblGrid>
      <w:tr>
        <w:trPr/>
        <w:tc>
          <w:tcPr>
            <w:tcW w:w="94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5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2"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25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Useful Life (in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r>
      <w:tr>
        <w:trPr/>
        <w:tc>
          <w:tcPr>
            <w:tcW w:w="25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assets—net:</w:t>
            </w:r>
          </w:p>
        </w:tc>
        <w:tc>
          <w:tcPr>
            <w:tcW w:w="28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Finite-lived intangible assets:</w:t>
            </w:r>
          </w:p>
        </w:tc>
        <w:tc>
          <w:tcPr>
            <w:tcW w:w="2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technologies</w:t>
            </w:r>
          </w:p>
        </w:tc>
        <w:tc>
          <w:tcPr>
            <w:tcW w:w="289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2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89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289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w:t>
            </w:r>
          </w:p>
        </w:tc>
        <w:tc>
          <w:tcPr>
            <w:tcW w:w="289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intangible assets—net</w:t>
            </w:r>
          </w:p>
        </w:tc>
        <w:tc>
          <w:tcPr>
            <w:tcW w:w="28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944"/>
        <w:gridCol w:w="794"/>
        <w:gridCol w:w="795"/>
        <w:gridCol w:w="964"/>
        <w:gridCol w:w="964"/>
        <w:gridCol w:w="966"/>
        <w:gridCol w:w="109"/>
        <w:gridCol w:w="109"/>
        <w:gridCol w:w="109"/>
        <w:gridCol w:w="211"/>
        <w:gridCol w:w="616"/>
        <w:gridCol w:w="109"/>
        <w:gridCol w:w="109"/>
        <w:gridCol w:w="109"/>
        <w:gridCol w:w="109"/>
        <w:gridCol w:w="501"/>
        <w:gridCol w:w="1218"/>
        <w:gridCol w:w="261"/>
        <w:gridCol w:w="109"/>
        <w:gridCol w:w="109"/>
        <w:gridCol w:w="109"/>
        <w:gridCol w:w="211"/>
        <w:gridCol w:w="511"/>
        <w:gridCol w:w="159"/>
      </w:tblGrid>
      <w:tr>
        <w:trPr/>
        <w:tc>
          <w:tcPr>
            <w:tcW w:w="94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5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2"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5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Useful Life (in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r>
      <w:tr>
        <w:trPr/>
        <w:tc>
          <w:tcPr>
            <w:tcW w:w="25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assets—net:</w:t>
            </w:r>
          </w:p>
        </w:tc>
        <w:tc>
          <w:tcPr>
            <w:tcW w:w="28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Finite-lived intangible assets:</w:t>
            </w:r>
          </w:p>
        </w:tc>
        <w:tc>
          <w:tcPr>
            <w:tcW w:w="2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technologies</w:t>
            </w:r>
          </w:p>
        </w:tc>
        <w:tc>
          <w:tcPr>
            <w:tcW w:w="289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2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89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289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w:t>
            </w:r>
          </w:p>
        </w:tc>
        <w:tc>
          <w:tcPr>
            <w:tcW w:w="289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intangible assets—net</w:t>
            </w:r>
          </w:p>
        </w:tc>
        <w:tc>
          <w:tcPr>
            <w:tcW w:w="28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was $4.7 million and $6.4 million during the three months ended March 31, 2023 and 2022, respectively.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7dc029bb3b82494a8136cb244d07aa3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FORTINET,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STATEMENTS—(Continued)</w:t>
      </w:r>
    </w:p>
    <w:p>
      <w:pPr>
        <w:pStyle w:val="TextBody"/>
        <w:spacing w:before="0" w:after="0"/>
        <w:rPr/>
      </w:pPr>
      <w:r>
        <w:rPr/>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estimated future amortization expense of finite-lived intangible assets—net (in millions):</w:t>
      </w:r>
    </w:p>
    <w:tbl>
      <w:tblPr>
        <w:tblW w:w="3366" w:type="dxa"/>
        <w:jc w:val="center"/>
        <w:tblInd w:w="0" w:type="dxa"/>
        <w:tblCellMar>
          <w:top w:w="28" w:type="dxa"/>
          <w:left w:w="28" w:type="dxa"/>
          <w:bottom w:w="28" w:type="dxa"/>
          <w:right w:w="28" w:type="dxa"/>
        </w:tblCellMar>
      </w:tblPr>
      <w:tblGrid>
        <w:gridCol w:w="901"/>
        <w:gridCol w:w="789"/>
        <w:gridCol w:w="800"/>
        <w:gridCol w:w="211"/>
        <w:gridCol w:w="511"/>
        <w:gridCol w:w="154"/>
      </w:tblGrid>
      <w:tr>
        <w:trPr/>
        <w:tc>
          <w:tcPr>
            <w:tcW w:w="901"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w:t>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(the remainder of 2023)</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9.     NET INCOME PER SHARE</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Basic net income per share is computed by dividing net income attributable to Fortinet, Inc., by the weighted-average number of shares of common stock outstanding during the period. Diluted net income per share is computed by dividing net income attributable to Fortinet, Inc. by the weighted-average number of shares of common stock outstanding during the period, plus the dilutive effects of restricted stock units (“RSUs”), stock options and performance stock units (“PSUs”). Dilutive shares of common stock are determined by applying the treasury stock method.</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reconciliation of the numerator and denominator used in the calculation of basic and diluted net income per share attributable to Fortinet, Inc. is (in millions, except per share amounts):</w:t>
      </w:r>
    </w:p>
    <w:tbl>
      <w:tblPr>
        <w:tblW w:w="10205" w:type="dxa"/>
        <w:jc w:val="center"/>
        <w:tblInd w:w="0" w:type="dxa"/>
        <w:tblCellMar>
          <w:top w:w="28" w:type="dxa"/>
          <w:left w:w="28" w:type="dxa"/>
          <w:bottom w:w="28" w:type="dxa"/>
          <w:right w:w="28" w:type="dxa"/>
        </w:tblCellMar>
      </w:tblPr>
      <w:tblGrid>
        <w:gridCol w:w="2732"/>
        <w:gridCol w:w="2383"/>
        <w:gridCol w:w="2409"/>
        <w:gridCol w:w="211"/>
        <w:gridCol w:w="616"/>
        <w:gridCol w:w="109"/>
        <w:gridCol w:w="109"/>
        <w:gridCol w:w="109"/>
        <w:gridCol w:w="109"/>
        <w:gridCol w:w="211"/>
        <w:gridCol w:w="616"/>
        <w:gridCol w:w="109"/>
        <w:gridCol w:w="109"/>
        <w:gridCol w:w="109"/>
        <w:gridCol w:w="109"/>
        <w:gridCol w:w="155"/>
      </w:tblGrid>
      <w:tr>
        <w:trPr/>
        <w:tc>
          <w:tcPr>
            <w:tcW w:w="2732" w:type="dxa"/>
            <w:tcBorders/>
            <w:shd w:fill="auto" w:val="clear"/>
            <w:vAlign w:val="center"/>
          </w:tcPr>
          <w:p>
            <w:pPr>
              <w:pStyle w:val="TableContents"/>
              <w:spacing w:before="0" w:after="283"/>
              <w:rPr>
                <w:sz w:val="4"/>
                <w:szCs w:val="4"/>
              </w:rPr>
            </w:pPr>
            <w:r>
              <w:rPr>
                <w:sz w:val="4"/>
                <w:szCs w:val="4"/>
              </w:rPr>
            </w:r>
          </w:p>
        </w:tc>
        <w:tc>
          <w:tcPr>
            <w:tcW w:w="2383" w:type="dxa"/>
            <w:tcBorders/>
            <w:shd w:fill="auto" w:val="clear"/>
            <w:vAlign w:val="center"/>
          </w:tcPr>
          <w:p>
            <w:pPr>
              <w:pStyle w:val="TableContents"/>
              <w:spacing w:before="0" w:after="283"/>
              <w:rPr>
                <w:sz w:val="4"/>
                <w:szCs w:val="4"/>
              </w:rPr>
            </w:pPr>
            <w:r>
              <w:rPr>
                <w:sz w:val="4"/>
                <w:szCs w:val="4"/>
              </w:rPr>
            </w:r>
          </w:p>
        </w:tc>
        <w:tc>
          <w:tcPr>
            <w:tcW w:w="24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5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gridSpan w:val="2"/>
            <w:tcBorders/>
            <w:shd w:fill="auto" w:val="clear"/>
          </w:tcPr>
          <w:p>
            <w:pPr>
              <w:pStyle w:val="TableContents"/>
              <w:spacing w:before="0" w:after="283"/>
              <w:rPr>
                <w:sz w:val="4"/>
                <w:szCs w:val="4"/>
              </w:rPr>
            </w:pPr>
            <w:r>
              <w:rPr>
                <w:sz w:val="4"/>
                <w:szCs w:val="4"/>
              </w:rPr>
            </w:r>
          </w:p>
        </w:tc>
      </w:tr>
      <w:tr>
        <w:trPr/>
        <w:tc>
          <w:tcPr>
            <w:tcW w:w="75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including non-controlling interests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Fortinet,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shares:</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stock outstanding-basic</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shares: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stock outstanding-basic</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potentially dilutive securities:</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RSUs </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diluted net income per share attributable to Fortinet, Inc.</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attributable to Fortinet, Inc.:</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7dc029bb3b82494a8136cb244d07aa3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FORTINET,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STATEMENTS—(Continued)</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weighted-average shares of common stock were excluded from the computation of diluted net income per share attributable to Fortinet, Inc. for the periods presented, as their effect would have been antidilutive (in millions):</w:t>
      </w:r>
    </w:p>
    <w:tbl>
      <w:tblPr>
        <w:tblW w:w="4079" w:type="dxa"/>
        <w:jc w:val="center"/>
        <w:tblInd w:w="0" w:type="dxa"/>
        <w:tblCellMar>
          <w:top w:w="28" w:type="dxa"/>
          <w:left w:w="28" w:type="dxa"/>
          <w:bottom w:w="28" w:type="dxa"/>
          <w:right w:w="28" w:type="dxa"/>
        </w:tblCellMar>
      </w:tblPr>
      <w:tblGrid>
        <w:gridCol w:w="450"/>
        <w:gridCol w:w="394"/>
        <w:gridCol w:w="401"/>
        <w:gridCol w:w="294"/>
        <w:gridCol w:w="294"/>
        <w:gridCol w:w="296"/>
        <w:gridCol w:w="195"/>
        <w:gridCol w:w="195"/>
        <w:gridCol w:w="195"/>
        <w:gridCol w:w="294"/>
        <w:gridCol w:w="294"/>
        <w:gridCol w:w="296"/>
        <w:gridCol w:w="109"/>
        <w:gridCol w:w="109"/>
        <w:gridCol w:w="109"/>
        <w:gridCol w:w="154"/>
      </w:tblGrid>
      <w:tr>
        <w:trPr/>
        <w:tc>
          <w:tcPr>
            <w:tcW w:w="450"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5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5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RSUs </w:t>
            </w:r>
          </w:p>
        </w:tc>
        <w:tc>
          <w:tcPr>
            <w:tcW w:w="5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5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5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10.     DEBT</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2026 and 2031 Senior Notes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March 5, 2021, we issued $1.0 billion aggregate principal amount of senior notes (collectively, the “Senior Notes”), consisting of $500.0 million aggregate principal amount of 1.0% notes due March 15, 2026 (the “2026 Senior Notes”) and $500.0 million aggregate principal amount of 2.2% notes due March 15, 2031 (the “2031 Senior Notes”), in an underwritten registered public offering. The Senior Notes are senior unsecured obligations and rank equally with each other in right of payment and with our other outstanding obligations. We may redeem the Senior Notes at any time in whole or in part for cash, at specified redemption prices that include accrued and unpaid interest, if any, and a make-whole premium. However, no make-whole premium will be paid for redemptions of the 2026 Senior Notes on or after February 15, 2026, or the 2031 Senior Notes on or after December 15, 2030. Interest on the Senior Notes is payable on March 15 and September 15 of each year, beginning on September 15, 2021. As of March 31, 2023 and December 31, 2022, the Senior Notes were recorded as long-term debt, net of discount and issuance costs, which are amortized to interest expense over the respective contractual terms of these notes using the effective interest method.</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total outstanding debt is summarized below (in millions, except percentages):</w:t>
      </w:r>
    </w:p>
    <w:tbl>
      <w:tblPr>
        <w:tblW w:w="10205" w:type="dxa"/>
        <w:jc w:val="left"/>
        <w:tblInd w:w="0" w:type="dxa"/>
        <w:tblCellMar>
          <w:top w:w="28" w:type="dxa"/>
          <w:left w:w="28" w:type="dxa"/>
          <w:bottom w:w="28" w:type="dxa"/>
          <w:right w:w="28" w:type="dxa"/>
        </w:tblCellMar>
      </w:tblPr>
      <w:tblGrid>
        <w:gridCol w:w="1255"/>
        <w:gridCol w:w="1016"/>
        <w:gridCol w:w="1042"/>
        <w:gridCol w:w="334"/>
        <w:gridCol w:w="334"/>
        <w:gridCol w:w="336"/>
        <w:gridCol w:w="109"/>
        <w:gridCol w:w="109"/>
        <w:gridCol w:w="109"/>
        <w:gridCol w:w="338"/>
        <w:gridCol w:w="338"/>
        <w:gridCol w:w="340"/>
        <w:gridCol w:w="109"/>
        <w:gridCol w:w="109"/>
        <w:gridCol w:w="109"/>
        <w:gridCol w:w="499"/>
        <w:gridCol w:w="499"/>
        <w:gridCol w:w="501"/>
        <w:gridCol w:w="109"/>
        <w:gridCol w:w="109"/>
        <w:gridCol w:w="109"/>
        <w:gridCol w:w="211"/>
        <w:gridCol w:w="616"/>
        <w:gridCol w:w="109"/>
        <w:gridCol w:w="109"/>
        <w:gridCol w:w="109"/>
        <w:gridCol w:w="109"/>
        <w:gridCol w:w="241"/>
        <w:gridCol w:w="705"/>
        <w:gridCol w:w="183"/>
      </w:tblGrid>
      <w:tr>
        <w:trPr/>
        <w:tc>
          <w:tcPr>
            <w:tcW w:w="1255"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r>
      <w:tr>
        <w:trPr/>
        <w:tc>
          <w:tcPr>
            <w:tcW w:w="33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Coupon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Effective Interest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33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Debt</w:t>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Senior Notes</w:t>
            </w:r>
          </w:p>
        </w:tc>
        <w:tc>
          <w:tcPr>
            <w:tcW w:w="10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2031 Senior Notes</w:t>
            </w:r>
          </w:p>
        </w:tc>
        <w:tc>
          <w:tcPr>
            <w:tcW w:w="10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debt</w:t>
            </w:r>
          </w:p>
        </w:tc>
        <w:tc>
          <w:tcPr>
            <w:tcW w:w="10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discount and debt issuance costs</w:t>
            </w:r>
          </w:p>
        </w:tc>
        <w:tc>
          <w:tcPr>
            <w:tcW w:w="10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long-term debt</w:t>
            </w:r>
          </w:p>
        </w:tc>
        <w:tc>
          <w:tcPr>
            <w:tcW w:w="10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990.4 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we accrued interest payable of $0.7 million and $4.7 million, respectively, and there are no financial covenants with which we must comply. During the three months ended March 31, 2023 and 2022, we recorded $4.5 million of total interest expense in relation to these Senior Notes and repaid $8.0 million of interest in cash in each quarter. No interest costs were capitalized for the three months ended March 31, 2023 and 2022, as the costs that qualified for capitalization were not material.</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total estimated fair value of the outstanding Senior Notes was approximately $867.7 million, including accrued and unpaid interest, as of March 31, 2023. The fair value was determined based on observable market prices of identical instruments in less active markets. The estimated fair values are based on Level 2 inputs.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11.     COMMITMENTS AND CONTINGENCIES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inventory purchase commitments as of March 31, 2023 (in millions):</w:t>
      </w:r>
    </w:p>
    <w:tbl>
      <w:tblPr>
        <w:tblW w:w="6606" w:type="dxa"/>
        <w:jc w:val="left"/>
        <w:tblInd w:w="0" w:type="dxa"/>
        <w:tblCellMar>
          <w:top w:w="28" w:type="dxa"/>
          <w:left w:w="28" w:type="dxa"/>
          <w:bottom w:w="28" w:type="dxa"/>
          <w:right w:w="28" w:type="dxa"/>
        </w:tblCellMar>
      </w:tblPr>
      <w:tblGrid>
        <w:gridCol w:w="1020"/>
        <w:gridCol w:w="897"/>
        <w:gridCol w:w="902"/>
        <w:gridCol w:w="211"/>
        <w:gridCol w:w="766"/>
        <w:gridCol w:w="109"/>
        <w:gridCol w:w="109"/>
        <w:gridCol w:w="109"/>
        <w:gridCol w:w="109"/>
        <w:gridCol w:w="211"/>
        <w:gridCol w:w="766"/>
        <w:gridCol w:w="109"/>
        <w:gridCol w:w="109"/>
        <w:gridCol w:w="109"/>
        <w:gridCol w:w="109"/>
        <w:gridCol w:w="231"/>
        <w:gridCol w:w="560"/>
        <w:gridCol w:w="170"/>
      </w:tblGrid>
      <w:tr>
        <w:trPr/>
        <w:tc>
          <w:tcPr>
            <w:tcW w:w="1020"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Thereafter</w:t>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purchase commitments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7dc029bb3b82494a8136cb244d07aa3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FORTINET,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STATEMENTS—(Continued)</w:t>
      </w:r>
    </w:p>
    <w:p>
      <w:pPr>
        <w:pStyle w:val="TextBody"/>
        <w:spacing w:before="0" w:after="0"/>
        <w:rPr/>
      </w:pPr>
      <w:r>
        <w:rPr/>
      </w:r>
    </w:p>
    <w:p>
      <w:pPr>
        <w:pStyle w:val="TextBody"/>
        <w:spacing w:lineRule="auto" w:line="276" w:before="0" w:after="0"/>
        <w:ind w:left="0" w:right="0" w:firstLine="720"/>
        <w:rPr/>
      </w:pPr>
      <w:r>
        <w:rPr>
          <w:rFonts w:ascii="Times New Roman;sans-serif" w:hAnsi="Times New Roman;sans-serif"/>
          <w:b/>
          <w:color w:val="000000"/>
          <w:sz w:val="20"/>
        </w:rPr>
        <w:t>Inventory Purchase Commitments</w:t>
      </w:r>
      <w:r>
        <w:rPr>
          <w:color w:val="000000"/>
        </w:rPr>
        <w:t>—</w:t>
      </w:r>
      <w:r>
        <w:rPr>
          <w:rFonts w:ascii="Times New Roman;sans-serif" w:hAnsi="Times New Roman;sans-serif"/>
          <w:b w:val="false"/>
          <w:color w:val="000000"/>
          <w:sz w:val="20"/>
        </w:rPr>
        <w:t xml:space="preserve">Our independent contract manufacturers and certain component suppliers procure components and build our products based on our forecasts, the availability of various components and their capacity. These forecasts are based on estimates of future demand for our products, which are in turn based on historical trends and an analysis from our sales and marketing organizations, adjusted for extended lead times, changes in supplier delivery commitments and other supply chain matters and market conditions. In order to manage manufacturing lead times, plan for adequate component supply and incentivize suppliers to deliver, we may issue purchase orders to some of our independent contract manufacturers, which are non-cancelable. As of March 31, 2023, we had $1.20 billion of open purchase orders with our independent contract manufacturers that consist of non-cancelable commitments. In certain instances, these agreements allow us the option to reschedule and adjust our requirements based on our business needs prior to firm orders being placed. </w:t>
      </w:r>
    </w:p>
    <w:p>
      <w:pPr>
        <w:pStyle w:val="TextBody"/>
        <w:spacing w:before="0" w:after="0"/>
        <w:ind w:left="0" w:right="0" w:firstLine="720"/>
        <w:rPr/>
      </w:pPr>
      <w:r>
        <w:rPr/>
      </w:r>
    </w:p>
    <w:p>
      <w:pPr>
        <w:pStyle w:val="TextBody"/>
        <w:spacing w:lineRule="auto" w:line="288" w:before="0" w:after="0"/>
        <w:ind w:left="0" w:right="0" w:firstLine="720"/>
        <w:rPr/>
      </w:pPr>
      <w:r>
        <w:rPr>
          <w:rFonts w:ascii="Times New Roman;sans-serif" w:hAnsi="Times New Roman;sans-serif"/>
          <w:b/>
          <w:color w:val="000000"/>
          <w:sz w:val="20"/>
        </w:rPr>
        <w:t>Other Contractual Commitments and Open Purchase Orders</w:t>
      </w:r>
      <w:r>
        <w:rPr>
          <w:color w:val="000000"/>
        </w:rPr>
        <w:t>—</w:t>
      </w:r>
      <w:r>
        <w:rPr>
          <w:rFonts w:ascii="Times New Roman;sans-serif" w:hAnsi="Times New Roman;sans-serif"/>
          <w:b w:val="false"/>
          <w:color w:val="000000"/>
          <w:sz w:val="20"/>
        </w:rPr>
        <w:t>In addition to commitments with contract manufacturers, we have open purchase orders and contractual obligations in the ordinary course of business for which we have not received goods or services. A significant portion of our reported purchase commitments consist of non-cancelable commitments. In certain instances, contractual commitments allow us the option to cancel, reschedule and adjust our requirements based on our business needs prior to firm orders being placed. As of March 31, 2023, we had $100.1 million in other contractual commitments having a remaining term in excess of one year that are non-cancelable and an additional $100.7 million, in contractual commitments for operating lease liabilities.</w:t>
      </w:r>
    </w:p>
    <w:p>
      <w:pPr>
        <w:pStyle w:val="TextBody"/>
        <w:spacing w:before="0" w:after="0"/>
        <w:ind w:left="0" w:right="0" w:firstLine="540"/>
        <w:rPr/>
      </w:pPr>
      <w:r>
        <w:rPr/>
      </w:r>
    </w:p>
    <w:p>
      <w:pPr>
        <w:pStyle w:val="TextBody"/>
        <w:spacing w:lineRule="auto" w:line="268" w:before="0" w:after="0"/>
        <w:ind w:left="0" w:right="0" w:firstLine="720"/>
        <w:rPr/>
      </w:pPr>
      <w:r>
        <w:rPr>
          <w:rFonts w:ascii="Times New Roman;sans-serif" w:hAnsi="Times New Roman;sans-serif"/>
          <w:b/>
          <w:color w:val="000000"/>
          <w:sz w:val="20"/>
        </w:rPr>
        <w:t>Litigation</w:t>
      </w:r>
      <w:r>
        <w:rPr>
          <w:color w:val="000000"/>
        </w:rPr>
        <w:t>—</w:t>
      </w:r>
      <w:r>
        <w:rPr>
          <w:rFonts w:ascii="Times New Roman;sans-serif" w:hAnsi="Times New Roman;sans-serif"/>
          <w:b w:val="false"/>
          <w:color w:val="000000"/>
          <w:sz w:val="20"/>
        </w:rPr>
        <w:t>We are involved in disputes, litigation, and other legal actions. For lawsuits where we are the defendant, we are in the process of defending these litigation matters, and while there can be no assurances and the outcome of certain of these matters is currently not determinable and not predictable, we currently are unaware of any existing claims or proceedings that we believe are likely to have a material adverse effect on our financial position. There are many uncertainties associated with any litigation and these actions or other third-party claims against us may cause us to incur costly litigation fees, costs and substantial settlement charges, and possibly subject us to damages and other penalties. In addition, the resolution of any intellectual property (“IP”) litigation may require us to make royalty payments, which could adversely affect our gross margins in future periods. If any of those events were to occur, our business, financial condition, results of operations, and cash flows could be adversely affected. Litigation is unpredictable and the actual liability in any such matters may be materially different from our current estimates, which could result in the need to adjust any accrued liability and record additional expenses. We accrue for contingencies when we believe that a loss is probable and that we can reasonably estimate the amount of any such loss. These accruals are generally based on a range of possible outcomes that require significant management judgement. If no amount within a range is a better estimate than any other, we accrue the minimum amount.</w:t>
      </w:r>
    </w:p>
    <w:p>
      <w:pPr>
        <w:pStyle w:val="TextBody"/>
        <w:spacing w:before="0" w:after="0"/>
        <w:ind w:left="0" w:right="0" w:firstLine="72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Litigation loss contingency accruals associated with outstanding cases were not material as of March 31, 2023 and December 31, 2022.</w:t>
      </w:r>
    </w:p>
    <w:p>
      <w:pPr>
        <w:pStyle w:val="TextBody"/>
        <w:spacing w:before="0" w:after="0"/>
        <w:ind w:left="0" w:right="0" w:firstLine="720"/>
        <w:rPr/>
      </w:pPr>
      <w:r>
        <w:rPr/>
      </w:r>
    </w:p>
    <w:p>
      <w:pPr>
        <w:pStyle w:val="TextBody"/>
        <w:spacing w:lineRule="auto" w:line="288" w:before="0" w:after="0"/>
        <w:ind w:left="0" w:right="0" w:firstLine="720"/>
        <w:rPr/>
      </w:pPr>
      <w:r>
        <w:rPr>
          <w:rFonts w:ascii="Times New Roman;sans-serif" w:hAnsi="Times New Roman;sans-serif"/>
          <w:b/>
          <w:color w:val="000000"/>
          <w:sz w:val="20"/>
        </w:rPr>
        <w:t>Indemnification and Other Matters</w:t>
      </w:r>
      <w:r>
        <w:rPr>
          <w:color w:val="000000"/>
        </w:rPr>
        <w:t>—</w:t>
      </w:r>
      <w:r>
        <w:rPr>
          <w:rFonts w:ascii="Times New Roman;sans-serif" w:hAnsi="Times New Roman;sans-serif"/>
          <w:b w:val="false"/>
          <w:color w:val="000000"/>
          <w:sz w:val="20"/>
        </w:rPr>
        <w:t>Under the indemnification provisions of our standard sales contracts, we agree to defend our customers against third-party claims asserting various allegations such as product defects and infringement of certain IP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IP infringement that could potentially expose us to losses in excess of the amount received under the agreement, and in some instances to potential liability that is not contractually limited. Although from time to time there are indemnification claims asserted against us and currently there are pending indemnification claims, to date there have been no material awards under such indemnification provisions.</w:t>
      </w:r>
    </w:p>
    <w:p>
      <w:pPr>
        <w:pStyle w:val="TextBody"/>
        <w:spacing w:before="0" w:after="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Similar to other security companies and companies in other industries, we have experienced and may experience in the future, cybersecurity threats, malicious activity directed against our information technology infrastructure or unauthorized attempts to gain access to our and our customers’ sensitive information and systems. We currently are unaware of any existing claims or proceedings related to these types of matters, including any that we believe are likely to have a material adverse effect on our financial position.</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7dc029bb3b82494a8136cb244d07aa3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FORTINET,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STATEMENTS—(Continued)</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12.     EQUITY PLANS AND SHARE REPURCHASE PROGRAM</w:t>
      </w:r>
    </w:p>
    <w:p>
      <w:pPr>
        <w:pStyle w:val="TextBody"/>
        <w:spacing w:before="0" w:after="0"/>
        <w:rPr/>
      </w:pPr>
      <w:r>
        <w:rPr/>
      </w:r>
    </w:p>
    <w:p>
      <w:pPr>
        <w:pStyle w:val="TextBody"/>
        <w:spacing w:lineRule="auto" w:line="288" w:before="0" w:after="0"/>
        <w:ind w:left="0" w:right="0" w:firstLine="720"/>
        <w:rPr>
          <w:rFonts w:ascii="Times New Roman;sans-serif" w:hAnsi="Times New Roman;sans-serif"/>
          <w:b/>
          <w:i/>
          <w:color w:val="000000"/>
          <w:sz w:val="20"/>
        </w:rPr>
      </w:pPr>
      <w:r>
        <w:rPr>
          <w:rFonts w:ascii="Times New Roman;sans-serif" w:hAnsi="Times New Roman;sans-serif"/>
          <w:b/>
          <w:i/>
          <w:color w:val="000000"/>
          <w:sz w:val="20"/>
        </w:rPr>
        <w:t>Stock-Based Compensation Plans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the Amended and Restated Fortinet, Inc. 2009 Equity Incentive Plan (the “Amended Plan”) pursuant to which we have granted RSUs, stock options and PSUs. As of March 31, 2023, there were a total of 53.1 million shares of common stock available for grant under the Amended Plan. </w:t>
      </w:r>
    </w:p>
    <w:p>
      <w:pPr>
        <w:pStyle w:val="TextBody"/>
        <w:spacing w:before="0" w:after="0"/>
        <w:ind w:left="0" w:right="0" w:firstLine="540"/>
        <w:rPr/>
      </w:pPr>
      <w:r>
        <w:rPr/>
      </w:r>
    </w:p>
    <w:p>
      <w:pPr>
        <w:pStyle w:val="TextBody"/>
        <w:spacing w:lineRule="auto" w:line="288" w:before="0" w:after="0"/>
        <w:ind w:left="0" w:right="0" w:firstLine="720"/>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and related information for RSUs for the periods presented below (in millions, except per share amounts):</w:t>
      </w:r>
    </w:p>
    <w:tbl>
      <w:tblPr>
        <w:tblW w:w="8826" w:type="dxa"/>
        <w:jc w:val="center"/>
        <w:tblInd w:w="0" w:type="dxa"/>
        <w:tblCellMar>
          <w:top w:w="28" w:type="dxa"/>
          <w:left w:w="28" w:type="dxa"/>
          <w:bottom w:w="28" w:type="dxa"/>
          <w:right w:w="28" w:type="dxa"/>
        </w:tblCellMar>
      </w:tblPr>
      <w:tblGrid>
        <w:gridCol w:w="922"/>
        <w:gridCol w:w="812"/>
        <w:gridCol w:w="815"/>
        <w:gridCol w:w="504"/>
        <w:gridCol w:w="504"/>
        <w:gridCol w:w="506"/>
        <w:gridCol w:w="193"/>
        <w:gridCol w:w="193"/>
        <w:gridCol w:w="193"/>
        <w:gridCol w:w="899"/>
        <w:gridCol w:w="2630"/>
        <w:gridCol w:w="655"/>
      </w:tblGrid>
      <w:tr>
        <w:trPr/>
        <w:tc>
          <w:tcPr>
            <w:tcW w:w="922"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2630"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27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Restricted Stock Units Outstanding</w:t>
            </w:r>
          </w:p>
        </w:tc>
      </w:tr>
      <w:tr>
        <w:trPr/>
        <w:tc>
          <w:tcPr>
            <w:tcW w:w="25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w:t>
            </w:r>
          </w:p>
        </w:tc>
        <w:tc>
          <w:tcPr>
            <w:tcW w:w="5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1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Weighted-Average Grant Date Fair Value per Share </w:t>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Balance—December 31, 2022</w:t>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40.94 </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5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60.16 </w:t>
            </w:r>
          </w:p>
        </w:tc>
        <w:tc>
          <w:tcPr>
            <w:tcW w:w="6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5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42.41 </w:t>
            </w:r>
          </w:p>
        </w:tc>
        <w:tc>
          <w:tcPr>
            <w:tcW w:w="6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5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34.86 </w:t>
            </w:r>
          </w:p>
        </w:tc>
        <w:tc>
          <w:tcPr>
            <w:tcW w:w="6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Balance—March 31, 2023</w:t>
            </w:r>
          </w:p>
        </w:tc>
        <w:tc>
          <w:tcPr>
            <w:tcW w:w="10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47.59 </w:t>
            </w:r>
          </w:p>
        </w:tc>
        <w:tc>
          <w:tcPr>
            <w:tcW w:w="6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Stock compensation expense is recognized on a straight-line basis over the vesting period of each RSU. As of March 31, 2023, total compensation expense related to unvested RSUs granted to employees and non-employees under the Amended Plan, but not yet recognized, was $535.8 million, with a weighted-average remaining vesting period of 3.0 years.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RSUs settle into shares of common stock upon vesting. Upon the vesting of the RSUs, we net-settle the RSUs and withhold a portion of the shares to satisfy employee withholding tax requirements. The payment of the withheld taxes to the tax authorities is reflected as a financing activity within the condensed consolidated statements of cash flows.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number and value of the shares withheld for employee taxes (in millions):</w:t>
      </w:r>
    </w:p>
    <w:tbl>
      <w:tblPr>
        <w:tblW w:w="4855" w:type="dxa"/>
        <w:jc w:val="center"/>
        <w:tblInd w:w="0" w:type="dxa"/>
        <w:tblCellMar>
          <w:top w:w="28" w:type="dxa"/>
          <w:left w:w="28" w:type="dxa"/>
          <w:bottom w:w="28" w:type="dxa"/>
          <w:right w:w="28" w:type="dxa"/>
        </w:tblCellMar>
      </w:tblPr>
      <w:tblGrid>
        <w:gridCol w:w="824"/>
        <w:gridCol w:w="726"/>
        <w:gridCol w:w="729"/>
        <w:gridCol w:w="224"/>
        <w:gridCol w:w="544"/>
        <w:gridCol w:w="116"/>
        <w:gridCol w:w="109"/>
        <w:gridCol w:w="109"/>
        <w:gridCol w:w="109"/>
        <w:gridCol w:w="224"/>
        <w:gridCol w:w="544"/>
        <w:gridCol w:w="116"/>
        <w:gridCol w:w="109"/>
        <w:gridCol w:w="109"/>
        <w:gridCol w:w="109"/>
        <w:gridCol w:w="154"/>
      </w:tblGrid>
      <w:tr>
        <w:trPr/>
        <w:tc>
          <w:tcPr>
            <w:tcW w:w="824"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withheld for taxes</w:t>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withheld for taxes</w:t>
            </w:r>
          </w:p>
        </w:tc>
        <w:tc>
          <w:tcPr>
            <w:tcW w:w="2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i/>
          <w:color w:val="000000"/>
          <w:sz w:val="20"/>
        </w:rPr>
      </w:pPr>
      <w:r>
        <w:rPr>
          <w:rFonts w:ascii="Times New Roman;sans-serif" w:hAnsi="Times New Roman;sans-serif"/>
          <w:b/>
          <w:i/>
          <w:color w:val="000000"/>
          <w:sz w:val="20"/>
        </w:rPr>
        <w:t>Employee Stock Options</w:t>
      </w:r>
    </w:p>
    <w:p>
      <w:pPr>
        <w:pStyle w:val="TextBody"/>
        <w:spacing w:before="0" w:after="0"/>
        <w:ind w:left="0" w:right="0" w:firstLine="720"/>
        <w:rPr/>
      </w:pPr>
      <w:r>
        <w:rPr/>
      </w:r>
    </w:p>
    <w:p>
      <w:pPr>
        <w:pStyle w:val="TextBody"/>
        <w:spacing w:lineRule="auto" w:line="288" w:before="0" w:after="0"/>
        <w:ind w:left="0" w:right="0" w:firstLine="720"/>
        <w:rPr/>
      </w:pPr>
      <w:r>
        <w:rPr>
          <w:rFonts w:ascii="Times New Roman;sans-serif" w:hAnsi="Times New Roman;sans-serif"/>
          <w:b w:val="false"/>
          <w:color w:val="000000"/>
          <w:sz w:val="20"/>
        </w:rPr>
        <w:t>The following table summarizes the weighted-average assumptions relating to our employee stock options:</w:t>
      </w:r>
      <w:r>
        <w:rPr>
          <w:color w:val="000000"/>
        </w:rPr>
        <w:t> </w:t>
      </w:r>
    </w:p>
    <w:tbl>
      <w:tblPr>
        <w:tblW w:w="4887" w:type="dxa"/>
        <w:jc w:val="center"/>
        <w:tblInd w:w="0" w:type="dxa"/>
        <w:tblCellMar>
          <w:top w:w="28" w:type="dxa"/>
          <w:left w:w="28" w:type="dxa"/>
          <w:bottom w:w="28" w:type="dxa"/>
          <w:right w:w="28" w:type="dxa"/>
        </w:tblCellMar>
      </w:tblPr>
      <w:tblGrid>
        <w:gridCol w:w="712"/>
        <w:gridCol w:w="625"/>
        <w:gridCol w:w="627"/>
        <w:gridCol w:w="255"/>
        <w:gridCol w:w="256"/>
        <w:gridCol w:w="491"/>
        <w:gridCol w:w="146"/>
        <w:gridCol w:w="146"/>
        <w:gridCol w:w="146"/>
        <w:gridCol w:w="255"/>
        <w:gridCol w:w="256"/>
        <w:gridCol w:w="491"/>
        <w:gridCol w:w="109"/>
        <w:gridCol w:w="109"/>
        <w:gridCol w:w="109"/>
        <w:gridCol w:w="154"/>
      </w:tblGrid>
      <w:tr>
        <w:trPr/>
        <w:tc>
          <w:tcPr>
            <w:tcW w:w="712"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4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4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00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4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4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4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rate</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7dc029bb3b82494a8136cb244d07aa3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FORTINET,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STATEMENTS—(Continued)</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stock option activity and related information for the periods presented below (in millions, except exercise prices and contractual life):</w:t>
      </w:r>
    </w:p>
    <w:tbl>
      <w:tblPr>
        <w:tblW w:w="9289" w:type="dxa"/>
        <w:jc w:val="center"/>
        <w:tblInd w:w="0" w:type="dxa"/>
        <w:tblCellMar>
          <w:top w:w="28" w:type="dxa"/>
          <w:left w:w="28" w:type="dxa"/>
          <w:bottom w:w="28" w:type="dxa"/>
          <w:right w:w="28" w:type="dxa"/>
        </w:tblCellMar>
      </w:tblPr>
      <w:tblGrid>
        <w:gridCol w:w="1638"/>
        <w:gridCol w:w="1443"/>
        <w:gridCol w:w="1448"/>
        <w:gridCol w:w="275"/>
        <w:gridCol w:w="275"/>
        <w:gridCol w:w="276"/>
        <w:gridCol w:w="109"/>
        <w:gridCol w:w="109"/>
        <w:gridCol w:w="109"/>
        <w:gridCol w:w="211"/>
        <w:gridCol w:w="616"/>
        <w:gridCol w:w="109"/>
        <w:gridCol w:w="109"/>
        <w:gridCol w:w="109"/>
        <w:gridCol w:w="109"/>
        <w:gridCol w:w="345"/>
        <w:gridCol w:w="345"/>
        <w:gridCol w:w="346"/>
        <w:gridCol w:w="109"/>
        <w:gridCol w:w="109"/>
        <w:gridCol w:w="109"/>
        <w:gridCol w:w="211"/>
        <w:gridCol w:w="616"/>
        <w:gridCol w:w="154"/>
      </w:tblGrid>
      <w:tr>
        <w:trPr/>
        <w:tc>
          <w:tcPr>
            <w:tcW w:w="1638" w:type="dxa"/>
            <w:tcBorders/>
            <w:shd w:fill="auto" w:val="clear"/>
            <w:vAlign w:val="center"/>
          </w:tcPr>
          <w:p>
            <w:pPr>
              <w:pStyle w:val="TableContents"/>
              <w:spacing w:before="0" w:after="283"/>
              <w:rPr>
                <w:sz w:val="4"/>
                <w:szCs w:val="4"/>
              </w:rPr>
            </w:pPr>
            <w:r>
              <w:rPr>
                <w:sz w:val="4"/>
                <w:szCs w:val="4"/>
              </w:rPr>
            </w:r>
          </w:p>
        </w:tc>
        <w:tc>
          <w:tcPr>
            <w:tcW w:w="1443" w:type="dxa"/>
            <w:tcBorders/>
            <w:shd w:fill="auto" w:val="clear"/>
            <w:vAlign w:val="center"/>
          </w:tcPr>
          <w:p>
            <w:pPr>
              <w:pStyle w:val="TableContents"/>
              <w:spacing w:before="0" w:after="283"/>
              <w:rPr>
                <w:sz w:val="4"/>
                <w:szCs w:val="4"/>
              </w:rPr>
            </w:pPr>
            <w:r>
              <w:rPr>
                <w:sz w:val="4"/>
                <w:szCs w:val="4"/>
              </w:rPr>
            </w:r>
          </w:p>
        </w:tc>
        <w:tc>
          <w:tcPr>
            <w:tcW w:w="144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6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Options Outstanding</w:t>
            </w:r>
          </w:p>
        </w:tc>
      </w:tr>
      <w:tr>
        <w:trPr/>
        <w:tc>
          <w:tcPr>
            <w:tcW w:w="45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w:t>
              <w:br/>
              <w:t>of 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Exercise</w:t>
              <w:br/>
              <w:t xml:space="preserve">Price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Remaining</w:t>
              <w:br/>
              <w:t>Contractual</w:t>
              <w:br/>
              <w:t>Life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Intrinsic</w:t>
              <w:br/>
              <w:t xml:space="preserve">Value </w:t>
            </w:r>
          </w:p>
        </w:tc>
      </w:tr>
      <w:tr>
        <w:trPr/>
        <w:tc>
          <w:tcPr>
            <w:tcW w:w="4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Balance—December 31, 2022</w:t>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5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5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5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Balance—March 31, 2023</w:t>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vested and expected to vest—March 31, 2023</w:t>
            </w:r>
          </w:p>
        </w:tc>
        <w:tc>
          <w:tcPr>
            <w:tcW w:w="550"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27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exercisable—March 31, 2023</w:t>
            </w:r>
          </w:p>
        </w:tc>
        <w:tc>
          <w:tcPr>
            <w:tcW w:w="55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390.2 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represents the difference between the exercise price of stock options and the quoted market price of our common stock for all in-the-money stock options. Stock compensation expense is recognized on a straight-line basis over the vesting period of each stock option. As of March 31, 2023, total compensation expense related to unvested stock options granted to employees but not yet recognized was $73.4 million, with a weighted-average remaining vesting period of 3.0 years.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Additional information related to our stock options is summarized below (in millions, except per share amounts):</w:t>
      </w:r>
    </w:p>
    <w:tbl>
      <w:tblPr>
        <w:tblW w:w="6565" w:type="dxa"/>
        <w:jc w:val="center"/>
        <w:tblInd w:w="0" w:type="dxa"/>
        <w:tblCellMar>
          <w:top w:w="28" w:type="dxa"/>
          <w:left w:w="28" w:type="dxa"/>
          <w:bottom w:w="28" w:type="dxa"/>
          <w:right w:w="28" w:type="dxa"/>
        </w:tblCellMar>
      </w:tblPr>
      <w:tblGrid>
        <w:gridCol w:w="1408"/>
        <w:gridCol w:w="1236"/>
        <w:gridCol w:w="1241"/>
        <w:gridCol w:w="211"/>
        <w:gridCol w:w="616"/>
        <w:gridCol w:w="109"/>
        <w:gridCol w:w="109"/>
        <w:gridCol w:w="109"/>
        <w:gridCol w:w="109"/>
        <w:gridCol w:w="211"/>
        <w:gridCol w:w="616"/>
        <w:gridCol w:w="109"/>
        <w:gridCol w:w="109"/>
        <w:gridCol w:w="109"/>
        <w:gridCol w:w="109"/>
        <w:gridCol w:w="154"/>
      </w:tblGrid>
      <w:tr>
        <w:trPr/>
        <w:tc>
          <w:tcPr>
            <w:tcW w:w="1408"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Weighted-average fair value per share granted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Intrinsic value of options exercised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options vested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ind w:left="0" w:right="0" w:firstLine="720"/>
        <w:rPr>
          <w:rFonts w:ascii="Times New Roman;sans-serif" w:hAnsi="Times New Roman;sans-serif"/>
          <w:b/>
          <w:i/>
          <w:color w:val="000000"/>
          <w:sz w:val="20"/>
        </w:rPr>
      </w:pPr>
      <w:r>
        <w:rPr>
          <w:rFonts w:ascii="Times New Roman;sans-serif" w:hAnsi="Times New Roman;sans-serif"/>
          <w:b/>
          <w:i/>
          <w:color w:val="000000"/>
          <w:sz w:val="20"/>
        </w:rPr>
        <w:t>Market/Performance-Based PSUs</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granted market/performance-based PSUs under the Amended Plan to certain of our executives. Based on the achievement of the market/performance-based vesting conditions during the performance period, the final settlement of the PSUs will range between 0% and 200% of the target shares underlying the PSUs based on the percentile ranking of our total stockholder return over one-, two-, three- and four-year periods among companies included in the S&amp;P 500 Index. 20%, 20%, 20% and 40% of the PSUs vest over one-, two-, three- and four-year service periods, respectively.</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weighted-average assumptions relating to our PSUs for the three months ended March 31, 2023:</w:t>
      </w:r>
    </w:p>
    <w:tbl>
      <w:tblPr>
        <w:tblW w:w="3763" w:type="dxa"/>
        <w:jc w:val="left"/>
        <w:tblInd w:w="0" w:type="dxa"/>
        <w:tblCellMar>
          <w:top w:w="28" w:type="dxa"/>
          <w:left w:w="28" w:type="dxa"/>
          <w:bottom w:w="28" w:type="dxa"/>
          <w:right w:w="28" w:type="dxa"/>
        </w:tblCellMar>
      </w:tblPr>
      <w:tblGrid>
        <w:gridCol w:w="712"/>
        <w:gridCol w:w="625"/>
        <w:gridCol w:w="627"/>
        <w:gridCol w:w="366"/>
        <w:gridCol w:w="366"/>
        <w:gridCol w:w="1067"/>
      </w:tblGrid>
      <w:tr>
        <w:trPr/>
        <w:tc>
          <w:tcPr>
            <w:tcW w:w="712"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r>
      <w:tr>
        <w:trPr/>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r>
      <w:tr>
        <w:trPr/>
        <w:tc>
          <w:tcPr>
            <w:tcW w:w="19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7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r>
      <w:tr>
        <w:trPr/>
        <w:tc>
          <w:tcPr>
            <w:tcW w:w="19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7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0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7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rate</w:t>
            </w:r>
          </w:p>
        </w:tc>
        <w:tc>
          <w:tcPr>
            <w:tcW w:w="7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granted approximately 0.3 million shares of PSU awards with a grant date fair value of $90.96 per share to certain of our executives during the three months ended March 31, 2023. The grant date fair value of these awards is determined using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7dc029bb3b82494a8136cb244d07aa3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FORTINET,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STATEMENTS—(Continued)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Monte Carlo simulation pricing model. None of these PSU awards were vested or forfeited during the three months ended March 31, 2023.</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2023, total compensation expense related to unvested PSUs that were granted to certain of our executives, but not yet recognized, was $26.5 million. This expense is expected to be amortized on a graded vesting method over a weighted-average vesting period of 2.7 years.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including stock-based compensation expense related to awards classified as liabilities, is included in costs and expenses (in millions):</w:t>
      </w:r>
    </w:p>
    <w:tbl>
      <w:tblPr>
        <w:tblW w:w="6026" w:type="dxa"/>
        <w:jc w:val="left"/>
        <w:tblInd w:w="0" w:type="dxa"/>
        <w:tblCellMar>
          <w:top w:w="28" w:type="dxa"/>
          <w:left w:w="28" w:type="dxa"/>
          <w:bottom w:w="28" w:type="dxa"/>
          <w:right w:w="28" w:type="dxa"/>
        </w:tblCellMar>
      </w:tblPr>
      <w:tblGrid>
        <w:gridCol w:w="1247"/>
        <w:gridCol w:w="1099"/>
        <w:gridCol w:w="1104"/>
        <w:gridCol w:w="224"/>
        <w:gridCol w:w="544"/>
        <w:gridCol w:w="116"/>
        <w:gridCol w:w="109"/>
        <w:gridCol w:w="109"/>
        <w:gridCol w:w="109"/>
        <w:gridCol w:w="224"/>
        <w:gridCol w:w="544"/>
        <w:gridCol w:w="116"/>
        <w:gridCol w:w="109"/>
        <w:gridCol w:w="109"/>
        <w:gridCol w:w="109"/>
        <w:gridCol w:w="154"/>
      </w:tblGrid>
      <w:tr>
        <w:trPr/>
        <w:tc>
          <w:tcPr>
            <w:tcW w:w="1247"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revenue</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 revenue</w:t>
            </w:r>
          </w:p>
        </w:tc>
        <w:tc>
          <w:tcPr>
            <w:tcW w:w="7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7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7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7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stock-based compensation expense, including stock-based compensation expense related to awards classified as liabilities, by award type (in millions):</w:t>
      </w:r>
    </w:p>
    <w:tbl>
      <w:tblPr>
        <w:tblW w:w="6025" w:type="dxa"/>
        <w:jc w:val="center"/>
        <w:tblInd w:w="0" w:type="dxa"/>
        <w:tblCellMar>
          <w:top w:w="28" w:type="dxa"/>
          <w:left w:w="28" w:type="dxa"/>
          <w:bottom w:w="28" w:type="dxa"/>
          <w:right w:w="28" w:type="dxa"/>
        </w:tblCellMar>
      </w:tblPr>
      <w:tblGrid>
        <w:gridCol w:w="1245"/>
        <w:gridCol w:w="1091"/>
        <w:gridCol w:w="1113"/>
        <w:gridCol w:w="224"/>
        <w:gridCol w:w="544"/>
        <w:gridCol w:w="116"/>
        <w:gridCol w:w="109"/>
        <w:gridCol w:w="109"/>
        <w:gridCol w:w="109"/>
        <w:gridCol w:w="224"/>
        <w:gridCol w:w="544"/>
        <w:gridCol w:w="116"/>
        <w:gridCol w:w="109"/>
        <w:gridCol w:w="109"/>
        <w:gridCol w:w="109"/>
        <w:gridCol w:w="154"/>
      </w:tblGrid>
      <w:tr>
        <w:trPr/>
        <w:tc>
          <w:tcPr>
            <w:tcW w:w="1245"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7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w:t>
            </w:r>
          </w:p>
        </w:tc>
        <w:tc>
          <w:tcPr>
            <w:tcW w:w="2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Total income tax benefit associated with stock-based compensation that is recognized in the condensed consolidated statements of income is as follows (in millions):</w:t>
      </w:r>
    </w:p>
    <w:tbl>
      <w:tblPr>
        <w:tblW w:w="7736" w:type="dxa"/>
        <w:jc w:val="center"/>
        <w:tblInd w:w="0" w:type="dxa"/>
        <w:tblCellMar>
          <w:top w:w="28" w:type="dxa"/>
          <w:left w:w="28" w:type="dxa"/>
          <w:bottom w:w="28" w:type="dxa"/>
          <w:right w:w="28" w:type="dxa"/>
        </w:tblCellMar>
      </w:tblPr>
      <w:tblGrid>
        <w:gridCol w:w="1870"/>
        <w:gridCol w:w="1641"/>
        <w:gridCol w:w="1649"/>
        <w:gridCol w:w="224"/>
        <w:gridCol w:w="544"/>
        <w:gridCol w:w="116"/>
        <w:gridCol w:w="109"/>
        <w:gridCol w:w="109"/>
        <w:gridCol w:w="109"/>
        <w:gridCol w:w="224"/>
        <w:gridCol w:w="544"/>
        <w:gridCol w:w="116"/>
        <w:gridCol w:w="109"/>
        <w:gridCol w:w="109"/>
        <w:gridCol w:w="109"/>
        <w:gridCol w:w="154"/>
      </w:tblGrid>
      <w:tr>
        <w:trPr/>
        <w:tc>
          <w:tcPr>
            <w:tcW w:w="1870" w:type="dxa"/>
            <w:tcBorders/>
            <w:shd w:fill="auto" w:val="clear"/>
            <w:vAlign w:val="center"/>
          </w:tcPr>
          <w:p>
            <w:pPr>
              <w:pStyle w:val="TableContents"/>
              <w:spacing w:before="0" w:after="283"/>
              <w:rPr>
                <w:sz w:val="4"/>
                <w:szCs w:val="4"/>
              </w:rPr>
            </w:pPr>
            <w:r>
              <w:rPr>
                <w:sz w:val="4"/>
                <w:szCs w:val="4"/>
              </w:rPr>
            </w:r>
          </w:p>
        </w:tc>
        <w:tc>
          <w:tcPr>
            <w:tcW w:w="1641" w:type="dxa"/>
            <w:tcBorders/>
            <w:shd w:fill="auto" w:val="clear"/>
            <w:vAlign w:val="center"/>
          </w:tcPr>
          <w:p>
            <w:pPr>
              <w:pStyle w:val="TableContents"/>
              <w:spacing w:before="0" w:after="283"/>
              <w:rPr>
                <w:sz w:val="4"/>
                <w:szCs w:val="4"/>
              </w:rPr>
            </w:pPr>
            <w:r>
              <w:rPr>
                <w:sz w:val="4"/>
                <w:szCs w:val="4"/>
              </w:rPr>
            </w:r>
          </w:p>
        </w:tc>
        <w:tc>
          <w:tcPr>
            <w:tcW w:w="164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benefit associated with stock-based compensation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i/>
          <w:color w:val="000000"/>
          <w:sz w:val="20"/>
        </w:rPr>
      </w:pPr>
      <w:r>
        <w:rPr>
          <w:rFonts w:ascii="Times New Roman;sans-serif" w:hAnsi="Times New Roman;sans-serif"/>
          <w:b/>
          <w:i/>
          <w:color w:val="000000"/>
          <w:sz w:val="20"/>
        </w:rPr>
        <w:t xml:space="preserve">Share Repurchase Program </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February 2023, our board of directors approved an extension of the Repurchase Program originally approved by our board of directors in January 2016 to February 29, 2024. Under the Repurchase Program, the aggregate amount authorized to repurchase our outstanding common stock was $5.25 billion. Share repurchases may be made by us from time to time in privately negotiated transactions or in open-market transactions. The Repurchase Program does not require us to purchase a minimum number of shares, and may be suspended, modified or discontinued at any time without prior notice. Refer to Note 16, Subsequent Events, for information regarding the approved $1.0 billion increase in the authorized stock repurchase under the Repurchase Program in April 2023.</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There were no shares repurchased under the Repurchase Program during the three months ended March 31, 2023. As of March 31, 2023, $529.6 million remained available for future share repurchases under the Repurchase Program.</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7dc029bb3b82494a8136cb244d07aa3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FORTINET,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STATEMENTS—(Continued)</w:t>
      </w:r>
    </w:p>
    <w:p>
      <w:pPr>
        <w:pStyle w:val="TextBody"/>
        <w:spacing w:before="0" w:after="0"/>
        <w:rPr/>
      </w:pPr>
      <w:r>
        <w:rPr/>
      </w:r>
    </w:p>
    <w:p>
      <w:pPr>
        <w:pStyle w:val="TextBody"/>
        <w:spacing w:lineRule="auto" w:line="288"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13.    INCOME TAXES</w: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val="false"/>
          <w:color w:val="000000"/>
          <w:sz w:val="20"/>
        </w:rPr>
        <w:t xml:space="preserve">Our effective tax rate was </w:t>
      </w:r>
      <w:r>
        <w:rPr>
          <w:rFonts w:ascii="Times New Roman;sans-serif" w:hAnsi="Times New Roman;sans-serif"/>
          <w:b w:val="false"/>
          <w:color w:val="000000"/>
          <w:sz w:val="20"/>
          <w:highlight w:val="white"/>
        </w:rPr>
        <w:t>7%</w:t>
      </w:r>
      <w:r>
        <w:rPr>
          <w:color w:val="000000"/>
        </w:rPr>
        <w:t> </w:t>
      </w:r>
      <w:r>
        <w:rPr>
          <w:rFonts w:ascii="Times New Roman;sans-serif" w:hAnsi="Times New Roman;sans-serif"/>
          <w:b w:val="false"/>
          <w:color w:val="000000"/>
          <w:sz w:val="20"/>
        </w:rPr>
        <w:t xml:space="preserve">for the three months ended March 31, 2023, compared to an effective tax rate of negative </w:t>
      </w:r>
      <w:r>
        <w:rPr>
          <w:rFonts w:ascii="Times New Roman;sans-serif" w:hAnsi="Times New Roman;sans-serif"/>
          <w:b w:val="false"/>
          <w:color w:val="000000"/>
          <w:sz w:val="20"/>
          <w:highlight w:val="white"/>
        </w:rPr>
        <w:t>6% </w:t>
      </w:r>
      <w:r>
        <w:rPr>
          <w:rFonts w:ascii="Times New Roman;sans-serif" w:hAnsi="Times New Roman;sans-serif"/>
          <w:b w:val="false"/>
          <w:color w:val="000000"/>
          <w:sz w:val="20"/>
        </w:rPr>
        <w:t>for the same period last year. The tax rates for the three months ended March 31, 2023 and</w:t>
      </w:r>
      <w:r>
        <w:rPr>
          <w:color w:val="000000"/>
          <w:highlight w:val="white"/>
        </w:rPr>
        <w:t xml:space="preserve"> </w:t>
      </w:r>
      <w:r>
        <w:rPr>
          <w:rFonts w:ascii="Times New Roman;sans-serif" w:hAnsi="Times New Roman;sans-serif"/>
          <w:b w:val="false"/>
          <w:color w:val="000000"/>
          <w:sz w:val="20"/>
          <w:highlight w:val="white"/>
        </w:rPr>
        <w:t xml:space="preserve">2022 </w:t>
      </w:r>
      <w:r>
        <w:rPr>
          <w:rFonts w:ascii="Times New Roman;sans-serif" w:hAnsi="Times New Roman;sans-serif"/>
          <w:b w:val="false"/>
          <w:color w:val="000000"/>
          <w:sz w:val="20"/>
        </w:rPr>
        <w:t xml:space="preserve">were composed of U.S. federal and state taxes, withholding taxes and foreign taxes that amounted to </w:t>
      </w:r>
      <w:r>
        <w:rPr>
          <w:rFonts w:ascii="Times New Roman;sans-serif" w:hAnsi="Times New Roman;sans-serif"/>
          <w:b w:val="false"/>
          <w:color w:val="000000"/>
          <w:sz w:val="20"/>
          <w:highlight w:val="white"/>
        </w:rPr>
        <w:t xml:space="preserve">$85.8 million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highlight w:val="white"/>
        </w:rPr>
        <w:t>$38.5 million</w:t>
      </w:r>
      <w:r>
        <w:rPr>
          <w:rFonts w:ascii="Times New Roman;sans-serif" w:hAnsi="Times New Roman;sans-serif"/>
          <w:b w:val="false"/>
          <w:color w:val="000000"/>
          <w:sz w:val="20"/>
        </w:rPr>
        <w:t xml:space="preserve">, respectively. The tax rate for the three months ended March 31, 2023 was impacted by a tax benefit of </w:t>
      </w:r>
      <w:r>
        <w:rPr>
          <w:rFonts w:ascii="Times New Roman;sans-serif" w:hAnsi="Times New Roman;sans-serif"/>
          <w:b w:val="false"/>
          <w:color w:val="000000"/>
          <w:sz w:val="20"/>
          <w:highlight w:val="white"/>
        </w:rPr>
        <w:t>$38.2 million</w:t>
      </w:r>
      <w:r>
        <w:rPr>
          <w:color w:val="000000"/>
        </w:rPr>
        <w:t xml:space="preserve"> </w:t>
      </w:r>
      <w:r>
        <w:rPr>
          <w:rFonts w:ascii="Times New Roman;sans-serif" w:hAnsi="Times New Roman;sans-serif"/>
          <w:b w:val="false"/>
          <w:color w:val="000000"/>
          <w:sz w:val="20"/>
        </w:rPr>
        <w:t>from the FDII deduction and excess tax benefits from stock-based compensation expense of</w:t>
      </w:r>
      <w:r>
        <w:rPr>
          <w:color w:val="000000"/>
          <w:highlight w:val="white"/>
        </w:rPr>
        <w:t xml:space="preserve"> </w:t>
      </w:r>
      <w:r>
        <w:rPr>
          <w:rFonts w:ascii="Times New Roman;sans-serif" w:hAnsi="Times New Roman;sans-serif"/>
          <w:b w:val="false"/>
          <w:color w:val="000000"/>
          <w:sz w:val="20"/>
          <w:highlight w:val="white"/>
        </w:rPr>
        <w:t>$26.3 million</w:t>
      </w:r>
      <w:r>
        <w:rPr>
          <w:rFonts w:ascii="Times New Roman;sans-serif" w:hAnsi="Times New Roman;sans-serif"/>
          <w:b w:val="false"/>
          <w:color w:val="000000"/>
          <w:sz w:val="20"/>
        </w:rPr>
        <w:t>.</w:t>
      </w:r>
      <w:r>
        <w:rPr>
          <w:color w:val="000000"/>
          <w:highlight w:val="white"/>
        </w:rPr>
        <w:t xml:space="preserve"> </w:t>
      </w:r>
      <w:r>
        <w:rPr>
          <w:rFonts w:ascii="Times New Roman;sans-serif" w:hAnsi="Times New Roman;sans-serif"/>
          <w:b w:val="false"/>
          <w:color w:val="000000"/>
          <w:sz w:val="20"/>
          <w:highlight w:val="white"/>
        </w:rPr>
        <w:t>The tax rate</w:t>
      </w:r>
      <w:r>
        <w:rPr>
          <w:color w:val="000000"/>
        </w:rPr>
        <w:t xml:space="preserve"> </w:t>
      </w:r>
      <w:r>
        <w:rPr>
          <w:rFonts w:ascii="Times New Roman;sans-serif" w:hAnsi="Times New Roman;sans-serif"/>
          <w:b w:val="false"/>
          <w:color w:val="000000"/>
          <w:sz w:val="20"/>
        </w:rPr>
        <w:t xml:space="preserve">for the three months ended March 31, 2022 was impacted by a tax benefit of </w:t>
      </w:r>
      <w:r>
        <w:rPr>
          <w:rFonts w:ascii="Times New Roman;sans-serif" w:hAnsi="Times New Roman;sans-serif"/>
          <w:b w:val="false"/>
          <w:color w:val="000000"/>
          <w:sz w:val="20"/>
          <w:highlight w:val="white"/>
        </w:rPr>
        <w:t>$14.4 million</w:t>
      </w:r>
      <w:r>
        <w:rPr>
          <w:color w:val="000000"/>
        </w:rPr>
        <w:t xml:space="preserve"> </w:t>
      </w:r>
      <w:r>
        <w:rPr>
          <w:rFonts w:ascii="Times New Roman;sans-serif" w:hAnsi="Times New Roman;sans-serif"/>
          <w:b w:val="false"/>
          <w:color w:val="000000"/>
          <w:sz w:val="20"/>
        </w:rPr>
        <w:t xml:space="preserve">from the FDII deduction and excess tax benefits from stock-based compensation expense of </w:t>
      </w:r>
      <w:r>
        <w:rPr>
          <w:rFonts w:ascii="Times New Roman;sans-serif" w:hAnsi="Times New Roman;sans-serif"/>
          <w:b w:val="false"/>
          <w:color w:val="000000"/>
          <w:sz w:val="20"/>
          <w:highlight w:val="white"/>
        </w:rPr>
        <w:t>$32.2 million.</w:t>
      </w:r>
      <w:r>
        <w:rPr>
          <w:color w:val="000000"/>
        </w:rPr>
        <w:t xml:space="preserve"> </w: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val="false"/>
          <w:color w:val="000000"/>
          <w:sz w:val="20"/>
        </w:rPr>
        <w:t xml:space="preserve">As of March 31, 2023 and December 31, 2022, unrecognized tax benefits were </w:t>
      </w:r>
      <w:r>
        <w:rPr>
          <w:rFonts w:ascii="Times New Roman;sans-serif" w:hAnsi="Times New Roman;sans-serif"/>
          <w:b w:val="false"/>
          <w:color w:val="000000"/>
          <w:sz w:val="20"/>
          <w:highlight w:val="white"/>
        </w:rPr>
        <w:t>$70.4 million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highlight w:val="white"/>
        </w:rPr>
        <w:t>$67.4 million</w:t>
      </w:r>
      <w:r>
        <w:rPr>
          <w:rFonts w:ascii="Times New Roman;sans-serif" w:hAnsi="Times New Roman;sans-serif"/>
          <w:b w:val="false"/>
          <w:color w:val="000000"/>
          <w:sz w:val="20"/>
        </w:rPr>
        <w:t xml:space="preserve">, respectively. If recognized, </w:t>
      </w:r>
      <w:r>
        <w:rPr>
          <w:rFonts w:ascii="Times New Roman;sans-serif" w:hAnsi="Times New Roman;sans-serif"/>
          <w:b w:val="false"/>
          <w:color w:val="000000"/>
          <w:sz w:val="20"/>
          <w:highlight w:val="white"/>
        </w:rPr>
        <w:t>$61.2 million</w:t>
      </w:r>
      <w:r>
        <w:rPr>
          <w:color w:val="000000"/>
        </w:rPr>
        <w:t xml:space="preserve"> </w:t>
      </w:r>
      <w:r>
        <w:rPr>
          <w:rFonts w:ascii="Times New Roman;sans-serif" w:hAnsi="Times New Roman;sans-serif"/>
          <w:b w:val="false"/>
          <w:color w:val="000000"/>
          <w:sz w:val="20"/>
        </w:rPr>
        <w:t>of the unrecognized tax benefits as of March 31, 2023 would favorably affect our effective tax rate. It is our policy to include accrued interest and penalties related to unrecognized tax benefits in income tax expense. As of both March 31, 2023 and December 31, 2022, accrued interest and penalties totaled $9.3 million. It is reasonably possible that our gross unrecognized tax benefits will decrease by up to $15.2 million in the next 12 months, due to the lapse of statutes of limitation in various jurisdictions. This decrease, if recognized, would favorably impact our effective tax rate, and would be recognized as additional tax benefits.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file income tax returns in the U.S. federal jurisdiction and in various U.S. state and foreign jurisdictions. Generally, we are no longer subject to examination by U.S federal income tax authorities for tax years prior to 2015. We are no longer subject to U.S. state and foreign income tax examinations by tax authorities for tax years prior to 2010. We currently have ongoing tax audits in the United Kingdom, Canada, Germany and several other foreign jurisdictions. The focus of these audits is the inter-company profit allocation.</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January 4, 2022, the U.S. Treasury published another tranche of final regulations regarding the foreign tax credit. These final regulations impose new requirements that a foreign tax must meet in order to be creditable against U.S. income taxes, and generally apply to tax years beginning on or after December 28, 2021. On July 26, 2022, the U.S. Treasury released corrections to the final regulations. These final regulations adversely impact our ability to claim foreign tax credits in the United States for certain taxes imposed by certain foreign jurisdictions.</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August 16, 2022, the United States enacted the Inflation Reduction Act of 2022 that, among other changes, provides for changes to the U.S. corporate income tax system, including a 15% minimum tax based on financial statement income for companies with three-year average annual adjusted financial statement income exceeding $1 billion, and a 1% excise tax on net repurchases of stock after December 31, 2022, if any. We considered the applicable tax law changes, and there is no impact to our tax provision for the three months ended March 31, 2023. We will continue to evaluate the impact of these tax law changes on future periods.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14.     DEFINED CONTRIBUTION PLANS</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rPr>
        <w:t>Our tax-deferred savings plan under our 401(k) Plan permits participating U.S. employees to contribute a portion of their pre-tax or after-tax earnings. In Canada, we have a Group Registered Retirement Savings Plan Program (the “RRSP”), which permits participants to make pre-tax contributions. Our board of directors approved 50% matching contributions on employee contributions up to 4% of each employee’s eligible earnings. Our matching contributions to our 401(k) Plan and the RRSP for the three months ended March 31, 2023 and</w:t>
      </w:r>
      <w:r>
        <w:rPr>
          <w:color w:val="000000"/>
          <w:highlight w:val="white"/>
        </w:rPr>
        <w:t xml:space="preserve"> </w:t>
      </w:r>
      <w:r>
        <w:rPr>
          <w:rFonts w:ascii="Times New Roman;sans-serif" w:hAnsi="Times New Roman;sans-serif"/>
          <w:b w:val="false"/>
          <w:color w:val="000000"/>
          <w:sz w:val="20"/>
          <w:highlight w:val="white"/>
        </w:rPr>
        <w:t>2022</w:t>
      </w:r>
      <w:r>
        <w:rPr>
          <w:color w:val="000000"/>
        </w:rPr>
        <w:t xml:space="preserve"> </w:t>
      </w:r>
      <w:r>
        <w:rPr>
          <w:rFonts w:ascii="Times New Roman;sans-serif" w:hAnsi="Times New Roman;sans-serif"/>
          <w:b w:val="false"/>
          <w:color w:val="000000"/>
          <w:sz w:val="20"/>
        </w:rPr>
        <w:t xml:space="preserve">were $4.4 million and $3.4 million, respectively.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15.     SEGMENT INFORMATION</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Revenue by geographic region is based on the billing address of our customers. The following tables set forth revenue and property and equipment—net by geographic region (in millions):</w:t>
      </w:r>
    </w:p>
    <w:tbl>
      <w:tblPr>
        <w:tblW w:w="6399" w:type="dxa"/>
        <w:jc w:val="left"/>
        <w:tblInd w:w="0" w:type="dxa"/>
        <w:tblCellMar>
          <w:top w:w="28" w:type="dxa"/>
          <w:left w:w="28" w:type="dxa"/>
          <w:bottom w:w="28" w:type="dxa"/>
          <w:right w:w="28" w:type="dxa"/>
        </w:tblCellMar>
      </w:tblPr>
      <w:tblGrid>
        <w:gridCol w:w="1290"/>
        <w:gridCol w:w="1130"/>
        <w:gridCol w:w="1149"/>
        <w:gridCol w:w="211"/>
        <w:gridCol w:w="766"/>
        <w:gridCol w:w="109"/>
        <w:gridCol w:w="109"/>
        <w:gridCol w:w="109"/>
        <w:gridCol w:w="109"/>
        <w:gridCol w:w="211"/>
        <w:gridCol w:w="616"/>
        <w:gridCol w:w="109"/>
        <w:gridCol w:w="109"/>
        <w:gridCol w:w="109"/>
        <w:gridCol w:w="109"/>
        <w:gridCol w:w="154"/>
      </w:tblGrid>
      <w:tr>
        <w:trPr/>
        <w:tc>
          <w:tcPr>
            <w:tcW w:w="1290"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Revenue</w:t>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Americas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Americas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 (“EMEA”)</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 (“APAC”)</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5448" w:type="dxa"/>
        <w:jc w:val="center"/>
        <w:tblInd w:w="0" w:type="dxa"/>
        <w:tblCellMar>
          <w:top w:w="28" w:type="dxa"/>
          <w:left w:w="28" w:type="dxa"/>
          <w:bottom w:w="28" w:type="dxa"/>
          <w:right w:w="28" w:type="dxa"/>
        </w:tblCellMar>
      </w:tblPr>
      <w:tblGrid>
        <w:gridCol w:w="1087"/>
        <w:gridCol w:w="955"/>
        <w:gridCol w:w="958"/>
        <w:gridCol w:w="211"/>
        <w:gridCol w:w="616"/>
        <w:gridCol w:w="109"/>
        <w:gridCol w:w="109"/>
        <w:gridCol w:w="109"/>
        <w:gridCol w:w="109"/>
        <w:gridCol w:w="255"/>
        <w:gridCol w:w="744"/>
        <w:gridCol w:w="186"/>
      </w:tblGrid>
      <w:tr>
        <w:trPr/>
        <w:tc>
          <w:tcPr>
            <w:tcW w:w="1087"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8"/>
                <w:u w:val="single"/>
              </w:rPr>
              <w:t>Property and Equipment</w:t>
            </w:r>
            <w:r>
              <w:rPr>
                <w:color w:val="000000"/>
                <w:u w:val="single"/>
              </w:rPr>
              <w:t>—</w:t>
            </w:r>
            <w:r>
              <w:rPr>
                <w:rFonts w:ascii="Times New Roman;sans-serif" w:hAnsi="Times New Roman;sans-serif"/>
                <w:b/>
                <w:color w:val="000000"/>
                <w:sz w:val="18"/>
                <w:u w:val="single"/>
              </w:rPr>
              <w:t>net</w:t>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638.1 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Latin America</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Americas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898.5 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distributors accounted for 10% or more of our revenue:</w:t>
      </w:r>
    </w:p>
    <w:tbl>
      <w:tblPr>
        <w:tblW w:w="3874" w:type="dxa"/>
        <w:jc w:val="left"/>
        <w:tblInd w:w="0" w:type="dxa"/>
        <w:tblCellMar>
          <w:top w:w="28" w:type="dxa"/>
          <w:left w:w="28" w:type="dxa"/>
          <w:bottom w:w="28" w:type="dxa"/>
          <w:right w:w="28" w:type="dxa"/>
        </w:tblCellMar>
      </w:tblPr>
      <w:tblGrid>
        <w:gridCol w:w="429"/>
        <w:gridCol w:w="377"/>
        <w:gridCol w:w="379"/>
        <w:gridCol w:w="197"/>
        <w:gridCol w:w="197"/>
        <w:gridCol w:w="491"/>
        <w:gridCol w:w="146"/>
        <w:gridCol w:w="146"/>
        <w:gridCol w:w="146"/>
        <w:gridCol w:w="197"/>
        <w:gridCol w:w="197"/>
        <w:gridCol w:w="491"/>
        <w:gridCol w:w="109"/>
        <w:gridCol w:w="109"/>
        <w:gridCol w:w="109"/>
        <w:gridCol w:w="154"/>
      </w:tblGrid>
      <w:tr>
        <w:trPr/>
        <w:tc>
          <w:tcPr>
            <w:tcW w:w="429"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0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4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A</w:t>
            </w:r>
          </w:p>
        </w:tc>
        <w:tc>
          <w:tcPr>
            <w:tcW w:w="39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B</w:t>
            </w:r>
          </w:p>
        </w:tc>
        <w:tc>
          <w:tcPr>
            <w:tcW w:w="3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C</w:t>
            </w:r>
          </w:p>
        </w:tc>
        <w:tc>
          <w:tcPr>
            <w:tcW w:w="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5"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distributors accounted for 10% or more of net accounts receivable:</w:t>
      </w:r>
    </w:p>
    <w:tbl>
      <w:tblPr>
        <w:tblW w:w="3581" w:type="dxa"/>
        <w:jc w:val="center"/>
        <w:tblInd w:w="0" w:type="dxa"/>
        <w:tblCellMar>
          <w:top w:w="28" w:type="dxa"/>
          <w:left w:w="28" w:type="dxa"/>
          <w:bottom w:w="28" w:type="dxa"/>
          <w:right w:w="28" w:type="dxa"/>
        </w:tblCellMar>
      </w:tblPr>
      <w:tblGrid>
        <w:gridCol w:w="429"/>
        <w:gridCol w:w="377"/>
        <w:gridCol w:w="379"/>
        <w:gridCol w:w="197"/>
        <w:gridCol w:w="197"/>
        <w:gridCol w:w="491"/>
        <w:gridCol w:w="109"/>
        <w:gridCol w:w="109"/>
        <w:gridCol w:w="109"/>
        <w:gridCol w:w="240"/>
        <w:gridCol w:w="240"/>
        <w:gridCol w:w="704"/>
      </w:tblGrid>
      <w:tr>
        <w:trPr/>
        <w:tc>
          <w:tcPr>
            <w:tcW w:w="429"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r>
      <w:tr>
        <w:trPr/>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1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A</w:t>
            </w:r>
          </w:p>
        </w:tc>
        <w:tc>
          <w:tcPr>
            <w:tcW w:w="39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B</w:t>
            </w:r>
          </w:p>
        </w:tc>
        <w:tc>
          <w:tcPr>
            <w:tcW w:w="3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7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C</w:t>
            </w:r>
          </w:p>
        </w:tc>
        <w:tc>
          <w:tcPr>
            <w:tcW w:w="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7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5"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r>
      <w:tr>
        <w:trPr/>
        <w:tc>
          <w:tcPr>
            <w:tcW w:w="1185"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r>
      <w:tr>
        <w:trPr/>
        <w:tc>
          <w:tcPr>
            <w:tcW w:w="1185" w:type="dxa"/>
            <w:gridSpan w:val="3"/>
            <w:tcBorders/>
            <w:shd w:fill="auto" w:val="clear"/>
            <w:vAlign w:val="center"/>
          </w:tcPr>
          <w:p>
            <w:pPr>
              <w:pStyle w:val="TableContents"/>
              <w:spacing w:before="0" w:after="283"/>
              <w:rPr>
                <w:sz w:val="4"/>
                <w:szCs w:val="4"/>
              </w:rPr>
            </w:pPr>
            <w:r>
              <w:rPr>
                <w:sz w:val="4"/>
                <w:szCs w:val="4"/>
              </w:rPr>
            </w:r>
          </w:p>
        </w:tc>
        <w:tc>
          <w:tcPr>
            <w:tcW w:w="2396" w:type="dxa"/>
            <w:gridSpan w:val="9"/>
            <w:tcBorders/>
            <w:shd w:fill="auto" w:val="clea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7dc029bb3b82494a8136cb244d07aa3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FORTINET,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STATEMENTS—(Continued)</w:t>
      </w:r>
    </w:p>
    <w:p>
      <w:pPr>
        <w:pStyle w:val="TextBody"/>
        <w:spacing w:before="0" w:after="0"/>
        <w:rPr/>
      </w:pPr>
      <w:r>
        <w:rPr/>
      </w:r>
    </w:p>
    <w:p>
      <w:pPr>
        <w:pStyle w:val="TextBody"/>
        <w:spacing w:lineRule="auto" w:line="288" w:before="0" w:after="0"/>
        <w:rPr/>
      </w:pPr>
      <w:r>
        <w:rPr>
          <w:rFonts w:ascii="Times New Roman;sans-serif" w:hAnsi="Times New Roman;sans-serif"/>
          <w:b/>
          <w:color w:val="000000"/>
          <w:sz w:val="20"/>
        </w:rPr>
        <w:t>16.     </w:t>
      </w:r>
      <w:r>
        <w:rPr>
          <w:rFonts w:ascii="Times New Roman;sans-serif" w:hAnsi="Times New Roman;sans-serif"/>
          <w:b/>
          <w:color w:val="000000"/>
          <w:sz w:val="20"/>
          <w:highlight w:val="white"/>
        </w:rPr>
        <w:t>SUBSEQUENT EVENTS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April 2023, our board of directors approved a $1.0 billion increase in the authorized stock repurchase amount under the Repurchase Program, bringing the aggregate amount authorized to be repurchased to $6.25 billion of our outstanding common stock through February 29, 2024. As of May 8, 2023, approximately $1.53 billion remained available for future share repurchases.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Real property purchase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April 2023, we purchased real property in Plano, Texas, totaling approximately 43,400 square feet, for $19.3 million in cash.</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ind w:left="0" w:right="0" w:firstLine="72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ind w:left="0" w:right="0" w:firstLine="720"/>
        <w:rPr/>
      </w:pPr>
      <w:r>
        <w:rPr/>
      </w:r>
    </w:p>
    <w:p>
      <w:pPr>
        <w:pStyle w:val="TextBody"/>
        <w:spacing w:before="0" w:after="0"/>
        <w:ind w:left="0" w:right="0" w:firstLine="720"/>
        <w:rPr/>
      </w:pPr>
      <w:r>
        <w:rPr/>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In addition to historical information, this Quarterly Report on Form 10-Q contains forward-looking statements within the meaning of Section 27A of the Securities Act of 1933, as amended, and Section 21E of the Securities and Exchange Act of 1934, as amended (the “Exchange Act”). These statements include, among other things, statements concerning our expectations regarding:</w:t>
      </w:r>
    </w:p>
    <w:p>
      <w:pPr>
        <w:pStyle w:val="TextBody"/>
        <w:spacing w:before="0" w:after="0"/>
        <w:rPr/>
      </w:pPr>
      <w:r>
        <w:rPr/>
      </w:r>
    </w:p>
    <w:p>
      <w:pPr>
        <w:pStyle w:val="TextBody"/>
        <w:spacing w:lineRule="auto" w:line="276" w:before="0" w:after="0"/>
        <w:ind w:left="0" w:right="0" w:hanging="720"/>
        <w:rPr/>
      </w:pPr>
      <w:r>
        <w:rPr>
          <w:color w:val="000000"/>
        </w:rPr>
        <w:t>•</w:t>
      </w:r>
      <w:r>
        <w:rPr>
          <w:rFonts w:ascii="Times New Roman;sans-serif" w:hAnsi="Times New Roman;sans-serif"/>
          <w:b w:val="false"/>
          <w:i/>
          <w:color w:val="000000"/>
          <w:sz w:val="20"/>
        </w:rPr>
        <w:t>supply chain constraints, component availability and other factors affecting our manufacturing capacity, delivery, cost and inventory management, as well as improving supply chain dynamics;</w:t>
      </w:r>
    </w:p>
    <w:p>
      <w:pPr>
        <w:pStyle w:val="TextBody"/>
        <w:spacing w:before="0" w:after="0"/>
        <w:ind w:left="0" w:right="0" w:hanging="360"/>
        <w:rPr/>
      </w:pPr>
      <w:r>
        <w:rPr/>
      </w:r>
    </w:p>
    <w:p>
      <w:pPr>
        <w:pStyle w:val="TextBody"/>
        <w:spacing w:lineRule="auto" w:line="288" w:before="0" w:after="0"/>
        <w:ind w:left="0" w:right="0" w:hanging="720"/>
        <w:rPr/>
      </w:pPr>
      <w:r>
        <w:rPr>
          <w:color w:val="000000"/>
        </w:rPr>
        <w:t>•</w:t>
      </w:r>
      <w:r>
        <w:rPr>
          <w:rFonts w:ascii="Times New Roman;sans-serif" w:hAnsi="Times New Roman;sans-serif"/>
          <w:b w:val="false"/>
          <w:i/>
          <w:color w:val="000000"/>
          <w:sz w:val="20"/>
        </w:rPr>
        <w:t>increasing or decreasing inflation or stagflation, and rising interest rates in many geographies and changes in currency exchange rates and currency regulations;</w:t>
      </w:r>
    </w:p>
    <w:p>
      <w:pPr>
        <w:pStyle w:val="TextBody"/>
        <w:spacing w:before="0" w:after="0"/>
        <w:ind w:left="0" w:right="0" w:hanging="360"/>
        <w:rPr/>
      </w:pPr>
      <w:r>
        <w:rPr/>
      </w:r>
    </w:p>
    <w:p>
      <w:pPr>
        <w:pStyle w:val="TextBody"/>
        <w:spacing w:lineRule="auto" w:line="276" w:before="0" w:after="0"/>
        <w:ind w:left="0" w:right="0" w:hanging="720"/>
        <w:rPr/>
      </w:pPr>
      <w:r>
        <w:rPr>
          <w:color w:val="000000"/>
        </w:rPr>
        <w:t>•</w:t>
      </w:r>
      <w:r>
        <w:rPr>
          <w:rFonts w:ascii="Times New Roman;sans-serif" w:hAnsi="Times New Roman;sans-serif"/>
          <w:b w:val="false"/>
          <w:i/>
          <w:color w:val="000000"/>
          <w:sz w:val="20"/>
        </w:rPr>
        <w:t>the duration and impact of the COVID-19 pandemic, including various COVID-19 variants and “return to office” plans;</w:t>
      </w:r>
    </w:p>
    <w:p>
      <w:pPr>
        <w:pStyle w:val="TextBody"/>
        <w:spacing w:before="0" w:after="0"/>
        <w:ind w:left="0" w:right="0" w:hanging="360"/>
        <w:rPr/>
      </w:pPr>
      <w:r>
        <w:rPr/>
      </w:r>
    </w:p>
    <w:p>
      <w:pPr>
        <w:pStyle w:val="TextBody"/>
        <w:spacing w:lineRule="auto" w:line="288" w:before="0" w:after="0"/>
        <w:ind w:left="0" w:right="0" w:hanging="720"/>
        <w:rPr/>
      </w:pPr>
      <w:r>
        <w:rPr>
          <w:color w:val="000000"/>
        </w:rPr>
        <w:t>•</w:t>
      </w:r>
      <w:r>
        <w:rPr>
          <w:rFonts w:ascii="Times New Roman;sans-serif" w:hAnsi="Times New Roman;sans-serif"/>
          <w:b w:val="false"/>
          <w:i/>
          <w:color w:val="000000"/>
          <w:sz w:val="20"/>
        </w:rPr>
        <w:t>continued growth and market share gains;</w:t>
      </w:r>
    </w:p>
    <w:p>
      <w:pPr>
        <w:pStyle w:val="TextBody"/>
        <w:spacing w:before="0" w:after="0"/>
        <w:rPr/>
      </w:pPr>
      <w:r>
        <w:rPr/>
      </w:r>
    </w:p>
    <w:p>
      <w:pPr>
        <w:pStyle w:val="TextBody"/>
        <w:spacing w:lineRule="auto" w:line="288" w:before="0" w:after="0"/>
        <w:ind w:left="0" w:right="0" w:hanging="720"/>
        <w:rPr/>
      </w:pPr>
      <w:r>
        <w:rPr>
          <w:color w:val="000000"/>
        </w:rPr>
        <w:t>•</w:t>
      </w:r>
      <w:r>
        <w:rPr>
          <w:rFonts w:ascii="Times New Roman;sans-serif" w:hAnsi="Times New Roman;sans-serif"/>
          <w:b w:val="false"/>
          <w:i/>
          <w:color w:val="000000"/>
          <w:sz w:val="20"/>
        </w:rPr>
        <w:t>variability in sales in certain product and service categories from year to year and between quarters;</w:t>
      </w:r>
    </w:p>
    <w:p>
      <w:pPr>
        <w:pStyle w:val="TextBody"/>
        <w:spacing w:before="0" w:after="0"/>
        <w:rPr/>
      </w:pPr>
      <w:r>
        <w:rPr/>
      </w:r>
    </w:p>
    <w:p>
      <w:pPr>
        <w:pStyle w:val="TextBody"/>
        <w:spacing w:lineRule="auto" w:line="288" w:before="0" w:after="0"/>
        <w:ind w:left="0" w:right="0" w:hanging="720"/>
        <w:rPr/>
      </w:pPr>
      <w:r>
        <w:rPr>
          <w:color w:val="000000"/>
        </w:rPr>
        <w:t>•</w:t>
      </w:r>
      <w:r>
        <w:rPr>
          <w:rFonts w:ascii="Times New Roman;sans-serif" w:hAnsi="Times New Roman;sans-serif"/>
          <w:b w:val="false"/>
          <w:i/>
          <w:color w:val="000000"/>
          <w:sz w:val="20"/>
        </w:rPr>
        <w:t>expected impact of sales from certain products and services;</w:t>
      </w:r>
    </w:p>
    <w:p>
      <w:pPr>
        <w:pStyle w:val="TextBody"/>
        <w:spacing w:before="0" w:after="0"/>
        <w:ind w:left="0" w:right="0" w:hanging="360"/>
        <w:rPr/>
      </w:pPr>
      <w:r>
        <w:rPr/>
      </w:r>
    </w:p>
    <w:p>
      <w:pPr>
        <w:pStyle w:val="TextBody"/>
        <w:spacing w:lineRule="auto" w:line="288" w:before="0" w:after="0"/>
        <w:ind w:left="0" w:right="0" w:hanging="720"/>
        <w:rPr/>
      </w:pPr>
      <w:r>
        <w:rPr>
          <w:color w:val="000000"/>
        </w:rPr>
        <w:t>•</w:t>
      </w:r>
      <w:r>
        <w:rPr>
          <w:rFonts w:ascii="Times New Roman;sans-serif" w:hAnsi="Times New Roman;sans-serif"/>
          <w:b w:val="false"/>
          <w:i/>
          <w:color w:val="000000"/>
          <w:sz w:val="20"/>
        </w:rPr>
        <w:t>instability in the global banking system;</w:t>
      </w:r>
    </w:p>
    <w:p>
      <w:pPr>
        <w:pStyle w:val="TextBody"/>
        <w:spacing w:before="0" w:after="0"/>
        <w:rPr/>
      </w:pPr>
      <w:r>
        <w:rPr/>
      </w:r>
    </w:p>
    <w:p>
      <w:pPr>
        <w:pStyle w:val="TextBody"/>
        <w:spacing w:lineRule="auto" w:line="288" w:before="0" w:after="0"/>
        <w:ind w:left="0" w:right="0" w:hanging="720"/>
        <w:rPr/>
      </w:pPr>
      <w:r>
        <w:rPr>
          <w:color w:val="000000"/>
        </w:rPr>
        <w:t>•</w:t>
      </w:r>
      <w:r>
        <w:rPr>
          <w:rFonts w:ascii="Times New Roman;sans-serif" w:hAnsi="Times New Roman;sans-serif"/>
          <w:b w:val="false"/>
          <w:i/>
          <w:color w:val="000000"/>
          <w:sz w:val="20"/>
        </w:rPr>
        <w:t>macroeconomic, geopolitical factors and other disruption on our manufacturing or sales, including public health issues, wars and natural disasters;</w:t>
      </w:r>
    </w:p>
    <w:p>
      <w:pPr>
        <w:pStyle w:val="TextBody"/>
        <w:spacing w:before="0" w:after="0"/>
        <w:rPr/>
      </w:pPr>
      <w:r>
        <w:rPr/>
      </w:r>
    </w:p>
    <w:p>
      <w:pPr>
        <w:pStyle w:val="TextBody"/>
        <w:spacing w:lineRule="auto" w:line="288" w:before="0" w:after="0"/>
        <w:ind w:left="0" w:right="0" w:hanging="720"/>
        <w:rPr/>
      </w:pPr>
      <w:r>
        <w:rPr>
          <w:color w:val="000000"/>
        </w:rPr>
        <w:t>•</w:t>
      </w:r>
      <w:r>
        <w:rPr>
          <w:rFonts w:ascii="Times New Roman;sans-serif" w:hAnsi="Times New Roman;sans-serif"/>
          <w:b w:val="false"/>
          <w:i/>
          <w:color w:val="000000"/>
          <w:sz w:val="20"/>
        </w:rPr>
        <w:t>real estate investments and expansions of current properties;</w:t>
      </w:r>
    </w:p>
    <w:p>
      <w:pPr>
        <w:pStyle w:val="TextBody"/>
        <w:spacing w:before="0" w:after="0"/>
        <w:ind w:left="0" w:right="0" w:hanging="360"/>
        <w:rPr/>
      </w:pPr>
      <w:r>
        <w:rPr/>
      </w:r>
    </w:p>
    <w:p>
      <w:pPr>
        <w:pStyle w:val="TextBody"/>
        <w:spacing w:lineRule="auto" w:line="288" w:before="0" w:after="0"/>
        <w:ind w:left="0" w:right="0" w:hanging="720"/>
        <w:rPr/>
      </w:pPr>
      <w:r>
        <w:rPr>
          <w:color w:val="000000"/>
        </w:rPr>
        <w:t>•</w:t>
      </w:r>
      <w:r>
        <w:rPr>
          <w:rFonts w:ascii="Times New Roman;sans-serif" w:hAnsi="Times New Roman;sans-serif"/>
          <w:b w:val="false"/>
          <w:i/>
          <w:color w:val="000000"/>
          <w:sz w:val="20"/>
        </w:rPr>
        <w:t>government regulation, tariffs and other policies;</w:t>
      </w:r>
    </w:p>
    <w:p>
      <w:pPr>
        <w:pStyle w:val="TextBody"/>
        <w:spacing w:before="0" w:after="0"/>
        <w:rPr/>
      </w:pPr>
      <w:r>
        <w:rPr/>
      </w:r>
    </w:p>
    <w:p>
      <w:pPr>
        <w:pStyle w:val="TextBody"/>
        <w:spacing w:lineRule="auto" w:line="276" w:before="0" w:after="0"/>
        <w:ind w:left="0" w:right="0" w:hanging="720"/>
        <w:rPr/>
      </w:pPr>
      <w:r>
        <w:rPr>
          <w:color w:val="000000"/>
        </w:rPr>
        <w:t>•</w:t>
      </w:r>
      <w:r>
        <w:rPr>
          <w:rFonts w:ascii="Times New Roman;sans-serif" w:hAnsi="Times New Roman;sans-serif"/>
          <w:b w:val="false"/>
          <w:i/>
          <w:color w:val="000000"/>
          <w:sz w:val="20"/>
        </w:rPr>
        <w:t>drivers of long-term growth and operating leverage, such as pricing of our products and services, sales productivity and capacity, functionality and value in our service offerings;</w:t>
      </w:r>
    </w:p>
    <w:p>
      <w:pPr>
        <w:pStyle w:val="TextBody"/>
        <w:spacing w:before="0" w:after="0"/>
        <w:rPr/>
      </w:pPr>
      <w:r>
        <w:rPr/>
      </w:r>
    </w:p>
    <w:p>
      <w:pPr>
        <w:pStyle w:val="TextBody"/>
        <w:spacing w:lineRule="auto" w:line="288" w:before="0" w:after="0"/>
        <w:ind w:left="0" w:right="0" w:hanging="720"/>
        <w:rPr/>
      </w:pPr>
      <w:r>
        <w:rPr>
          <w:color w:val="000000"/>
        </w:rPr>
        <w:t>•</w:t>
      </w:r>
      <w:r>
        <w:rPr>
          <w:rFonts w:ascii="Times New Roman;sans-serif" w:hAnsi="Times New Roman;sans-serif"/>
          <w:b w:val="false"/>
          <w:i/>
          <w:color w:val="000000"/>
          <w:sz w:val="20"/>
        </w:rPr>
        <w:t>growing our solution sales through channel partners to businesses, service providers and government organizations, our ability to execute these sales and the complexity of providing solutions to all segments (including the increased competition and unpredictability of timing associated with sales to larger enterprises), the impact of sales to these organizations on our long-term growth, expansion and operating results, and the effectiveness of our sales organization;</w:t>
      </w:r>
    </w:p>
    <w:p>
      <w:pPr>
        <w:pStyle w:val="TextBody"/>
        <w:spacing w:before="0" w:after="0"/>
        <w:ind w:left="0" w:right="0" w:hanging="360"/>
        <w:rPr/>
      </w:pPr>
      <w:r>
        <w:rPr/>
      </w:r>
    </w:p>
    <w:p>
      <w:pPr>
        <w:pStyle w:val="TextBody"/>
        <w:spacing w:lineRule="auto" w:line="288" w:before="0" w:after="0"/>
        <w:ind w:left="0" w:right="0" w:hanging="720"/>
        <w:rPr/>
      </w:pPr>
      <w:r>
        <w:rPr>
          <w:color w:val="000000"/>
        </w:rPr>
        <w:t>•</w:t>
      </w:r>
      <w:r>
        <w:rPr>
          <w:rFonts w:ascii="Times New Roman;sans-serif" w:hAnsi="Times New Roman;sans-serif"/>
          <w:b w:val="false"/>
          <w:i/>
          <w:color w:val="000000"/>
          <w:sz w:val="20"/>
        </w:rPr>
        <w:t>forecasts of future demand and targeted inventory levels;</w:t>
      </w:r>
    </w:p>
    <w:p>
      <w:pPr>
        <w:pStyle w:val="TextBody"/>
        <w:spacing w:before="0" w:after="0"/>
        <w:ind w:left="0" w:right="0" w:hanging="360"/>
        <w:rPr/>
      </w:pPr>
      <w:r>
        <w:rPr/>
      </w:r>
    </w:p>
    <w:p>
      <w:pPr>
        <w:pStyle w:val="TextBody"/>
        <w:spacing w:lineRule="auto" w:line="288" w:before="0" w:after="0"/>
        <w:ind w:left="0" w:right="0" w:hanging="720"/>
        <w:rPr/>
      </w:pPr>
      <w:r>
        <w:rPr>
          <w:color w:val="000000"/>
        </w:rPr>
        <w:t>•</w:t>
      </w:r>
      <w:r>
        <w:rPr>
          <w:rFonts w:ascii="Times New Roman;sans-serif" w:hAnsi="Times New Roman;sans-serif"/>
          <w:b w:val="false"/>
          <w:i/>
          <w:color w:val="000000"/>
          <w:sz w:val="20"/>
        </w:rPr>
        <w:t>the effect of backlog from prior quarters, including its effect on growth of in-quarter billings and revenue;</w:t>
      </w:r>
    </w:p>
    <w:p>
      <w:pPr>
        <w:pStyle w:val="TextBody"/>
        <w:spacing w:before="0" w:after="0"/>
        <w:rPr/>
      </w:pPr>
      <w:r>
        <w:rPr/>
      </w:r>
    </w:p>
    <w:p>
      <w:pPr>
        <w:pStyle w:val="TextBody"/>
        <w:spacing w:lineRule="auto" w:line="288" w:before="0" w:after="0"/>
        <w:ind w:left="0" w:right="0" w:hanging="720"/>
        <w:rPr/>
      </w:pPr>
      <w:r>
        <w:rPr>
          <w:color w:val="000000"/>
        </w:rPr>
        <w:t>•</w:t>
      </w:r>
      <w:r>
        <w:rPr>
          <w:rFonts w:ascii="Times New Roman;sans-serif" w:hAnsi="Times New Roman;sans-serif"/>
          <w:b w:val="false"/>
          <w:i/>
          <w:color w:val="000000"/>
          <w:sz w:val="20"/>
        </w:rPr>
        <w:t>our ability to hire properly qualified and effective sales, support and engineering employees;</w:t>
      </w:r>
    </w:p>
    <w:p>
      <w:pPr>
        <w:pStyle w:val="TextBody"/>
        <w:spacing w:before="0" w:after="0"/>
        <w:ind w:left="0" w:right="0" w:hanging="360"/>
        <w:rPr/>
      </w:pPr>
      <w:r>
        <w:rPr/>
      </w:r>
    </w:p>
    <w:p>
      <w:pPr>
        <w:pStyle w:val="TextBody"/>
        <w:spacing w:lineRule="auto" w:line="288" w:before="0" w:after="0"/>
        <w:ind w:left="0" w:right="0" w:hanging="720"/>
        <w:rPr/>
      </w:pPr>
      <w:r>
        <w:rPr>
          <w:color w:val="000000"/>
        </w:rPr>
        <w:t>•</w:t>
      </w:r>
      <w:r>
        <w:rPr>
          <w:rFonts w:ascii="Times New Roman;sans-serif" w:hAnsi="Times New Roman;sans-serif"/>
          <w:b w:val="false"/>
          <w:i/>
          <w:color w:val="000000"/>
          <w:sz w:val="20"/>
        </w:rPr>
        <w:t xml:space="preserve">risks and expectations related to acquisitions and equity interests in private and public companies, including integration issues related to go-to-market plans, product plans, employees of such companies, controls and processes and the acquired technology, and risks of negative impact by such acquisitions and equity investments on our financial results; </w:t>
      </w:r>
    </w:p>
    <w:p>
      <w:pPr>
        <w:pStyle w:val="TextBody"/>
        <w:spacing w:before="0" w:after="0"/>
        <w:rPr/>
      </w:pPr>
      <w:r>
        <w:rPr/>
      </w:r>
    </w:p>
    <w:p>
      <w:pPr>
        <w:pStyle w:val="TextBody"/>
        <w:spacing w:lineRule="auto" w:line="288" w:before="0" w:after="0"/>
        <w:ind w:left="0" w:right="0" w:hanging="720"/>
        <w:rPr/>
      </w:pPr>
      <w:r>
        <w:rPr>
          <w:color w:val="000000"/>
        </w:rPr>
        <w:t>•</w:t>
      </w:r>
      <w:r>
        <w:rPr>
          <w:rFonts w:ascii="Times New Roman;sans-serif" w:hAnsi="Times New Roman;sans-serif"/>
          <w:b w:val="false"/>
          <w:i/>
          <w:color w:val="000000"/>
          <w:sz w:val="20"/>
        </w:rPr>
        <w:t>trends in revenue, cost of revenue and gross margin;</w:t>
      </w:r>
    </w:p>
    <w:p>
      <w:pPr>
        <w:pStyle w:val="TextBody"/>
        <w:spacing w:lineRule="auto" w:line="288" w:before="0" w:after="0"/>
        <w:ind w:left="0" w:right="0" w:hanging="720"/>
        <w:rPr>
          <w:color w:val="000000"/>
        </w:rPr>
      </w:pPr>
      <w:r>
        <w:rPr>
          <w:color w:val="000000"/>
        </w:rPr>
        <w:t> </w:t>
      </w:r>
    </w:p>
    <w:p>
      <w:pPr>
        <w:pStyle w:val="TextBody"/>
        <w:spacing w:lineRule="auto" w:line="288" w:before="0" w:after="0"/>
        <w:ind w:left="0" w:right="0" w:hanging="720"/>
        <w:rPr/>
      </w:pPr>
      <w:r>
        <w:rPr>
          <w:color w:val="000000"/>
        </w:rPr>
        <w:t>•</w:t>
      </w:r>
      <w:r>
        <w:rPr>
          <w:rFonts w:ascii="Times New Roman;sans-serif" w:hAnsi="Times New Roman;sans-serif"/>
          <w:b w:val="false"/>
          <w:i/>
          <w:color w:val="000000"/>
          <w:sz w:val="20"/>
        </w:rPr>
        <w:t>trends in our operating expenses, including sales and marketing expense, research and development expense, general and administrative expense, and expectations regarding these expenses;</w:t>
      </w:r>
    </w:p>
    <w:p>
      <w:pPr>
        <w:pStyle w:val="TextBody"/>
        <w:spacing w:before="0" w:after="0"/>
        <w:rPr/>
      </w:pPr>
      <w:r>
        <w:rPr/>
      </w:r>
    </w:p>
    <w:p>
      <w:pPr>
        <w:pStyle w:val="TextBody"/>
        <w:spacing w:lineRule="auto" w:line="288" w:before="0" w:after="0"/>
        <w:ind w:left="0" w:right="0" w:hanging="720"/>
        <w:rPr/>
      </w:pPr>
      <w:r>
        <w:rPr>
          <w:color w:val="000000"/>
        </w:rPr>
        <w:t>•</w:t>
      </w:r>
      <w:r>
        <w:rPr>
          <w:rFonts w:ascii="Times New Roman;sans-serif" w:hAnsi="Times New Roman;sans-serif"/>
          <w:b w:val="false"/>
          <w:i/>
          <w:color w:val="000000"/>
          <w:sz w:val="20"/>
        </w:rPr>
        <w:t>expectations that our operating expenses will increase in absolute dollars during 2023;</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ind w:left="0" w:right="0" w:hanging="720"/>
        <w:rPr/>
      </w:pPr>
      <w:r>
        <w:rPr>
          <w:color w:val="000000"/>
        </w:rPr>
        <w:t>•</w:t>
      </w:r>
      <w:r>
        <w:rPr>
          <w:rFonts w:ascii="Times New Roman;sans-serif" w:hAnsi="Times New Roman;sans-serif"/>
          <w:b w:val="false"/>
          <w:i/>
          <w:color w:val="000000"/>
          <w:sz w:val="20"/>
        </w:rPr>
        <w:t>expectations that proceeds from the exercise of stock options in future years will be adversely impacted by the increased mix of restricted stock units and performance stock units versus stock options granted;</w:t>
      </w:r>
    </w:p>
    <w:p>
      <w:pPr>
        <w:pStyle w:val="TextBody"/>
        <w:spacing w:before="0" w:after="0"/>
        <w:rPr/>
      </w:pPr>
      <w:r>
        <w:rPr/>
      </w:r>
    </w:p>
    <w:p>
      <w:pPr>
        <w:pStyle w:val="TextBody"/>
        <w:spacing w:lineRule="auto" w:line="288" w:before="0" w:after="0"/>
        <w:ind w:left="0" w:right="0" w:hanging="720"/>
        <w:rPr/>
      </w:pPr>
      <w:r>
        <w:rPr>
          <w:color w:val="000000"/>
        </w:rPr>
        <w:t>•</w:t>
      </w:r>
      <w:r>
        <w:rPr>
          <w:rFonts w:ascii="Times New Roman;sans-serif" w:hAnsi="Times New Roman;sans-serif"/>
          <w:b w:val="false"/>
          <w:i/>
          <w:color w:val="000000"/>
          <w:sz w:val="20"/>
        </w:rPr>
        <w:t>expectations regarding uncertain tax benefits and our effective domestic and global tax rates, and the impact of interpretations of or changes to tax laws;</w:t>
      </w:r>
    </w:p>
    <w:p>
      <w:pPr>
        <w:pStyle w:val="TextBody"/>
        <w:spacing w:before="0" w:after="0"/>
        <w:rPr/>
      </w:pPr>
      <w:r>
        <w:rPr/>
      </w:r>
    </w:p>
    <w:p>
      <w:pPr>
        <w:pStyle w:val="TextBody"/>
        <w:spacing w:lineRule="auto" w:line="276" w:before="0" w:after="0"/>
        <w:ind w:left="0" w:right="0" w:hanging="720"/>
        <w:rPr/>
      </w:pPr>
      <w:r>
        <w:rPr>
          <w:color w:val="000000"/>
        </w:rPr>
        <w:t>•</w:t>
      </w:r>
      <w:r>
        <w:rPr>
          <w:rFonts w:ascii="Times New Roman;sans-serif" w:hAnsi="Times New Roman;sans-serif"/>
          <w:b w:val="false"/>
          <w:i/>
          <w:color w:val="000000"/>
          <w:sz w:val="20"/>
        </w:rPr>
        <w:t>expectations regarding spending related to real estate acquisitions and development, data center investments, as well as other capital expenditures and to the impact on free cash flow and expenses;</w:t>
      </w:r>
    </w:p>
    <w:p>
      <w:pPr>
        <w:pStyle w:val="TextBody"/>
        <w:spacing w:before="0" w:after="0"/>
        <w:ind w:left="0" w:right="0" w:hanging="360"/>
        <w:rPr/>
      </w:pPr>
      <w:r>
        <w:rPr/>
      </w:r>
    </w:p>
    <w:p>
      <w:pPr>
        <w:pStyle w:val="TextBody"/>
        <w:spacing w:lineRule="auto" w:line="288" w:before="0" w:after="0"/>
        <w:ind w:left="0" w:right="0" w:hanging="720"/>
        <w:rPr/>
      </w:pPr>
      <w:r>
        <w:rPr>
          <w:color w:val="000000"/>
        </w:rPr>
        <w:t>•</w:t>
      </w:r>
      <w:r>
        <w:rPr>
          <w:rFonts w:ascii="Times New Roman;sans-serif" w:hAnsi="Times New Roman;sans-serif"/>
          <w:b w:val="false"/>
          <w:i/>
          <w:color w:val="000000"/>
          <w:sz w:val="20"/>
        </w:rPr>
        <w:t>estimates of a range of 2023 spending on capital expenditures;</w:t>
      </w:r>
    </w:p>
    <w:p>
      <w:pPr>
        <w:pStyle w:val="TextBody"/>
        <w:spacing w:before="0" w:after="0"/>
        <w:rPr/>
      </w:pPr>
      <w:r>
        <w:rPr/>
      </w:r>
    </w:p>
    <w:p>
      <w:pPr>
        <w:pStyle w:val="TextBody"/>
        <w:spacing w:lineRule="auto" w:line="288" w:before="0" w:after="0"/>
        <w:ind w:left="0" w:right="0" w:hanging="720"/>
        <w:rPr/>
      </w:pPr>
      <w:r>
        <w:rPr>
          <w:color w:val="000000"/>
        </w:rPr>
        <w:t>•</w:t>
      </w:r>
      <w:r>
        <w:rPr>
          <w:rFonts w:ascii="Times New Roman;sans-serif" w:hAnsi="Times New Roman;sans-serif"/>
          <w:b w:val="false"/>
          <w:i/>
          <w:color w:val="000000"/>
          <w:sz w:val="20"/>
        </w:rPr>
        <w:t>competition in our markets;</w:t>
      </w:r>
    </w:p>
    <w:p>
      <w:pPr>
        <w:pStyle w:val="TextBody"/>
        <w:spacing w:before="0" w:after="0"/>
        <w:rPr/>
      </w:pPr>
      <w:r>
        <w:rPr/>
      </w:r>
    </w:p>
    <w:p>
      <w:pPr>
        <w:pStyle w:val="TextBody"/>
        <w:spacing w:lineRule="auto" w:line="288" w:before="0" w:after="0"/>
        <w:ind w:left="0" w:right="0" w:hanging="720"/>
        <w:rPr/>
      </w:pPr>
      <w:r>
        <w:rPr>
          <w:color w:val="000000"/>
        </w:rPr>
        <w:t>•</w:t>
      </w:r>
      <w:r>
        <w:rPr>
          <w:rFonts w:ascii="Times New Roman;sans-serif" w:hAnsi="Times New Roman;sans-serif"/>
          <w:b w:val="false"/>
          <w:i/>
          <w:color w:val="000000"/>
          <w:sz w:val="20"/>
        </w:rPr>
        <w:t>statements regarding expected outcomes and liabilities in litigation;</w:t>
      </w:r>
    </w:p>
    <w:p>
      <w:pPr>
        <w:pStyle w:val="TextBody"/>
        <w:spacing w:before="0" w:after="0"/>
        <w:rPr/>
      </w:pPr>
      <w:r>
        <w:rPr/>
      </w:r>
    </w:p>
    <w:p>
      <w:pPr>
        <w:pStyle w:val="TextBody"/>
        <w:spacing w:lineRule="auto" w:line="276" w:before="0" w:after="0"/>
        <w:ind w:left="0" w:right="0" w:hanging="720"/>
        <w:rPr/>
      </w:pPr>
      <w:r>
        <w:rPr>
          <w:color w:val="000000"/>
        </w:rPr>
        <w:t>•</w:t>
      </w:r>
      <w:r>
        <w:rPr>
          <w:rFonts w:ascii="Times New Roman;sans-serif" w:hAnsi="Times New Roman;sans-serif"/>
          <w:b w:val="false"/>
          <w:i/>
          <w:color w:val="000000"/>
          <w:sz w:val="20"/>
        </w:rPr>
        <w:t xml:space="preserve">our intentions regarding share repurchases and the sufficiency of our existing cash, cash equivalents and investments to meet our cash needs, including our debt servicing requirements, for at least the next 12 months; </w:t>
      </w:r>
    </w:p>
    <w:p>
      <w:pPr>
        <w:pStyle w:val="TextBody"/>
        <w:spacing w:before="0" w:after="0"/>
        <w:rPr/>
      </w:pPr>
      <w:r>
        <w:rPr/>
      </w:r>
    </w:p>
    <w:p>
      <w:pPr>
        <w:pStyle w:val="TextBody"/>
        <w:spacing w:lineRule="auto" w:line="288" w:before="0" w:after="0"/>
        <w:ind w:left="0" w:right="0" w:hanging="720"/>
        <w:rPr/>
      </w:pPr>
      <w:r>
        <w:rPr>
          <w:color w:val="000000"/>
        </w:rPr>
        <w:t>•</w:t>
      </w:r>
      <w:r>
        <w:rPr>
          <w:rFonts w:ascii="Times New Roman;sans-serif" w:hAnsi="Times New Roman;sans-serif"/>
          <w:b w:val="false"/>
          <w:i/>
          <w:color w:val="000000"/>
          <w:sz w:val="20"/>
        </w:rPr>
        <w:t>other statements regarding our future operations, financial condition and prospects and business strategies; and</w:t>
      </w:r>
    </w:p>
    <w:p>
      <w:pPr>
        <w:pStyle w:val="TextBody"/>
        <w:spacing w:before="0" w:after="0"/>
        <w:rPr/>
      </w:pPr>
      <w:r>
        <w:rPr/>
      </w:r>
    </w:p>
    <w:p>
      <w:pPr>
        <w:pStyle w:val="TextBody"/>
        <w:spacing w:lineRule="auto" w:line="288" w:before="0" w:after="0"/>
        <w:ind w:left="0" w:right="0" w:hanging="720"/>
        <w:rPr/>
      </w:pPr>
      <w:r>
        <w:rPr>
          <w:color w:val="000000"/>
        </w:rPr>
        <w:t>•</w:t>
      </w:r>
      <w:r>
        <w:rPr>
          <w:rFonts w:ascii="Times New Roman;sans-serif" w:hAnsi="Times New Roman;sans-serif"/>
          <w:b w:val="false"/>
          <w:i/>
          <w:color w:val="000000"/>
          <w:sz w:val="20"/>
        </w:rPr>
        <w:t xml:space="preserve">adoption and impact of new accounting standards.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 Part II, Item 1A of this Quarterly Report on Form 10-Q and those discussed in other documents we file with the SEC. We undertake no obligation, and specifically disclaim any obligation, to revise or publicly release the results of any revision to these and any other forward-looking statements. Given these risks and uncertainties, readers are cautioned not to place undue reliance on such forward-looking statements.</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Business Overview</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Fortinet is a global leader in cybersecurity and secure networking solutions. Our mission is to secure people, devices and data everywhere. We deliver cybersecurity everywhere our customers need it with an integrated portfolio of over 50 enterprise-grade products. As of March 31, 2023, over half a million customers, including enterprises, communication service providers and security service providers, government organizations and small and medium-sized businesses, trusted our solutions.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product offerings are designed to converge networking and security into a single solution, consolidate point products into an integrated platform and deliver operational-technology (“OT”) aware features to secure OT environments. This allows customers to realize automated protection, detection and response along with consolidated visibility across both Fortinet-developed solutions and a broad ecosystem of over 500 third-party solutions and technologies. As a U.S.-based company, over 80% of Fortinet’s research and development is based in North America, with a global footprint of support and centers of excellence across time zones from North America to Europe to Asia. We held 1,285 U.S. and foreign-issued patents as of March 31, 2023, a testament to our dedication to organic innovation that delivers leading cybersecurity and networking solutions.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a cybersecurity leader, Fortinet believes it is our duty to help make the world a safer and more sustainable place. That is why, beyond our commitment to cybersecurity and networking technology innovation, we strive to:</w:t>
      </w:r>
    </w:p>
    <w:p>
      <w:pPr>
        <w:pStyle w:val="TextBody"/>
        <w:spacing w:before="0" w:after="0"/>
        <w:ind w:left="0" w:right="0" w:firstLine="72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Reduce the environmental footprint of our technology with a commitment to ensure each generation of our products consumes less energy;</w:t>
      </w:r>
    </w:p>
    <w:p>
      <w:pPr>
        <w:pStyle w:val="TextBody"/>
        <w:spacing w:before="0" w:after="0"/>
        <w:ind w:left="0" w:right="0" w:hanging="36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Eliminate the global cyber skills shortage by maintaining one of the largest and broadest training programs in the industry; and</w:t>
      </w:r>
    </w:p>
    <w:p>
      <w:pPr>
        <w:pStyle w:val="TextBody"/>
        <w:spacing w:before="0" w:after="0"/>
        <w:ind w:left="0" w:right="0" w:hanging="36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Foster cooperation against cybercrime through partnerships that help shape the future of cyber threat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mitigation and by sharing actionable threat intelligence between public and private organizations.</w:t>
      </w:r>
    </w:p>
    <w:p>
      <w:pPr>
        <w:pStyle w:val="TextBody"/>
        <w:spacing w:before="0" w:after="0"/>
        <w:ind w:left="0" w:right="0" w:firstLine="72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focus areas of our business consist of:</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Secure Networking</w:t>
      </w:r>
    </w:p>
    <w:p>
      <w:pPr>
        <w:pStyle w:val="TextBody"/>
        <w:spacing w:before="0" w:after="0"/>
        <w:ind w:left="0" w:right="0" w:hanging="36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Cybersecurity Platform</w:t>
      </w:r>
    </w:p>
    <w:p>
      <w:pPr>
        <w:pStyle w:val="TextBody"/>
        <w:spacing w:before="0" w:after="0"/>
        <w:ind w:left="0" w:right="0" w:hanging="36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OT Security</w:t>
      </w:r>
    </w:p>
    <w:p>
      <w:pPr>
        <w:pStyle w:val="TextBody"/>
        <w:spacing w:before="0" w:after="0"/>
        <w:rPr/>
      </w:pPr>
      <w:r>
        <w:rPr/>
      </w:r>
    </w:p>
    <w:p>
      <w:pPr>
        <w:pStyle w:val="TextBody"/>
        <w:spacing w:lineRule="auto" w:line="288" w:before="0" w:after="0"/>
        <w:rPr/>
      </w:pPr>
      <w:r>
        <w:rPr>
          <w:rFonts w:ascii="Times New Roman;sans-serif" w:hAnsi="Times New Roman;sans-serif"/>
          <w:b/>
          <w:i/>
          <w:color w:val="000000"/>
          <w:sz w:val="20"/>
        </w:rPr>
        <w:t>Secure Networking</w:t>
      </w:r>
      <w:r>
        <w:rPr>
          <w:color w:val="000000"/>
        </w:rPr>
        <w:t>—</w:t>
      </w:r>
      <w:r>
        <w:rPr>
          <w:rFonts w:ascii="Times New Roman;sans-serif" w:hAnsi="Times New Roman;sans-serif"/>
          <w:b w:val="false"/>
          <w:color w:val="000000"/>
          <w:sz w:val="20"/>
        </w:rPr>
        <w:t>Our Secure Networking solutions enable the convergence of networking and security by integrating multiple markets and use cases into a single operating system: the Fortinet Operating System (“FortiOS”). It can be delivered to customers through an application-specific integrated circuit (“ASIC”) accelerated hardware appliance, virtual machine, as-a-Service, cloud native and container. When delivered via our appliances, functionality is accelerated with the use of our proprietary ASIC technology, which consists of three processors. First, a seventh generation network processor, FortiNP7, accelerates the processing of firewall traffic and offloads this function from the central processing unit (“CPU”). Second, a ninth generation content processor, FortiCP9, helps the CPU with deep packet inspection functions such as intrusion prevention and antivirus. Multiple CPUs, NP7s and CP9s can be placed in larger firewalls to provide more scale. Third, the CPU, network processor and content processor functions are all brought together in a single ASIC, our fifth generation Security Processor, FortiSP5. These proprietary ASICs, along with off the shelf CPU and ASICs, allow our systems to scale from the smallest branch to a hyperscale cloud and run multiple applications at higher performance and lower power consumption.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markets and use cases are supported by the FortiOS converged operating system:</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Network Firewall, including Hybrid Mesh Firewall</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Software-Defined Wide Area Network (“SD-WAN”)</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Local Area Network/Wireless Local Area Network (Wi-Fi and Switch)</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Secure Access Service Edge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Universal Zero Trust Network Access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Encryption Applications (SSL Inspection, Virtual Private Network and IPsec Connectivity)</w:t>
      </w:r>
    </w:p>
    <w:p>
      <w:pPr>
        <w:pStyle w:val="TextBody"/>
        <w:spacing w:before="0" w:after="0"/>
        <w:rPr/>
      </w:pPr>
      <w:r>
        <w:rPr/>
      </w:r>
    </w:p>
    <w:p>
      <w:pPr>
        <w:pStyle w:val="TextBody"/>
        <w:spacing w:lineRule="auto" w:line="288" w:before="0" w:after="0"/>
        <w:rPr/>
      </w:pPr>
      <w:r>
        <w:rPr>
          <w:rFonts w:ascii="Times New Roman;sans-serif" w:hAnsi="Times New Roman;sans-serif"/>
          <w:b/>
          <w:i/>
          <w:color w:val="000000"/>
          <w:sz w:val="20"/>
        </w:rPr>
        <w:t>Cybersecurity Platform</w:t>
      </w:r>
      <w:r>
        <w:rPr>
          <w:color w:val="000000"/>
        </w:rPr>
        <w:t>—</w:t>
      </w:r>
      <w:r>
        <w:rPr>
          <w:rFonts w:ascii="Times New Roman;sans-serif" w:hAnsi="Times New Roman;sans-serif"/>
          <w:b w:val="false"/>
          <w:color w:val="000000"/>
          <w:sz w:val="20"/>
        </w:rPr>
        <w:t>Many enterprises are looking to consolidate point products into a cybersecurity platform to improve the efficiency and efficacy of their security. This platform approach is also known as a Cybersecurity Mesh Security Architecture or a Security Fabric. Fortinet builds its security products with automation and integration in mind to support customers in building a cybersecurity platform. The major cybersecurity markets of our business include: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Endpoint Protection Platforms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Next-Generation Firewall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Secure Web Gateway</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Identity and Access Management</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Cloud Access Security Broker</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Security Information and Event Management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Security Orchestration and Automated Response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Secure Email Gateway</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Web Application Firewalls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Network Detection and Response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External Attack Surface Monitoring</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Intrusion Prevention Systems (“IPS”)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Network Access and Control</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To support our broad portfolio of cybersecurity products, we deliver the following Threat Intelligence Services: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Content Security, including Antivirus, In-Line Sandboxing and Credential Stuffing</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Web Security, including URL Filtering, DNS Security and IP Reputation</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Device Security, including IPS, OT Security, Internet of Things (“IoT”) Security and Botnet protection</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Application Security, including Anti-Spam and Web Application protection</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Security Operations Center Services, including Outbreak Protection, Attack Service Monitoring, Threat Hunting, Indicators of Compromise, MITRE ATT&amp;CK and Incident Response</w:t>
      </w:r>
    </w:p>
    <w:p>
      <w:pPr>
        <w:pStyle w:val="TextBody"/>
        <w:spacing w:before="0" w:after="0"/>
        <w:rPr/>
      </w:pPr>
      <w:r>
        <w:rPr/>
      </w:r>
    </w:p>
    <w:p>
      <w:pPr>
        <w:pStyle w:val="TextBody"/>
        <w:spacing w:lineRule="auto" w:line="288" w:before="0" w:after="0"/>
        <w:rPr/>
      </w:pPr>
      <w:r>
        <w:rPr>
          <w:rFonts w:ascii="Times New Roman;sans-serif" w:hAnsi="Times New Roman;sans-serif"/>
          <w:b/>
          <w:i/>
          <w:color w:val="000000"/>
          <w:sz w:val="20"/>
        </w:rPr>
        <w:t>Operational Technology Security</w:t>
      </w:r>
      <w:r>
        <w:rPr>
          <w:color w:val="000000"/>
        </w:rPr>
        <w:t>—</w:t>
      </w:r>
      <w:r>
        <w:rPr>
          <w:rFonts w:ascii="Times New Roman;sans-serif" w:hAnsi="Times New Roman;sans-serif"/>
          <w:b w:val="false"/>
          <w:color w:val="000000"/>
          <w:sz w:val="20"/>
        </w:rPr>
        <w:t>OT uses hardware and software to detect or cause a change through the direct monitoring and/or control of industrial equipment, assets, processes and events. The security of such environments is sometimes described as Cyber-Physical Systems. The increased connectivity of OT environments and the need for supply chain access has increased the risk across OT industries such as manufacturing, energy, utilities, medical, transport, and critical infrastructure. While the basic concepts of Secure Networking and Cybersecurity Platform apply, OT systems are very different from a traditional information technology system. To secure OT environments, Fortinet delivers the following products and services: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Secure Network and Connectivity</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Secure Remote Access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OT-Specific InfoSec Tools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OT-Specific Threat Intelligence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Integration with third-party OT solutions</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Financial Highlights</w:t>
      </w:r>
    </w:p>
    <w:p>
      <w:pPr>
        <w:pStyle w:val="TextBody"/>
        <w:spacing w:before="0" w:after="0"/>
        <w:ind w:left="0" w:right="0" w:firstLine="72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rPr>
        <w:t>Total revenue was $1.26 billion during the three months ended March 31, 2023, an increase of 32%, compared to $954.8 million in the same period last year. Product revenue was $500.7 million during the three months ended March 31, 2023, an increase of 35%, compared to $371.0 million in the same period last year. Service revenue was $761.6 million during the three months ended March 31, 2023, an increase of 30%, compared to $583.8 million in the same period last year.</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rPr>
        <w:t>Total gross profit was $954.5 million during the three months ended March 31, 2023, an increase of 36%, compared to $701.0 million in the same period last year.</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rPr>
        <w:t xml:space="preserve">Operating income was $273.5 million during the three months ended March 31, 2023, an increase of 81% compared to $151.0 million in the same period last year. </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rPr>
        <w:t>Cash, cash equivalents, short-term and long-term investments and marketable equity securities were $2.89 billion as of March 31, 2023.</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Deferred revenue was $4.88 billion as of March 31, 2023, an increase of $240.6 million, or 5%, compared to $4.64 billion as of December 31, 2022 and an increase of $1.22 billion, or 33%, compared to $3.66 billion as of March 31, 2022. Deferred revenue was $3.66 billion as of March 31, 2022, an increase of $205.0 million, or 6%, compared to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$3.45 billion as of December 31, 2021 and an increase of $912.3 million, or 33%, compared to $2.75 billion as of March 31, 2021.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Short-term deferred revenue was $2.46 billion as of March 31, 2023, an increase of $114.0 million, or 5%, compared to $2.35 billion as of December 31, 2022 and an increase of $570.0 million, or 30%, compared to $1.89 billion as of March 31, 2022. Short-term deferred revenue was $1.89 billion as of March 31, 2022, as increase of $115.9 million, or 7%, compared to $1.78 billion as of December 31, 2021 and an increase of $428.2 million, or 29%, compared to $1.47 billion as of March 31, 2021. </w:t>
      </w:r>
    </w:p>
    <w:p>
      <w:pPr>
        <w:pStyle w:val="TextBody"/>
        <w:spacing w:before="0" w:after="0"/>
        <w:ind w:left="0" w:right="0" w:firstLine="72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rPr>
        <w:t>We generated cash flows from operating activities of $677.5 million during the three months ended March 31, 2023, an increase of $281.4 million, or 71%, compared to the same period last year.</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a geographic basis, revenue continues to be diversified, which remains a key strength of our business. During the three months ended March 31, 2023, the Americas region, the Europe, Middle East and Africa (“EMEA”) region and the Asia Pacific (“APAC”) region contributed 41%, 38% and 21% of our total revenue, respectively, and increased 37%, 38% and 15% compared to the same period last year, respectively.</w:t>
      </w:r>
    </w:p>
    <w:p>
      <w:pPr>
        <w:pStyle w:val="TextBody"/>
        <w:spacing w:before="0" w:after="0"/>
        <w:ind w:left="0" w:right="0" w:firstLine="720"/>
        <w:rPr/>
      </w:pPr>
      <w:r>
        <w:rPr/>
      </w:r>
    </w:p>
    <w:p>
      <w:pPr>
        <w:pStyle w:val="TextBody"/>
        <w:spacing w:lineRule="auto" w:line="268" w:before="0" w:after="0"/>
        <w:ind w:left="0" w:right="0" w:firstLine="720"/>
        <w:rPr/>
      </w:pPr>
      <w:r>
        <w:rPr>
          <w:rFonts w:ascii="Times New Roman;sans-serif" w:hAnsi="Times New Roman;sans-serif"/>
          <w:b w:val="false"/>
          <w:color w:val="000000"/>
          <w:sz w:val="20"/>
          <w:highlight w:val="white"/>
        </w:rPr>
        <w:t>Our revenue growth was driven by strong product revenue performance. Product revenue g</w:t>
      </w:r>
      <w:r>
        <w:rPr>
          <w:rFonts w:ascii="Times New Roman;sans-serif" w:hAnsi="Times New Roman;sans-serif"/>
          <w:b w:val="false"/>
          <w:color w:val="000000"/>
          <w:sz w:val="20"/>
        </w:rPr>
        <w:t xml:space="preserve">rew 35% during the three months ended March 31, 2023, compared to the same period last year. Product revenue growth was consistent with an elevated cyber threat landscape, the convergence of security and networking and included the benefit of certain pricing actions, improving supply chain dynamics and changes in our backlog balance. </w:t>
      </w:r>
      <w:r>
        <w:rPr>
          <w:rFonts w:ascii="Times New Roman;sans-serif" w:hAnsi="Times New Roman;sans-serif"/>
          <w:b w:val="false"/>
          <w:color w:val="000000"/>
          <w:sz w:val="20"/>
          <w:highlight w:val="white"/>
        </w:rPr>
        <w:t xml:space="preserve">The product revenue growth was primarily due to strong growth across many of our Enhanced Platform Technology products, including our secure access products. In addition, our product revenue growth was driven by a strong demand for the wide range of operating system capabilities embedded in our Core Platform products, including Secure SD-WAN and OT solutions. </w:t>
      </w:r>
      <w:r>
        <w:rPr>
          <w:rFonts w:ascii="Times New Roman;sans-serif" w:hAnsi="Times New Roman;sans-serif"/>
          <w:b w:val="false"/>
          <w:color w:val="000000"/>
          <w:sz w:val="20"/>
        </w:rPr>
        <w:t>Service revenue growth of 30% during the three months ended March 31, 2023, compared to the same period last year, was primarily driven by the strength of our FortiGuard and other security subscription revenue, which grew 35%.</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billings were diversified on a geographic basis. During the three months ended March 31, 2023, approximately 50% of our billings in the aggregate were from over 100 countries that each individually contributed less than 3% of our billings.</w:t>
      </w:r>
    </w:p>
    <w:p>
      <w:pPr>
        <w:pStyle w:val="TextBody"/>
        <w:spacing w:before="0" w:after="0"/>
        <w:ind w:left="0" w:right="0" w:firstLine="720"/>
        <w:rPr/>
      </w:pPr>
      <w:r>
        <w:rPr/>
      </w:r>
    </w:p>
    <w:p>
      <w:pPr>
        <w:pStyle w:val="TextBody"/>
        <w:spacing w:lineRule="auto" w:line="268" w:before="0" w:after="0"/>
        <w:ind w:left="0" w:right="0" w:firstLine="720"/>
        <w:rPr/>
      </w:pPr>
      <w:r>
        <w:rPr>
          <w:rFonts w:ascii="Times New Roman;sans-serif" w:hAnsi="Times New Roman;sans-serif"/>
          <w:b w:val="false"/>
          <w:color w:val="000000"/>
          <w:sz w:val="20"/>
        </w:rPr>
        <w:t xml:space="preserve">Operating expenses as a percentage of revenue benefited from the favorable impact of foreign currency fluctuations and decreased 3.7 percentage points during the three months ended March 31, 2023, compared to the same period last year. Headcount increased to </w:t>
      </w:r>
      <w:r>
        <w:rPr>
          <w:rFonts w:ascii="Times New Roman;sans-serif" w:hAnsi="Times New Roman;sans-serif"/>
          <w:b w:val="false"/>
          <w:color w:val="000000"/>
          <w:sz w:val="20"/>
          <w:highlight w:val="white"/>
        </w:rPr>
        <w:t>13,202 e</w:t>
      </w:r>
      <w:r>
        <w:rPr>
          <w:rFonts w:ascii="Times New Roman;sans-serif" w:hAnsi="Times New Roman;sans-serif"/>
          <w:b w:val="false"/>
          <w:color w:val="000000"/>
          <w:sz w:val="20"/>
        </w:rPr>
        <w:t xml:space="preserve">mployees and contractors as of March 31, 2023, a 5% increase compared to </w:t>
      </w:r>
      <w:r>
        <w:rPr>
          <w:rFonts w:ascii="Times New Roman;sans-serif" w:hAnsi="Times New Roman;sans-serif"/>
          <w:b w:val="false"/>
          <w:color w:val="000000"/>
          <w:sz w:val="20"/>
          <w:highlight w:val="white"/>
        </w:rPr>
        <w:t>12,595</w:t>
      </w:r>
      <w:r>
        <w:rPr>
          <w:color w:val="000000"/>
        </w:rPr>
        <w:t xml:space="preserve"> </w:t>
      </w:r>
      <w:r>
        <w:rPr>
          <w:rFonts w:ascii="Times New Roman;sans-serif" w:hAnsi="Times New Roman;sans-serif"/>
          <w:b w:val="false"/>
          <w:color w:val="000000"/>
          <w:sz w:val="20"/>
        </w:rPr>
        <w:t xml:space="preserve">as of December 31, 2022. </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Impact of Macroeconomic Developments and COVID-19 Pandemic Update</w:t>
      </w:r>
    </w:p>
    <w:p>
      <w:pPr>
        <w:pStyle w:val="TextBody"/>
        <w:spacing w:before="0" w:after="0"/>
        <w:rPr/>
      </w:pPr>
      <w:r>
        <w:rPr/>
      </w:r>
    </w:p>
    <w:p>
      <w:pPr>
        <w:pStyle w:val="TextBody"/>
        <w:spacing w:lineRule="auto" w:line="268" w:before="0" w:after="0"/>
        <w:ind w:left="0" w:right="0" w:firstLine="450"/>
        <w:rPr>
          <w:rFonts w:ascii="Times New Roman;sans-serif" w:hAnsi="Times New Roman;sans-serif"/>
          <w:b w:val="false"/>
          <w:color w:val="212529"/>
          <w:sz w:val="20"/>
        </w:rPr>
      </w:pPr>
      <w:r>
        <w:rPr>
          <w:rFonts w:ascii="Times New Roman;sans-serif" w:hAnsi="Times New Roman;sans-serif"/>
          <w:b w:val="false"/>
          <w:color w:val="212529"/>
          <w:sz w:val="20"/>
        </w:rPr>
        <w:t xml:space="preserve">Our overall performance depends in part on worldwide economic and geopolitical conditions and their impact on customer behavior. Worsening economic conditions, including inflation, higher interest rates, slower growth, any recession, fluctuations in foreign exchange rates, instability in the global banking industry, and other changes in economic conditions, may result in decreased sales productivity and growth and adversely affect our results of operations and financial performance. </w:t>
      </w:r>
    </w:p>
    <w:p>
      <w:pPr>
        <w:pStyle w:val="TextBody"/>
        <w:spacing w:before="0" w:after="0"/>
        <w:ind w:left="0" w:right="0" w:firstLine="450"/>
        <w:rPr/>
      </w:pPr>
      <w:r>
        <w:rPr/>
      </w:r>
    </w:p>
    <w:p>
      <w:pPr>
        <w:pStyle w:val="TextBody"/>
        <w:spacing w:lineRule="auto" w:line="268" w:before="0" w:after="0"/>
        <w:ind w:left="0" w:right="0" w:firstLine="450"/>
        <w:rPr>
          <w:rFonts w:ascii="Times New Roman;sans-serif" w:hAnsi="Times New Roman;sans-serif"/>
          <w:b w:val="false"/>
          <w:color w:val="212529"/>
          <w:sz w:val="20"/>
        </w:rPr>
      </w:pPr>
      <w:r>
        <w:rPr>
          <w:rFonts w:ascii="Times New Roman;sans-serif" w:hAnsi="Times New Roman;sans-serif"/>
          <w:b w:val="false"/>
          <w:color w:val="212529"/>
          <w:sz w:val="20"/>
        </w:rPr>
        <w:t>We continue to monitor and respond to developments relating to the COVID-19 pandemic. We have seen certain impacts on our business, results of operations, financial condition, cash flows, liquidity and capital and financial resources such as: supply chain challenges, including chip and other component shortages; increased commitments with certain suppliers; increased costs for certain chips, other components and shipping; and insufficient inventory to promptly meet all demand for all products.</w:t>
      </w:r>
    </w:p>
    <w:p>
      <w:pPr>
        <w:pStyle w:val="TextBody"/>
        <w:spacing w:before="0" w:after="0"/>
        <w:ind w:left="0" w:right="0" w:firstLine="450"/>
        <w:rPr/>
      </w:pPr>
      <w:r>
        <w:rPr/>
      </w:r>
    </w:p>
    <w:p>
      <w:pPr>
        <w:pStyle w:val="TextBody"/>
        <w:spacing w:lineRule="auto" w:line="268" w:before="0" w:after="0"/>
        <w:ind w:left="0" w:right="0" w:firstLine="450"/>
        <w:rPr>
          <w:rFonts w:ascii="Times New Roman;sans-serif" w:hAnsi="Times New Roman;sans-serif"/>
          <w:b w:val="false"/>
          <w:color w:val="212529"/>
          <w:sz w:val="20"/>
        </w:rPr>
      </w:pPr>
      <w:r>
        <w:rPr>
          <w:rFonts w:ascii="Times New Roman;sans-serif" w:hAnsi="Times New Roman;sans-serif"/>
          <w:b w:val="false"/>
          <w:color w:val="212529"/>
          <w:sz w:val="20"/>
        </w:rPr>
        <w:t>In response to the COVID-19 pandemic, we undertook a number of actions to protect our employees, including restricting travel and directing many of our employees to work from home. In certain geographies, we have transitioned back to an in-person working mode, allowing increasing numbers of employees to work from our offices with reasonable precautions and, in all cases, subject to abiding by local legal restrictions. As certain country’s restrictions have eased, during the first quarter of 2023 we saw an increase in expenses related to travel and marketing events as compared to the same period last year.</w:t>
      </w:r>
    </w:p>
    <w:p>
      <w:pPr>
        <w:pStyle w:val="TextBody"/>
        <w:spacing w:before="0" w:after="0"/>
        <w:ind w:left="0" w:right="0" w:firstLine="450"/>
        <w:rPr/>
      </w:pPr>
      <w:r>
        <w:rPr/>
      </w:r>
    </w:p>
    <w:p>
      <w:pPr>
        <w:pStyle w:val="TextBody"/>
        <w:spacing w:lineRule="auto" w:line="268" w:before="0" w:after="0"/>
        <w:ind w:left="0" w:right="0" w:firstLine="450"/>
        <w:rPr/>
      </w:pPr>
      <w:r>
        <w:rPr>
          <w:rFonts w:ascii="Times New Roman;sans-serif" w:hAnsi="Times New Roman;sans-serif"/>
          <w:b w:val="false"/>
          <w:color w:val="212529"/>
          <w:sz w:val="20"/>
        </w:rPr>
        <w:t xml:space="preserve">Our days sales outstanding increased to 78 days in the first quarter of 2023, compared to 75 days in the same period last year, primarily due to the sales linearity. The accounts receivable allowance for credit losses was </w:t>
      </w:r>
      <w:r>
        <w:rPr>
          <w:rFonts w:ascii="Times New Roman;sans-serif" w:hAnsi="Times New Roman;sans-serif"/>
          <w:b w:val="false"/>
          <w:color w:val="000000"/>
          <w:sz w:val="20"/>
        </w:rPr>
        <w:t>$6.7 million</w:t>
      </w:r>
      <w:r>
        <w:rPr>
          <w:color w:val="212529"/>
        </w:rPr>
        <w:t xml:space="preserve"> </w:t>
      </w:r>
      <w:r>
        <w:rPr>
          <w:rFonts w:ascii="Times New Roman;sans-serif" w:hAnsi="Times New Roman;sans-serif"/>
          <w:b w:val="false"/>
          <w:color w:val="212529"/>
          <w:sz w:val="20"/>
        </w:rPr>
        <w:t xml:space="preserve">as of March 31, 2023, an increase of $3.1 million compared to </w:t>
      </w:r>
      <w:r>
        <w:rPr>
          <w:rFonts w:ascii="Times New Roman;sans-serif" w:hAnsi="Times New Roman;sans-serif"/>
          <w:b w:val="false"/>
          <w:color w:val="000000"/>
          <w:sz w:val="20"/>
        </w:rPr>
        <w:t>$3.6 million</w:t>
      </w:r>
      <w:r>
        <w:rPr>
          <w:color w:val="212529"/>
        </w:rPr>
        <w:t xml:space="preserve"> </w:t>
      </w:r>
      <w:r>
        <w:rPr>
          <w:rFonts w:ascii="Times New Roman;sans-serif" w:hAnsi="Times New Roman;sans-serif"/>
          <w:b w:val="false"/>
          <w:color w:val="212529"/>
          <w:sz w:val="20"/>
        </w:rPr>
        <w:t>as of December 31, 2022, primarily due to an increase in past due invoices over 60 and 90 days.</w:t>
      </w:r>
    </w:p>
    <w:p>
      <w:pPr>
        <w:pStyle w:val="TextBody"/>
        <w:spacing w:before="0" w:after="0"/>
        <w:ind w:left="0" w:right="0" w:firstLine="450"/>
        <w:rPr/>
      </w:pPr>
      <w:r>
        <w:rPr/>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68" w:before="0" w:after="0"/>
        <w:ind w:left="0" w:right="0" w:firstLine="450"/>
        <w:rPr>
          <w:rFonts w:ascii="Times New Roman;sans-serif" w:hAnsi="Times New Roman;sans-serif"/>
          <w:b w:val="false"/>
          <w:color w:val="212529"/>
          <w:sz w:val="20"/>
        </w:rPr>
      </w:pPr>
      <w:r>
        <w:rPr>
          <w:rFonts w:ascii="Times New Roman;sans-serif" w:hAnsi="Times New Roman;sans-serif"/>
          <w:b w:val="false"/>
          <w:color w:val="212529"/>
          <w:sz w:val="20"/>
        </w:rPr>
        <w:t>Worsening economic conditions and impacts from the COVID-19 pandemic may have a material negative impact on our results in future periods and may negatively impact our billings, revenue and costs, and may decrease growth and profitability. The extent of the impact of economic conditions and the COVID-19 pandemic on our operational and financial performance will depend on ongoing developments, including those discussed above and others identified in Part II, Item 1A “Risk Factors” in this Form 10-Q. Given the dynamic nature of these circumstances, the full impact of worsening economic conditions and the COVID-19 pandemic on our business and operations, results of operations, financial condition, cash flows, liquidity and capital and financial resources cannot be reasonably estimated at this time.</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Business Model</w:t>
      </w:r>
    </w:p>
    <w:p>
      <w:pPr>
        <w:pStyle w:val="TextBody"/>
        <w:spacing w:before="0" w:after="0"/>
        <w:ind w:left="0" w:right="0" w:firstLine="720"/>
        <w:rPr/>
      </w:pPr>
      <w:r>
        <w:rPr/>
      </w:r>
    </w:p>
    <w:p>
      <w:pPr>
        <w:pStyle w:val="TextBody"/>
        <w:spacing w:lineRule="auto" w:line="25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typically sell our security solutions to distributors that sell to networking security focused resellers and to certain service providers and managed security service providers (“MSSPs”), who, in turn, sell to end-customers or use our products and services to provide hosted solutions to other enterprises. At times, we also sell directly to certain large enterprise customers, large service providers and major systems integrators. Our end-customers are located in over 100 countries and include small, medium and large enterprises and government organizations across a wide range of industries, including financial services, government, healthcare, manufacturing, retail, technology and telecommunications. An end-customer deployment may involve as few as one or as many as thousands of Core Platform products as well as Enhanced Platform Technology products, depending on the end-customer’s size and security requirements. </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customers purchase our hardware products and software licenses, as well as our FortiGuard and other security subscription and FortiCare technical support services. We generally invoice at the time of our sale for the total price of the products and services. Standard payment terms are generally no more than 60 days, though we may offer extended payment terms to certain distributors or related to certain transactions.</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offer our products hosted in our own data centers and through co-locations and major cloud providers, including Amazon Web Services, Microsoft Azure and Google Cloud. We have also recognized revenue from customers who deploy our products in a bring-your-own-license (“BYOL”) arrangements at cloud providers or at private clouds. In a BYOL arrangement, a customer purchases a software license through our channel partners and deploys the software in a cloud provider’s environment, in third-party clouds or in their private cloud. </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Key Metrics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monitor several key metrics, including the key financial metrics set forth below, to evaluate growth trends, establish budgets, measure the effectiveness of our sales and marketing efforts, and assess operational efficiencies. The following table summarizes revenue, deferred revenue, billings (non-GAAP), net cash provided by operating activities, and free cash flow (non-GAAP). We discuss revenue below under “Results of Operations,” and we discuss net cash provided by operating activities below under “—Liquidity and Capital Resources.” Deferred revenue, billings (non-GAAP), and free cash flow (non-GAAP) are discussed immediately below the following table:</w:t>
      </w:r>
    </w:p>
    <w:tbl>
      <w:tblPr>
        <w:tblW w:w="6415" w:type="dxa"/>
        <w:jc w:val="center"/>
        <w:tblInd w:w="0" w:type="dxa"/>
        <w:tblCellMar>
          <w:top w:w="28" w:type="dxa"/>
          <w:left w:w="28" w:type="dxa"/>
          <w:bottom w:w="28" w:type="dxa"/>
          <w:right w:w="28" w:type="dxa"/>
        </w:tblCellMar>
      </w:tblPr>
      <w:tblGrid>
        <w:gridCol w:w="1252"/>
        <w:gridCol w:w="1104"/>
        <w:gridCol w:w="1108"/>
        <w:gridCol w:w="250"/>
        <w:gridCol w:w="911"/>
        <w:gridCol w:w="129"/>
        <w:gridCol w:w="109"/>
        <w:gridCol w:w="109"/>
        <w:gridCol w:w="109"/>
        <w:gridCol w:w="248"/>
        <w:gridCol w:w="905"/>
        <w:gridCol w:w="181"/>
      </w:tblGrid>
      <w:tr>
        <w:trPr/>
        <w:tc>
          <w:tcPr>
            <w:tcW w:w="1252"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51"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Or As Of</w:t>
            </w:r>
          </w:p>
        </w:tc>
      </w:tr>
      <w:tr>
        <w:trPr/>
        <w:tc>
          <w:tcPr>
            <w:tcW w:w="34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2022</w:t>
            </w:r>
          </w:p>
        </w:tc>
      </w:tr>
      <w:tr>
        <w:trPr/>
        <w:tc>
          <w:tcPr>
            <w:tcW w:w="34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1"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c>
      </w:tr>
      <w:tr>
        <w:trPr/>
        <w:tc>
          <w:tcPr>
            <w:tcW w:w="3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1,262.3 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954.8 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4,880.9 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3,657.9 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Billings (non-GAAP)</w:t>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1,502.9 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1,159.8 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677.5 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 (non-GAAP)</w:t>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647.2 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val="false"/>
          <w:i/>
          <w:color w:val="000000"/>
          <w:sz w:val="20"/>
        </w:rPr>
        <w:t>Deferred revenue.</w:t>
      </w:r>
      <w:r>
        <w:rPr>
          <w:color w:val="000000"/>
        </w:rPr>
        <w:t xml:space="preserve"> </w:t>
      </w:r>
      <w:r>
        <w:rPr>
          <w:rFonts w:ascii="Times New Roman;sans-serif" w:hAnsi="Times New Roman;sans-serif"/>
          <w:b w:val="false"/>
          <w:color w:val="000000"/>
          <w:sz w:val="20"/>
        </w:rPr>
        <w:t>Our deferred revenue consists of amounts that have been invoiced but that have not yet been recognized as revenue. The majority of our deferred revenue balance consists of the unrecognized portion of service revenue from FortiGuard and other security subscription and FortiCare technical support service contracts, which is recognized as revenue ratably over the service term. We monitor our deferred revenue balance, short term and total deferred revenue growth and the mix of short-term and long-term deferred revenue because deferred revenue represents a significant portion of free cash flow and of revenue to be recognized in future periods. Deferred revenue was $4.88 billion as of March 31, 2023, an increase of $240.6 million, or 5%, from December 31, 2022. Short term deferred revenue was $2.46 billion as of March 31, 2023, an increase of $114.0 million, or 5%, from December 31, 2022.</w:t>
      </w:r>
    </w:p>
    <w:p>
      <w:pPr>
        <w:pStyle w:val="TextBody"/>
        <w:spacing w:before="0" w:after="0"/>
        <w:ind w:left="0" w:right="0" w:firstLine="720"/>
        <w:rPr/>
      </w:pPr>
      <w:r>
        <w:rPr/>
      </w:r>
    </w:p>
    <w:p>
      <w:pPr>
        <w:pStyle w:val="TextBody"/>
        <w:spacing w:lineRule="auto" w:line="268" w:before="0" w:after="0"/>
        <w:ind w:left="0" w:right="0" w:firstLine="720"/>
        <w:rPr/>
      </w:pPr>
      <w:r>
        <w:rPr>
          <w:rFonts w:ascii="Times New Roman;sans-serif" w:hAnsi="Times New Roman;sans-serif"/>
          <w:b w:val="false"/>
          <w:i/>
          <w:color w:val="000000"/>
          <w:sz w:val="20"/>
        </w:rPr>
        <w:t xml:space="preserve">Billings (non-GAAP). </w:t>
      </w:r>
      <w:r>
        <w:rPr>
          <w:rFonts w:ascii="Times New Roman;sans-serif" w:hAnsi="Times New Roman;sans-serif"/>
          <w:b w:val="false"/>
          <w:color w:val="000000"/>
          <w:sz w:val="20"/>
        </w:rPr>
        <w:t xml:space="preserve">We define billings as revenue recognized in accordance with GAAP plus the change in deferred revenue from the beginning to the end of the period. We consider billings to be a useful metric for management and investors because billings drive current and future revenue, which is an important indicator of the health and viability of our business.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several limitations related to the use of billings instead of GAAP revenue. First, billings include amounts that have not yet been recognized as revenue and are impacted by the term of FortiGuard security subscription and FortiCare technical support agreements. Second, we may calculate billings in a manner that is different from peer companies that report similar financial measures. Management accounts for these limitations by providing specific information regarding GAAP revenue and evaluating billings together with GAAP revenue. Total billings were $1.50 billion for the three months ended March 31, 2023, an increase of 30% compared to $1.16 billion in the same period last year. </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backlog increased during past quarters and, now that supply chain shortages are lessening to some extent, as we fulfill, ship and bill during a quarter based in part on backlog from sales in earlier quarters, this may increase our aggregate billings and revenue during any particular quarter such that any decrease in growth or negative growth of in-quarter billings and revenue may not be reflected by our aggregate billings and revenue.</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reconciliation of revenue, the most directly comparable financial measure calculated and presented in accordance with GAAP, to billings is provided below:</w:t>
      </w:r>
    </w:p>
    <w:tbl>
      <w:tblPr>
        <w:tblW w:w="5754" w:type="dxa"/>
        <w:jc w:val="center"/>
        <w:tblInd w:w="0" w:type="dxa"/>
        <w:tblCellMar>
          <w:top w:w="28" w:type="dxa"/>
          <w:left w:w="28" w:type="dxa"/>
          <w:bottom w:w="28" w:type="dxa"/>
          <w:right w:w="28" w:type="dxa"/>
        </w:tblCellMar>
      </w:tblPr>
      <w:tblGrid>
        <w:gridCol w:w="1014"/>
        <w:gridCol w:w="890"/>
        <w:gridCol w:w="900"/>
        <w:gridCol w:w="250"/>
        <w:gridCol w:w="910"/>
        <w:gridCol w:w="129"/>
        <w:gridCol w:w="109"/>
        <w:gridCol w:w="109"/>
        <w:gridCol w:w="109"/>
        <w:gridCol w:w="249"/>
        <w:gridCol w:w="904"/>
        <w:gridCol w:w="181"/>
      </w:tblGrid>
      <w:tr>
        <w:trPr/>
        <w:tc>
          <w:tcPr>
            <w:tcW w:w="1014"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r>
      <w:tr>
        <w:trPr/>
        <w:tc>
          <w:tcPr>
            <w:tcW w:w="2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2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2022</w:t>
            </w:r>
          </w:p>
        </w:tc>
      </w:tr>
      <w:tr>
        <w:trPr/>
        <w:tc>
          <w:tcPr>
            <w:tcW w:w="2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Billings:</w:t>
            </w:r>
          </w:p>
        </w:tc>
        <w:tc>
          <w:tcPr>
            <w:tcW w:w="12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1,262.3 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954.8 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Change in deferred revenue</w:t>
            </w:r>
          </w:p>
        </w:tc>
        <w:tc>
          <w:tcPr>
            <w:tcW w:w="11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4" w:type="dxa"/>
            <w:gridSpan w:val="3"/>
            <w:tcBorders/>
            <w:shd w:fill="auto" w:val="cle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billings (non-GAAP)</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1,502.9 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1,159.8 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i/>
          <w:color w:val="000000"/>
          <w:sz w:val="20"/>
        </w:rPr>
        <w:t>Free cash flow (non-GAAP).</w:t>
      </w:r>
      <w:r>
        <w:rPr>
          <w:color w:val="000000"/>
        </w:rPr>
        <w:t xml:space="preserve"> </w:t>
      </w:r>
      <w:r>
        <w:rPr>
          <w:rFonts w:ascii="Times New Roman;sans-serif" w:hAnsi="Times New Roman;sans-serif"/>
          <w:b w:val="false"/>
          <w:color w:val="000000"/>
          <w:sz w:val="20"/>
        </w:rPr>
        <w:t>We define free cash flow as net cash provided by operating activities minus purchases of property and equipment and excluding any significant non-recurring items. We believe free cash flow to be a liquidity measure that provides useful information to management and investors about the amount of cash generated by the business that, after capital expenditures, can be used for strategic opportunities, including repurchasing outstanding common stock, investing in our business, making strategic acquisitions, and strengthening the balance sheet. A limitation of using free cash flow rather than the GAAP measures of cash provided by or used in operating activities, investing activities, and financing activities is that free cash flow does not represent the total increase or decrease in the cash and cash equivalents balance for the period because it excludes cash flows from investing activities other than capital expenditures and cash flows from financing activities. Management accounts for this limitation by providing information about our capital expenditures and other investing and financing activities on the consolidated statements of cash flows and under “—Liquidity and Capital Resources” and by presenting cash flows from investing and financing activities in our reconciliation of free cash flow.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net cash provided by operating activities, the most directly comparable financial measure calculated and presented in accordance with GAAP, to free cash flow is provided below:</w:t>
      </w:r>
    </w:p>
    <w:tbl>
      <w:tblPr>
        <w:tblW w:w="6535" w:type="dxa"/>
        <w:jc w:val="center"/>
        <w:tblInd w:w="0" w:type="dxa"/>
        <w:tblCellMar>
          <w:top w:w="28" w:type="dxa"/>
          <w:left w:w="28" w:type="dxa"/>
          <w:bottom w:w="28" w:type="dxa"/>
          <w:right w:w="28" w:type="dxa"/>
        </w:tblCellMar>
      </w:tblPr>
      <w:tblGrid>
        <w:gridCol w:w="1299"/>
        <w:gridCol w:w="1140"/>
        <w:gridCol w:w="1145"/>
        <w:gridCol w:w="291"/>
        <w:gridCol w:w="849"/>
        <w:gridCol w:w="150"/>
        <w:gridCol w:w="109"/>
        <w:gridCol w:w="109"/>
        <w:gridCol w:w="109"/>
        <w:gridCol w:w="266"/>
        <w:gridCol w:w="874"/>
        <w:gridCol w:w="194"/>
      </w:tblGrid>
      <w:tr>
        <w:trPr/>
        <w:tc>
          <w:tcPr>
            <w:tcW w:w="1299"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5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3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2022</w:t>
            </w:r>
          </w:p>
        </w:tc>
      </w:tr>
      <w:tr>
        <w:trPr/>
        <w:tc>
          <w:tcPr>
            <w:tcW w:w="3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Free Cash Flow:</w:t>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9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677.5 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Purchases of property and equipment</w:t>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4" w:type="dxa"/>
            <w:gridSpan w:val="3"/>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 (non-GAAP)</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647.2 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9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w:t>
            </w:r>
          </w:p>
        </w:tc>
        <w:tc>
          <w:tcPr>
            <w:tcW w:w="150"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19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2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5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(746.0)</w:t>
            </w:r>
          </w:p>
        </w:tc>
        <w:tc>
          <w:tcPr>
            <w:tcW w:w="19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Critical Accounting Policies and Estimates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circumstances. To the extent that there are material differences between these estimates and our actual results, our future financial statements will be affected.</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There were no material changes to our critical accounting policies and estimates as of and for the three ended March 31, 2023, as compared to the critical accounting policies and estimates described in our Annual Report on Form 10-K filed with the SEC on February 24, 2023 (the “Form 10-K”).</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See Note 1 of the notes to condensed consolidated financial statements included in Part I, Item 1 of this Quarterly Report on Form 10-Q for information regarding recent accounting pronouncements.</w:t>
      </w:r>
    </w:p>
    <w:p>
      <w:pPr>
        <w:pStyle w:val="TextBody"/>
        <w:spacing w:before="0" w:after="0"/>
        <w:rPr/>
      </w:pPr>
      <w:r>
        <w:rPr/>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Results of Operations</w:t>
      </w:r>
    </w:p>
    <w:p>
      <w:pPr>
        <w:pStyle w:val="TextBody"/>
        <w:spacing w:before="0" w:after="0"/>
        <w:rPr/>
      </w:pPr>
      <w:r>
        <w:rPr/>
      </w:r>
    </w:p>
    <w:p>
      <w:pPr>
        <w:pStyle w:val="TextBody"/>
        <w:spacing w:lineRule="auto" w:line="417" w:before="0" w:after="0"/>
        <w:rPr>
          <w:rFonts w:ascii="Times New Roman;sans-serif" w:hAnsi="Times New Roman;sans-serif"/>
          <w:b/>
          <w:i/>
          <w:color w:val="000000"/>
          <w:sz w:val="20"/>
        </w:rPr>
      </w:pPr>
      <w:r>
        <w:rPr>
          <w:rFonts w:ascii="Times New Roman;sans-serif" w:hAnsi="Times New Roman;sans-serif"/>
          <w:b/>
          <w:i/>
          <w:color w:val="000000"/>
          <w:sz w:val="20"/>
        </w:rPr>
        <w:t>Three Months Ended March 31, 2023 and 2022</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Revenue</w:t>
      </w:r>
    </w:p>
    <w:tbl>
      <w:tblPr>
        <w:tblW w:w="9422" w:type="dxa"/>
        <w:jc w:val="left"/>
        <w:tblInd w:w="0" w:type="dxa"/>
        <w:tblCellMar>
          <w:top w:w="28" w:type="dxa"/>
          <w:left w:w="28" w:type="dxa"/>
          <w:bottom w:w="28" w:type="dxa"/>
          <w:right w:w="28" w:type="dxa"/>
        </w:tblCellMar>
      </w:tblPr>
      <w:tblGrid>
        <w:gridCol w:w="747"/>
        <w:gridCol w:w="660"/>
        <w:gridCol w:w="662"/>
        <w:gridCol w:w="211"/>
        <w:gridCol w:w="766"/>
        <w:gridCol w:w="109"/>
        <w:gridCol w:w="109"/>
        <w:gridCol w:w="109"/>
        <w:gridCol w:w="109"/>
        <w:gridCol w:w="232"/>
        <w:gridCol w:w="234"/>
        <w:gridCol w:w="426"/>
        <w:gridCol w:w="109"/>
        <w:gridCol w:w="109"/>
        <w:gridCol w:w="109"/>
        <w:gridCol w:w="211"/>
        <w:gridCol w:w="616"/>
        <w:gridCol w:w="109"/>
        <w:gridCol w:w="109"/>
        <w:gridCol w:w="109"/>
        <w:gridCol w:w="109"/>
        <w:gridCol w:w="232"/>
        <w:gridCol w:w="234"/>
        <w:gridCol w:w="426"/>
        <w:gridCol w:w="109"/>
        <w:gridCol w:w="109"/>
        <w:gridCol w:w="109"/>
        <w:gridCol w:w="211"/>
        <w:gridCol w:w="616"/>
        <w:gridCol w:w="109"/>
        <w:gridCol w:w="109"/>
        <w:gridCol w:w="109"/>
        <w:gridCol w:w="109"/>
        <w:gridCol w:w="199"/>
        <w:gridCol w:w="199"/>
        <w:gridCol w:w="578"/>
      </w:tblGrid>
      <w:tr>
        <w:trPr/>
        <w:tc>
          <w:tcPr>
            <w:tcW w:w="747"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r>
      <w:tr>
        <w:trPr/>
        <w:tc>
          <w:tcPr>
            <w:tcW w:w="206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87"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069" w:type="dxa"/>
            <w:gridSpan w:val="3"/>
            <w:vMerge w:val="continue"/>
            <w:tcBorders/>
            <w:shd w:fill="auto" w:val="clear"/>
            <w:tcMar>
              <w:top w:w="0" w:type="dxa"/>
              <w:left w:w="0" w:type="dxa"/>
              <w:bottom w:w="0" w:type="dxa"/>
              <w:right w:w="0" w:type="dxa"/>
            </w:tcMar>
            <w:vAlign w:val="center"/>
          </w:tcPr>
          <w:p>
            <w:pPr>
              <w:pStyle w:val="Normal"/>
              <w:rPr/>
            </w:pPr>
            <w:r>
              <w:rPr/>
            </w:r>
          </w:p>
        </w:tc>
        <w:tc>
          <w:tcPr>
            <w:tcW w:w="23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5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069" w:type="dxa"/>
            <w:gridSpan w:val="3"/>
            <w:vMerge w:val="continue"/>
            <w:tcBorders/>
            <w:shd w:fill="auto" w:val="clear"/>
            <w:tcMar>
              <w:top w:w="0" w:type="dxa"/>
              <w:left w:w="0" w:type="dxa"/>
              <w:bottom w:w="0" w:type="dxa"/>
              <w:right w:w="0" w:type="dxa"/>
            </w:tcMar>
            <w:vAlign w:val="center"/>
          </w:tcPr>
          <w:p>
            <w:pPr>
              <w:pStyle w:val="Normal"/>
              <w:rPr/>
            </w:pPr>
            <w:r>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w:t>
              <w:br/>
              <w:t>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w:t>
              <w:br/>
              <w:t>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069" w:type="dxa"/>
            <w:gridSpan w:val="3"/>
            <w:vMerge w:val="continue"/>
            <w:tcBorders/>
            <w:shd w:fill="auto" w:val="clear"/>
            <w:tcMar>
              <w:top w:w="0" w:type="dxa"/>
              <w:left w:w="0" w:type="dxa"/>
              <w:bottom w:w="0" w:type="dxa"/>
              <w:right w:w="0" w:type="dxa"/>
            </w:tcMar>
            <w:vAlign w:val="center"/>
          </w:tcPr>
          <w:p>
            <w:pPr>
              <w:pStyle w:val="Normal"/>
              <w:rPr/>
            </w:pPr>
            <w:r>
              <w:rPr/>
            </w:r>
          </w:p>
        </w:tc>
        <w:tc>
          <w:tcPr>
            <w:tcW w:w="7353"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percentages)</w:t>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4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4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4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5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by geography:</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4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4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4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5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4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5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jc w:val="center"/>
        <w:rPr/>
      </w:pPr>
      <w:r>
        <w:rPr/>
      </w:r>
    </w:p>
    <w:p>
      <w:pPr>
        <w:pStyle w:val="TextBody"/>
        <w:spacing w:lineRule="auto" w:line="268" w:before="0" w:after="0"/>
        <w:ind w:left="0" w:right="0" w:firstLine="720"/>
        <w:rPr/>
      </w:pPr>
      <w:r>
        <w:rPr>
          <w:rFonts w:ascii="Times New Roman;sans-serif" w:hAnsi="Times New Roman;sans-serif"/>
          <w:b w:val="false"/>
          <w:color w:val="000000"/>
          <w:sz w:val="20"/>
        </w:rPr>
        <w:t>Total revenue increased $307.5 million, or 32%, during the three months ended March 31, 2023 compared to the same period last year. We continued to experience significant organic revenue growth (i.e., revenue growth excluding attribution from recent acquisitions) with diversification of revenue geographically, and across both customers and indu</w:t>
      </w:r>
      <w:r>
        <w:rPr>
          <w:rFonts w:ascii="Times New Roman;sans-serif" w:hAnsi="Times New Roman;sans-serif"/>
          <w:b w:val="false"/>
          <w:color w:val="000000"/>
          <w:sz w:val="20"/>
          <w:highlight w:val="white"/>
        </w:rPr>
        <w:t>stries. Revenue from all regions grew, with the Americas contributing the largest portion of the increase on an absolute dollar basis and</w:t>
      </w:r>
      <w:r>
        <w:rPr>
          <w:color w:val="000000"/>
        </w:rPr>
        <w:t xml:space="preserve"> </w:t>
      </w:r>
      <w:r>
        <w:rPr>
          <w:rFonts w:ascii="Times New Roman;sans-serif" w:hAnsi="Times New Roman;sans-serif"/>
          <w:b w:val="false"/>
          <w:color w:val="000000"/>
          <w:sz w:val="20"/>
          <w:highlight w:val="white"/>
        </w:rPr>
        <w:t xml:space="preserve">EMEA contributing the largest portion of the increase </w:t>
      </w:r>
      <w:r>
        <w:rPr>
          <w:rFonts w:ascii="Times New Roman;sans-serif" w:hAnsi="Times New Roman;sans-serif"/>
          <w:b w:val="false"/>
          <w:color w:val="000000"/>
          <w:sz w:val="20"/>
        </w:rPr>
        <w:t>on a percentage basis.</w:t>
      </w:r>
    </w:p>
    <w:p>
      <w:pPr>
        <w:pStyle w:val="TextBody"/>
        <w:spacing w:before="0" w:after="0"/>
        <w:ind w:left="0" w:right="0" w:firstLine="720"/>
        <w:rPr/>
      </w:pPr>
      <w:r>
        <w:rPr/>
      </w:r>
    </w:p>
    <w:p>
      <w:pPr>
        <w:pStyle w:val="TextBody"/>
        <w:spacing w:lineRule="auto" w:line="268" w:before="0" w:after="0"/>
        <w:ind w:left="0" w:right="0" w:firstLine="720"/>
        <w:rPr/>
      </w:pPr>
      <w:r>
        <w:rPr>
          <w:rFonts w:ascii="Times New Roman;sans-serif" w:hAnsi="Times New Roman;sans-serif"/>
          <w:b w:val="false"/>
          <w:color w:val="000000"/>
          <w:sz w:val="20"/>
        </w:rPr>
        <w:t xml:space="preserve">Product revenue increased $129.7 million, or 35%, during the three months ended March 31, 2023 compared to the same period last year. Product revenue growth was consistent with an elevated cyber threat landscape, the convergence of security and networking and included the benefit of certain pricing actions, improving supply chain dynamics and changes in the backlog balance. </w:t>
      </w:r>
      <w:r>
        <w:rPr>
          <w:rFonts w:ascii="Times New Roman;sans-serif" w:hAnsi="Times New Roman;sans-serif"/>
          <w:b w:val="false"/>
          <w:color w:val="000000"/>
          <w:sz w:val="20"/>
          <w:highlight w:val="white"/>
        </w:rPr>
        <w:t xml:space="preserve">The product revenue growth was primarily due to strong growth across many of our Enhanced Platform Technology products, including our secure access products. In addition, our product revenue growth was driven by a strong demand for the wide range of operating system capabilities embedded in our Core Platform products, including Secure SD-WAN and OT solutions. </w:t>
      </w:r>
    </w:p>
    <w:p>
      <w:pPr>
        <w:pStyle w:val="TextBody"/>
        <w:spacing w:before="0" w:after="0"/>
        <w:ind w:left="0" w:right="0" w:firstLine="720"/>
        <w:rPr/>
      </w:pPr>
      <w:r>
        <w:rPr/>
      </w:r>
    </w:p>
    <w:p>
      <w:pPr>
        <w:pStyle w:val="TextBody"/>
        <w:spacing w:lineRule="auto" w:line="268" w:before="0" w:after="0"/>
        <w:ind w:left="0" w:right="0" w:firstLine="720"/>
        <w:rPr/>
      </w:pPr>
      <w:r>
        <w:rPr>
          <w:rFonts w:ascii="Times New Roman;sans-serif" w:hAnsi="Times New Roman;sans-serif"/>
          <w:b w:val="false"/>
          <w:color w:val="000000"/>
          <w:sz w:val="20"/>
        </w:rPr>
        <w:t xml:space="preserve">Service revenue increased $177.8 million, or 30%, during the three months ended March 31, 2023 compared to the same period last year. FortiGuard and other security subscription revenue increased $108.8 million, or 35%, and FortiCare technical support and other services revenue increased $69.0 million, or 25%, during the three months ended March 31, 2023 compared to the same period last year. </w:t>
      </w:r>
      <w:r>
        <w:rPr>
          <w:rFonts w:ascii="Times New Roman;sans-serif" w:hAnsi="Times New Roman;sans-serif"/>
          <w:b w:val="false"/>
          <w:color w:val="000000"/>
          <w:sz w:val="20"/>
          <w:highlight w:val="white"/>
        </w:rPr>
        <w:t>The increases were primarily due to pricing actions in prior periods and the recognition of revenue from our growing deferred revenue balance related to FortiGuard and other security subscriptions delivered to on-premise and cloud-based environments as well as FortiCare technical support and other services. FortiGuard outpaced FortiCare’s growth due to expansion of security subscription service offerings and FortiCare was impacted by decelerating service revenue contribution of Alaxala.</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68" w:before="0" w:after="0"/>
        <w:ind w:left="0" w:right="0" w:firstLine="720"/>
        <w:rPr/>
      </w:pPr>
      <w:r>
        <w:rPr>
          <w:rFonts w:ascii="Times New Roman;sans-serif" w:hAnsi="Times New Roman;sans-serif"/>
          <w:b w:val="false"/>
          <w:color w:val="000000"/>
          <w:sz w:val="20"/>
        </w:rPr>
        <w:t xml:space="preserve">Of the service revenue recognized during the three months ended March 31, 2023 and 2022, </w:t>
      </w:r>
      <w:r>
        <w:rPr>
          <w:rFonts w:ascii="Times New Roman;sans-serif" w:hAnsi="Times New Roman;sans-serif"/>
          <w:b w:val="false"/>
          <w:color w:val="000000"/>
          <w:sz w:val="20"/>
          <w:highlight w:val="white"/>
        </w:rPr>
        <w:t xml:space="preserve">89% and 87% </w:t>
      </w:r>
      <w:r>
        <w:rPr>
          <w:rFonts w:ascii="Times New Roman;sans-serif" w:hAnsi="Times New Roman;sans-serif"/>
          <w:b w:val="false"/>
          <w:color w:val="000000"/>
          <w:sz w:val="20"/>
        </w:rPr>
        <w:t>were included in the deferred revenue balance as of</w:t>
      </w:r>
      <w:r>
        <w:rPr>
          <w:color w:val="000000"/>
          <w:highlight w:val="white"/>
        </w:rPr>
        <w:t xml:space="preserve"> </w:t>
      </w:r>
      <w:r>
        <w:rPr>
          <w:rFonts w:ascii="Times New Roman;sans-serif" w:hAnsi="Times New Roman;sans-serif"/>
          <w:b w:val="false"/>
          <w:color w:val="000000"/>
          <w:sz w:val="20"/>
          <w:highlight w:val="white"/>
        </w:rPr>
        <w:t xml:space="preserve">December 31, 2022 and 2021, respectively. </w:t>
      </w:r>
      <w:r>
        <w:rPr>
          <w:rFonts w:ascii="Times New Roman;sans-serif" w:hAnsi="Times New Roman;sans-serif"/>
          <w:b w:val="false"/>
          <w:color w:val="000000"/>
          <w:sz w:val="20"/>
        </w:rPr>
        <w:t>We expect service revenue growth will continue to benefit from previous pricing actions. However, there are risks to service revenue growth rates, including customers reducing their spending, pricing actions, supply chain constraints, customers taking longer to buy their service, or other reasons.</w:t>
      </w:r>
    </w:p>
    <w:p>
      <w:pPr>
        <w:pStyle w:val="TextBody"/>
        <w:spacing w:before="0" w:after="0"/>
        <w:ind w:left="0" w:right="0" w:firstLine="720"/>
        <w:rPr/>
      </w:pPr>
      <w:r>
        <w:rPr/>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Cost of revenue and gross margin</w:t>
      </w:r>
    </w:p>
    <w:tbl>
      <w:tblPr>
        <w:tblW w:w="6814" w:type="dxa"/>
        <w:jc w:val="center"/>
        <w:tblInd w:w="0" w:type="dxa"/>
        <w:tblCellMar>
          <w:top w:w="28" w:type="dxa"/>
          <w:left w:w="28" w:type="dxa"/>
          <w:bottom w:w="28" w:type="dxa"/>
          <w:right w:w="28" w:type="dxa"/>
        </w:tblCellMar>
      </w:tblPr>
      <w:tblGrid>
        <w:gridCol w:w="662"/>
        <w:gridCol w:w="583"/>
        <w:gridCol w:w="585"/>
        <w:gridCol w:w="211"/>
        <w:gridCol w:w="616"/>
        <w:gridCol w:w="271"/>
        <w:gridCol w:w="109"/>
        <w:gridCol w:w="109"/>
        <w:gridCol w:w="109"/>
        <w:gridCol w:w="211"/>
        <w:gridCol w:w="616"/>
        <w:gridCol w:w="271"/>
        <w:gridCol w:w="109"/>
        <w:gridCol w:w="109"/>
        <w:gridCol w:w="109"/>
        <w:gridCol w:w="211"/>
        <w:gridCol w:w="511"/>
        <w:gridCol w:w="109"/>
        <w:gridCol w:w="109"/>
        <w:gridCol w:w="109"/>
        <w:gridCol w:w="109"/>
        <w:gridCol w:w="199"/>
        <w:gridCol w:w="199"/>
        <w:gridCol w:w="578"/>
      </w:tblGrid>
      <w:tr>
        <w:trPr/>
        <w:tc>
          <w:tcPr>
            <w:tcW w:w="662"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r>
      <w:tr>
        <w:trPr/>
        <w:tc>
          <w:tcPr>
            <w:tcW w:w="183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830" w:type="dxa"/>
            <w:gridSpan w:val="3"/>
            <w:vMerge w:val="continue"/>
            <w:tcBorders/>
            <w:shd w:fill="auto" w:val="clear"/>
            <w:tcMar>
              <w:top w:w="0" w:type="dxa"/>
              <w:left w:w="0" w:type="dxa"/>
              <w:bottom w:w="0" w:type="dxa"/>
              <w:right w:w="0" w:type="dxa"/>
            </w:tcMar>
            <w:vAlign w:val="center"/>
          </w:tcPr>
          <w:p>
            <w:pPr>
              <w:pStyle w:val="Normal"/>
              <w:rPr/>
            </w:pPr>
            <w:r>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830" w:type="dxa"/>
            <w:gridSpan w:val="3"/>
            <w:vMerge w:val="continue"/>
            <w:tcBorders/>
            <w:shd w:fill="auto" w:val="clear"/>
            <w:tcMar>
              <w:top w:w="0" w:type="dxa"/>
              <w:left w:w="0" w:type="dxa"/>
              <w:bottom w:w="0" w:type="dxa"/>
              <w:right w:w="0" w:type="dxa"/>
            </w:tcMar>
            <w:vAlign w:val="center"/>
          </w:tcPr>
          <w:p>
            <w:pPr>
              <w:pStyle w:val="Normal"/>
              <w:rPr/>
            </w:pPr>
            <w:r>
              <w:rPr/>
            </w:r>
          </w:p>
        </w:tc>
        <w:tc>
          <w:tcPr>
            <w:tcW w:w="4984"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percentages)</w:t>
            </w:r>
          </w:p>
        </w:tc>
      </w:tr>
      <w:tr>
        <w:trPr/>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w:t>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margin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Total gross margin increased 2.2 percentage points during the three months ended March 31, 2023 compared to the same period last year, primarily driven by increased product gross margin and increased service gross margin. Revenue mix shifted 0.8 percentage points from service revenue to product revenue, as a percentage of total revenue. </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Product gross margin increased 4.7 percentage points during the three months ended March 31, 2023 compared to the same period last year. The increase in product margin was primarily driven by higher average selling prices, improved discounting, lower freight costs, expedite fees and other product costs and partially offset by higher inventory related cost. Cost of product revenue was comprised primarily of third-party contract manufacturers’ costs and the costs of materials used in production.</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Service gross margin increased 0.9 percentage points during the three months ended March 31, 2023 compared to the same period last year. Cost of service revenue was comprised primarily of personnel and data center costs. The increase in service gross margin was primarily driven by pricing actions in earlier periods and the favorable impact of foreign currency fluctuations, partially offset by our data center and points-of-presence expansion and increased labor cost.</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Operating expenses</w:t>
      </w:r>
    </w:p>
    <w:tbl>
      <w:tblPr>
        <w:tblW w:w="9392" w:type="dxa"/>
        <w:jc w:val="left"/>
        <w:tblInd w:w="0" w:type="dxa"/>
        <w:tblCellMar>
          <w:top w:w="28" w:type="dxa"/>
          <w:left w:w="28" w:type="dxa"/>
          <w:bottom w:w="28" w:type="dxa"/>
          <w:right w:w="28" w:type="dxa"/>
        </w:tblCellMar>
      </w:tblPr>
      <w:tblGrid>
        <w:gridCol w:w="836"/>
        <w:gridCol w:w="735"/>
        <w:gridCol w:w="738"/>
        <w:gridCol w:w="211"/>
        <w:gridCol w:w="616"/>
        <w:gridCol w:w="109"/>
        <w:gridCol w:w="109"/>
        <w:gridCol w:w="109"/>
        <w:gridCol w:w="109"/>
        <w:gridCol w:w="202"/>
        <w:gridCol w:w="204"/>
        <w:gridCol w:w="426"/>
        <w:gridCol w:w="109"/>
        <w:gridCol w:w="109"/>
        <w:gridCol w:w="109"/>
        <w:gridCol w:w="211"/>
        <w:gridCol w:w="616"/>
        <w:gridCol w:w="109"/>
        <w:gridCol w:w="109"/>
        <w:gridCol w:w="109"/>
        <w:gridCol w:w="109"/>
        <w:gridCol w:w="202"/>
        <w:gridCol w:w="204"/>
        <w:gridCol w:w="426"/>
        <w:gridCol w:w="109"/>
        <w:gridCol w:w="109"/>
        <w:gridCol w:w="109"/>
        <w:gridCol w:w="211"/>
        <w:gridCol w:w="616"/>
        <w:gridCol w:w="109"/>
        <w:gridCol w:w="109"/>
        <w:gridCol w:w="109"/>
        <w:gridCol w:w="109"/>
        <w:gridCol w:w="199"/>
        <w:gridCol w:w="199"/>
        <w:gridCol w:w="578"/>
      </w:tblGrid>
      <w:tr>
        <w:trPr/>
        <w:tc>
          <w:tcPr>
            <w:tcW w:w="836"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r>
      <w:tr>
        <w:trPr/>
        <w:tc>
          <w:tcPr>
            <w:tcW w:w="230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17"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309" w:type="dxa"/>
            <w:gridSpan w:val="3"/>
            <w:vMerge w:val="continue"/>
            <w:tcBorders/>
            <w:shd w:fill="auto" w:val="clear"/>
            <w:tcMar>
              <w:top w:w="0" w:type="dxa"/>
              <w:left w:w="0" w:type="dxa"/>
              <w:bottom w:w="0" w:type="dxa"/>
              <w:right w:w="0" w:type="dxa"/>
            </w:tcMar>
            <w:vAlign w:val="center"/>
          </w:tcPr>
          <w:p>
            <w:pPr>
              <w:pStyle w:val="Normal"/>
              <w:rPr/>
            </w:pPr>
            <w:r>
              <w:rPr/>
            </w:r>
          </w:p>
        </w:tc>
        <w:tc>
          <w:tcPr>
            <w:tcW w:w="20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97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2309" w:type="dxa"/>
            <w:gridSpan w:val="3"/>
            <w:vMerge w:val="continue"/>
            <w:tcBorders/>
            <w:shd w:fill="auto" w:val="clear"/>
            <w:tcMar>
              <w:top w:w="0" w:type="dxa"/>
              <w:left w:w="0" w:type="dxa"/>
              <w:bottom w:w="0" w:type="dxa"/>
              <w:right w:w="0" w:type="dxa"/>
            </w:tcMar>
            <w:vAlign w:val="center"/>
          </w:tcPr>
          <w:p>
            <w:pPr>
              <w:pStyle w:val="Normal"/>
              <w:rPr/>
            </w:pPr>
            <w:r>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w:t>
              <w:br/>
              <w:t>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w:t>
              <w:br/>
              <w:t>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97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2309" w:type="dxa"/>
            <w:gridSpan w:val="3"/>
            <w:vMerge w:val="continue"/>
            <w:tcBorders/>
            <w:shd w:fill="auto" w:val="clear"/>
            <w:tcMar>
              <w:top w:w="0" w:type="dxa"/>
              <w:left w:w="0" w:type="dxa"/>
              <w:bottom w:w="0" w:type="dxa"/>
              <w:right w:w="0" w:type="dxa"/>
            </w:tcMar>
            <w:vAlign w:val="center"/>
          </w:tcPr>
          <w:p>
            <w:pPr>
              <w:pStyle w:val="Normal"/>
              <w:rPr/>
            </w:pPr>
            <w:r>
              <w:rPr/>
            </w:r>
          </w:p>
        </w:tc>
        <w:tc>
          <w:tcPr>
            <w:tcW w:w="7083"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percentages)</w:t>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4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5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IP matter</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spacing w:before="0" w:after="0"/>
        <w:ind w:left="0" w:right="0" w:firstLine="720"/>
        <w:rPr/>
      </w:pPr>
      <w:r>
        <w:rPr/>
      </w:r>
    </w:p>
    <w:p>
      <w:pPr>
        <w:pStyle w:val="TextBody"/>
        <w:spacing w:lineRule="auto" w:line="288" w:before="0" w:after="0"/>
        <w:ind w:left="0" w:right="0" w:firstLine="720"/>
        <w:rPr/>
      </w:pPr>
      <w:r>
        <w:rPr>
          <w:rFonts w:ascii="Times New Roman;sans-serif" w:hAnsi="Times New Roman;sans-serif"/>
          <w:b w:val="false"/>
          <w:color w:val="000000"/>
          <w:sz w:val="20"/>
        </w:rPr>
        <w:t>Research and development expense increased $26.2 million, or 21%, during the three months ended March 31, 2023 compared to the same period last year, primarily due to a $19.6 million increase in personnel-related costs as a result of increased headcount to support the development of new products and continued enhancements to our existing pr</w:t>
      </w:r>
      <w:r>
        <w:rPr>
          <w:rFonts w:ascii="Times New Roman;sans-serif" w:hAnsi="Times New Roman;sans-serif"/>
          <w:b w:val="false"/>
          <w:color w:val="000000"/>
          <w:sz w:val="20"/>
          <w:highlight w:val="white"/>
        </w:rPr>
        <w:t>oducts. In</w:t>
      </w:r>
      <w:r>
        <w:rPr>
          <w:color w:val="000000"/>
        </w:rPr>
        <w:t xml:space="preserve"> </w:t>
      </w:r>
      <w:r>
        <w:rPr>
          <w:rFonts w:ascii="Times New Roman;sans-serif" w:hAnsi="Times New Roman;sans-serif"/>
          <w:b w:val="false"/>
          <w:color w:val="000000"/>
          <w:sz w:val="20"/>
        </w:rPr>
        <w:t>addition, we incurred an increase of $5.4 million of product development costs, such as third-party testing and prototypes, partially offset by the favorable impact of foreign currency fluctuations. We currently intend to continue to invest in our research and development organization, and expect research and development expense to increase in absolute dollars during the remainder of 2023.</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spacing w:before="0" w:after="0"/>
        <w:ind w:left="0" w:right="0" w:firstLine="720"/>
        <w:rPr/>
      </w:pPr>
      <w:r>
        <w:rPr/>
      </w:r>
    </w:p>
    <w:p>
      <w:pPr>
        <w:pStyle w:val="TextBody"/>
        <w:spacing w:lineRule="auto" w:line="268" w:before="0" w:after="0"/>
        <w:ind w:left="0" w:right="0" w:firstLine="720"/>
        <w:rPr/>
      </w:pPr>
      <w:r>
        <w:rPr>
          <w:rFonts w:ascii="Times New Roman;sans-serif" w:hAnsi="Times New Roman;sans-serif"/>
          <w:b w:val="false"/>
          <w:color w:val="000000"/>
          <w:sz w:val="20"/>
        </w:rPr>
        <w:t>Sales and marketing expense increased $90.7 million, or 23%, during the three months ended March 31, 2023 compared to the same period last year, primarily due to a $66.8 million increase in personnel-related costs as we increased our sales capacity. The increase in headcount is expected to help drive global market revenue increases</w:t>
      </w:r>
      <w:r>
        <w:rPr>
          <w:rFonts w:ascii="Times New Roman;sans-serif" w:hAnsi="Times New Roman;sans-serif"/>
          <w:b w:val="false"/>
          <w:color w:val="000000"/>
          <w:sz w:val="20"/>
          <w:highlight w:val="white"/>
        </w:rPr>
        <w:t xml:space="preserve">. </w:t>
      </w:r>
      <w:r>
        <w:rPr>
          <w:rFonts w:ascii="Times New Roman;sans-serif" w:hAnsi="Times New Roman;sans-serif"/>
          <w:b w:val="false"/>
          <w:color w:val="000000"/>
          <w:sz w:val="20"/>
        </w:rPr>
        <w:t>In addition, we incurred increases in travel expense of $8.3 million, marketing-related expense of $8.0 million and depreciation and other occupancy expense of $4.9 million, partially offset by the favorable impact of foreign currency fluctuations. We currently intend to continue to make investments in sales and marketing resources, which are critical to support our future growth, and expect sales and marketing expense to increase in absolute dollars during the remainder of 2023.</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increased $14.2 million, or 37%, during the three months ended March 31, 2023 compared to the same period last year, primarily due to an increase of $5.4 million in legal and other professional service fees, $4.3 million in personnel-related costs and an increase of $2.9 million in provision for expected credit losses. We currently expect general and administrative expense to increase in absolute dollars during the remainder of 2023.</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Operating income and margin</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generated operating income of $273.5 million during the three months ended March 31, 2023, an increase of $122.5 million, or 81%, compared to $151.0 million in the same period last year. Operating income as a percentage of revenue was 21.7% during the three months ended March 31, 2023, compared to 15.8% in the same period last year. The increase in operating margin primarily benefits from 2.2 percentage points increase in gross margin, 2.7 percentage points and 1.1 percentage points decreases in sales and marketing expense and research and development expense as a percentage of revenue, respectively.</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pPr>
      <w:r>
        <w:rPr>
          <w:rFonts w:ascii="Times New Roman;sans-serif" w:hAnsi="Times New Roman;sans-serif"/>
          <w:b/>
          <w:i/>
          <w:color w:val="000000"/>
          <w:sz w:val="20"/>
        </w:rPr>
        <w:t>Interest income, interest expense and other income (expense)</w:t>
      </w:r>
      <w:r>
        <w:rPr>
          <w:color w:val="000000"/>
        </w:rPr>
        <w:t>—</w:t>
      </w:r>
      <w:r>
        <w:rPr>
          <w:rFonts w:ascii="Times New Roman;sans-serif" w:hAnsi="Times New Roman;sans-serif"/>
          <w:b/>
          <w:i/>
          <w:color w:val="000000"/>
          <w:sz w:val="20"/>
        </w:rPr>
        <w:t xml:space="preserve">net </w:t>
      </w:r>
    </w:p>
    <w:tbl>
      <w:tblPr>
        <w:tblW w:w="7264" w:type="dxa"/>
        <w:jc w:val="center"/>
        <w:tblInd w:w="0" w:type="dxa"/>
        <w:tblCellMar>
          <w:top w:w="28" w:type="dxa"/>
          <w:left w:w="28" w:type="dxa"/>
          <w:bottom w:w="28" w:type="dxa"/>
          <w:right w:w="28" w:type="dxa"/>
        </w:tblCellMar>
      </w:tblPr>
      <w:tblGrid>
        <w:gridCol w:w="902"/>
        <w:gridCol w:w="790"/>
        <w:gridCol w:w="797"/>
        <w:gridCol w:w="224"/>
        <w:gridCol w:w="544"/>
        <w:gridCol w:w="116"/>
        <w:gridCol w:w="109"/>
        <w:gridCol w:w="109"/>
        <w:gridCol w:w="109"/>
        <w:gridCol w:w="233"/>
        <w:gridCol w:w="532"/>
        <w:gridCol w:w="120"/>
        <w:gridCol w:w="109"/>
        <w:gridCol w:w="109"/>
        <w:gridCol w:w="109"/>
        <w:gridCol w:w="211"/>
        <w:gridCol w:w="511"/>
        <w:gridCol w:w="109"/>
        <w:gridCol w:w="109"/>
        <w:gridCol w:w="109"/>
        <w:gridCol w:w="109"/>
        <w:gridCol w:w="308"/>
        <w:gridCol w:w="308"/>
        <w:gridCol w:w="578"/>
      </w:tblGrid>
      <w:tr>
        <w:trPr/>
        <w:tc>
          <w:tcPr>
            <w:tcW w:w="902"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r>
      <w:tr>
        <w:trPr/>
        <w:tc>
          <w:tcPr>
            <w:tcW w:w="248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9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489" w:type="dxa"/>
            <w:gridSpan w:val="3"/>
            <w:vMerge w:val="continue"/>
            <w:tcBorders/>
            <w:shd w:fill="auto" w:val="clear"/>
            <w:tcMar>
              <w:top w:w="0" w:type="dxa"/>
              <w:left w:w="0" w:type="dxa"/>
              <w:bottom w:w="0" w:type="dxa"/>
              <w:right w:w="0" w:type="dxa"/>
            </w:tcMar>
            <w:vAlign w:val="center"/>
          </w:tcPr>
          <w:p>
            <w:pPr>
              <w:pStyle w:val="Normal"/>
              <w:rPr/>
            </w:pPr>
            <w:r>
              <w:rPr/>
            </w:r>
          </w:p>
        </w:tc>
        <w:tc>
          <w:tcPr>
            <w:tcW w:w="8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489" w:type="dxa"/>
            <w:gridSpan w:val="3"/>
            <w:vMerge w:val="continue"/>
            <w:tcBorders/>
            <w:shd w:fill="auto" w:val="clear"/>
            <w:tcMar>
              <w:top w:w="0" w:type="dxa"/>
              <w:left w:w="0" w:type="dxa"/>
              <w:bottom w:w="0" w:type="dxa"/>
              <w:right w:w="0" w:type="dxa"/>
            </w:tcMar>
            <w:vAlign w:val="center"/>
          </w:tcPr>
          <w:p>
            <w:pPr>
              <w:pStyle w:val="Normal"/>
              <w:rPr/>
            </w:pPr>
            <w:r>
              <w:rPr/>
            </w:r>
          </w:p>
        </w:tc>
        <w:tc>
          <w:tcPr>
            <w:tcW w:w="477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percentages)</w:t>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1,485 </w:t>
            </w:r>
          </w:p>
        </w:tc>
        <w:tc>
          <w:tcPr>
            <w:tcW w:w="5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(expense)—net</w:t>
            </w:r>
          </w:p>
        </w:tc>
        <w:tc>
          <w:tcPr>
            <w:tcW w:w="2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5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increased $19.3 million during the three months ended March 31, 2023 compared to the same period last year, as a result of higher interest rates. Interest income varies depending on our average investment balances during the period, types and mix of investments, and market interest rates. Interest expense remained comparatively flat during the three months ended March 31, 2023 compared to the same period last year. The $11.1 million increase in Other income (expense)—net during the three months ended March 31, 2023 compared to the same period last year, was primarily due to an increase of $6.8 million gain on marketable equity securities and a $4.9 million increase in foreign currency exchange gains. </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Provision for (benefit from) income taxes</w:t>
      </w:r>
    </w:p>
    <w:tbl>
      <w:tblPr>
        <w:tblW w:w="8321" w:type="dxa"/>
        <w:jc w:val="center"/>
        <w:tblInd w:w="0" w:type="dxa"/>
        <w:tblCellMar>
          <w:top w:w="28" w:type="dxa"/>
          <w:left w:w="28" w:type="dxa"/>
          <w:bottom w:w="28" w:type="dxa"/>
          <w:right w:w="28" w:type="dxa"/>
        </w:tblCellMar>
      </w:tblPr>
      <w:tblGrid>
        <w:gridCol w:w="1243"/>
        <w:gridCol w:w="1094"/>
        <w:gridCol w:w="1098"/>
        <w:gridCol w:w="211"/>
        <w:gridCol w:w="511"/>
        <w:gridCol w:w="271"/>
        <w:gridCol w:w="109"/>
        <w:gridCol w:w="109"/>
        <w:gridCol w:w="109"/>
        <w:gridCol w:w="211"/>
        <w:gridCol w:w="481"/>
        <w:gridCol w:w="271"/>
        <w:gridCol w:w="109"/>
        <w:gridCol w:w="109"/>
        <w:gridCol w:w="109"/>
        <w:gridCol w:w="211"/>
        <w:gridCol w:w="511"/>
        <w:gridCol w:w="109"/>
        <w:gridCol w:w="109"/>
        <w:gridCol w:w="109"/>
        <w:gridCol w:w="109"/>
        <w:gridCol w:w="269"/>
        <w:gridCol w:w="271"/>
        <w:gridCol w:w="578"/>
      </w:tblGrid>
      <w:tr>
        <w:trPr/>
        <w:tc>
          <w:tcPr>
            <w:tcW w:w="1243"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r>
      <w:tr>
        <w:trPr/>
        <w:tc>
          <w:tcPr>
            <w:tcW w:w="343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8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3435" w:type="dxa"/>
            <w:gridSpan w:val="3"/>
            <w:vMerge w:val="continue"/>
            <w:tcBorders/>
            <w:shd w:fill="auto" w:val="clear"/>
            <w:tcMar>
              <w:top w:w="0" w:type="dxa"/>
              <w:left w:w="0" w:type="dxa"/>
              <w:bottom w:w="0" w:type="dxa"/>
              <w:right w:w="0" w:type="dxa"/>
            </w:tcMar>
            <w:vAlign w:val="center"/>
          </w:tcPr>
          <w:p>
            <w:pPr>
              <w:pStyle w:val="Normal"/>
              <w:rPr/>
            </w:pPr>
            <w:r>
              <w:rPr/>
            </w:r>
          </w:p>
        </w:tc>
        <w:tc>
          <w:tcPr>
            <w:tcW w:w="9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118"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3435" w:type="dxa"/>
            <w:gridSpan w:val="3"/>
            <w:vMerge w:val="continue"/>
            <w:tcBorders/>
            <w:shd w:fill="auto" w:val="clear"/>
            <w:tcMar>
              <w:top w:w="0" w:type="dxa"/>
              <w:left w:w="0" w:type="dxa"/>
              <w:bottom w:w="0" w:type="dxa"/>
              <w:right w:w="0" w:type="dxa"/>
            </w:tcMar>
            <w:vAlign w:val="center"/>
          </w:tcPr>
          <w:p>
            <w:pPr>
              <w:pStyle w:val="Normal"/>
              <w:rPr/>
            </w:pPr>
            <w:r>
              <w:rPr/>
            </w:r>
          </w:p>
        </w:tc>
        <w:tc>
          <w:tcPr>
            <w:tcW w:w="4886"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percentages)</w:t>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5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 (%)</w:t>
            </w:r>
          </w:p>
        </w:tc>
        <w:tc>
          <w:tcPr>
            <w:tcW w:w="7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68" w:before="0" w:after="0"/>
        <w:ind w:left="0" w:right="0" w:firstLine="720"/>
        <w:rPr/>
      </w:pPr>
      <w:r>
        <w:rPr>
          <w:rFonts w:ascii="Times New Roman;sans-serif" w:hAnsi="Times New Roman;sans-serif"/>
          <w:b w:val="false"/>
          <w:color w:val="000000"/>
          <w:sz w:val="20"/>
        </w:rPr>
        <w:t xml:space="preserve">Our effective tax rate was 7% for the three months ended March 31, 2023 compared to an effective tax rate of negative 6% for the same period last year. The provision for income taxes for the three months ended March 31, 2023 was primarily comprised of U.S. federal and state taxes, withholding taxes and foreign taxes totaling </w:t>
      </w:r>
      <w:r>
        <w:rPr>
          <w:rFonts w:ascii="Times New Roman;sans-serif" w:hAnsi="Times New Roman;sans-serif"/>
          <w:b w:val="false"/>
          <w:color w:val="000000"/>
          <w:sz w:val="20"/>
          <w:highlight w:val="white"/>
        </w:rPr>
        <w:t>$85.8 million, which were</w:t>
      </w:r>
      <w:r>
        <w:rPr>
          <w:color w:val="000000"/>
        </w:rPr>
        <w:t xml:space="preserve"> </w:t>
      </w:r>
      <w:r>
        <w:rPr>
          <w:rFonts w:ascii="Times New Roman;sans-serif" w:hAnsi="Times New Roman;sans-serif"/>
          <w:b w:val="false"/>
          <w:color w:val="000000"/>
          <w:sz w:val="20"/>
        </w:rPr>
        <w:t>favorably affected by a tax benefit of $38.2 million from the foreign-derived intangible income deduction (the “FDII deduction”) and excess tax benefits from stock-based compensation expense of $26.3 million</w:t>
      </w:r>
      <w:r>
        <w:rPr>
          <w:rFonts w:ascii="Times New Roman;sans-serif" w:hAnsi="Times New Roman;sans-serif"/>
          <w:b w:val="false"/>
          <w:color w:val="000000"/>
          <w:sz w:val="20"/>
          <w:highlight w:val="white"/>
        </w:rPr>
        <w:t xml:space="preserve">. </w:t>
      </w:r>
    </w:p>
    <w:p>
      <w:pPr>
        <w:pStyle w:val="TextBody"/>
        <w:spacing w:before="0" w:after="0"/>
        <w:ind w:left="0" w:right="0" w:firstLine="720"/>
        <w:rPr/>
      </w:pPr>
      <w:r>
        <w:rPr/>
      </w:r>
    </w:p>
    <w:p>
      <w:pPr>
        <w:pStyle w:val="TextBody"/>
        <w:spacing w:lineRule="auto" w:line="268" w:before="0" w:after="0"/>
        <w:ind w:left="0" w:right="0" w:firstLine="720"/>
        <w:rPr/>
      </w:pPr>
      <w:r>
        <w:rPr>
          <w:rFonts w:ascii="Times New Roman;sans-serif" w:hAnsi="Times New Roman;sans-serif"/>
          <w:b w:val="false"/>
          <w:color w:val="000000"/>
          <w:sz w:val="20"/>
        </w:rPr>
        <w:t xml:space="preserve">The benefit from income taxes for the three months ended March 31, 2022 was comprised of U.S. federal and state taxes, withholding taxes, and foreign taxes totaling </w:t>
      </w:r>
      <w:r>
        <w:rPr>
          <w:rFonts w:ascii="Times New Roman;sans-serif" w:hAnsi="Times New Roman;sans-serif"/>
          <w:b w:val="false"/>
          <w:color w:val="000000"/>
          <w:sz w:val="20"/>
          <w:highlight w:val="white"/>
        </w:rPr>
        <w:t>$38.5 million</w:t>
      </w:r>
      <w:r>
        <w:rPr>
          <w:rFonts w:ascii="Times New Roman;sans-serif" w:hAnsi="Times New Roman;sans-serif"/>
          <w:b w:val="false"/>
          <w:color w:val="000000"/>
          <w:sz w:val="20"/>
        </w:rPr>
        <w:t xml:space="preserve">, more than offset by a tax benefit of </w:t>
      </w:r>
      <w:r>
        <w:rPr>
          <w:rFonts w:ascii="Times New Roman;sans-serif" w:hAnsi="Times New Roman;sans-serif"/>
          <w:b w:val="false"/>
          <w:color w:val="000000"/>
          <w:sz w:val="20"/>
          <w:highlight w:val="white"/>
        </w:rPr>
        <w:t>$14.4 million</w:t>
      </w:r>
      <w:r>
        <w:rPr>
          <w:color w:val="000000"/>
        </w:rPr>
        <w:t xml:space="preserve"> </w:t>
      </w:r>
      <w:r>
        <w:rPr>
          <w:rFonts w:ascii="Times New Roman;sans-serif" w:hAnsi="Times New Roman;sans-serif"/>
          <w:b w:val="false"/>
          <w:color w:val="000000"/>
          <w:sz w:val="20"/>
        </w:rPr>
        <w:t xml:space="preserve">from the FDII deduction and excess tax benefits from stock-based compensation expense of </w:t>
      </w:r>
      <w:r>
        <w:rPr>
          <w:rFonts w:ascii="Times New Roman;sans-serif" w:hAnsi="Times New Roman;sans-serif"/>
          <w:b w:val="false"/>
          <w:color w:val="000000"/>
          <w:sz w:val="20"/>
          <w:highlight w:val="white"/>
        </w:rPr>
        <w:t>$32.2 million.</w:t>
      </w:r>
    </w:p>
    <w:p>
      <w:pPr>
        <w:pStyle w:val="TextBody"/>
        <w:spacing w:before="0" w:after="0"/>
        <w:ind w:left="0" w:right="0" w:firstLine="720"/>
        <w:rPr/>
      </w:pPr>
      <w:r>
        <w:rPr/>
      </w:r>
    </w:p>
    <w:p>
      <w:pPr>
        <w:pStyle w:val="TextBody"/>
        <w:spacing w:lineRule="auto" w:line="268" w:before="0" w:after="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Loss from Equity Method Investment</w:t>
      </w:r>
    </w:p>
    <w:tbl>
      <w:tblPr>
        <w:tblW w:w="7811" w:type="dxa"/>
        <w:jc w:val="left"/>
        <w:tblInd w:w="0" w:type="dxa"/>
        <w:tblCellMar>
          <w:top w:w="28" w:type="dxa"/>
          <w:left w:w="28" w:type="dxa"/>
          <w:bottom w:w="28" w:type="dxa"/>
          <w:right w:w="28" w:type="dxa"/>
        </w:tblCellMar>
      </w:tblPr>
      <w:tblGrid>
        <w:gridCol w:w="1120"/>
        <w:gridCol w:w="983"/>
        <w:gridCol w:w="986"/>
        <w:gridCol w:w="211"/>
        <w:gridCol w:w="586"/>
        <w:gridCol w:w="109"/>
        <w:gridCol w:w="109"/>
        <w:gridCol w:w="109"/>
        <w:gridCol w:w="109"/>
        <w:gridCol w:w="233"/>
        <w:gridCol w:w="532"/>
        <w:gridCol w:w="120"/>
        <w:gridCol w:w="109"/>
        <w:gridCol w:w="109"/>
        <w:gridCol w:w="109"/>
        <w:gridCol w:w="211"/>
        <w:gridCol w:w="586"/>
        <w:gridCol w:w="109"/>
        <w:gridCol w:w="109"/>
        <w:gridCol w:w="109"/>
        <w:gridCol w:w="109"/>
        <w:gridCol w:w="233"/>
        <w:gridCol w:w="233"/>
        <w:gridCol w:w="578"/>
      </w:tblGrid>
      <w:tr>
        <w:trPr/>
        <w:tc>
          <w:tcPr>
            <w:tcW w:w="1120"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r>
      <w:tr>
        <w:trPr/>
        <w:tc>
          <w:tcPr>
            <w:tcW w:w="3089"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1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vMerge w:val="restart"/>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3089" w:type="dxa"/>
            <w:gridSpan w:val="3"/>
            <w:vMerge w:val="continue"/>
            <w:tcBorders/>
            <w:shd w:fill="FFFFFF" w:val="clear"/>
            <w:tcMar>
              <w:top w:w="0" w:type="dxa"/>
              <w:left w:w="0" w:type="dxa"/>
              <w:bottom w:w="0" w:type="dxa"/>
              <w:right w:w="0" w:type="dxa"/>
            </w:tcMar>
            <w:vAlign w:val="center"/>
          </w:tcPr>
          <w:p>
            <w:pPr>
              <w:pStyle w:val="Normal"/>
              <w:rPr/>
            </w:pPr>
            <w:r>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vMerge w:val="continue"/>
            <w:tcBorders/>
            <w:shd w:fill="FFFFFF" w:val="clear"/>
            <w:tcMar>
              <w:top w:w="0" w:type="dxa"/>
              <w:left w:w="0" w:type="dxa"/>
              <w:bottom w:w="0" w:type="dxa"/>
              <w:right w:w="0" w:type="dxa"/>
            </w:tcMar>
            <w:vAlign w:val="center"/>
          </w:tcPr>
          <w:p>
            <w:pPr>
              <w:pStyle w:val="Normal"/>
              <w:rPr/>
            </w:pPr>
            <w:r>
              <w:rPr/>
            </w:r>
          </w:p>
        </w:tc>
        <w:tc>
          <w:tcPr>
            <w:tcW w:w="1044" w:type="dxa"/>
            <w:gridSpan w:val="3"/>
            <w:vMerge w:val="continue"/>
            <w:tcBorders/>
            <w:shd w:fill="FFFFFF" w:val="clear"/>
            <w:tcMar>
              <w:top w:w="0" w:type="dxa"/>
              <w:left w:w="0" w:type="dxa"/>
              <w:bottom w:w="0" w:type="dxa"/>
              <w:right w:w="0" w:type="dxa"/>
            </w:tcMar>
            <w:vAlign w:val="center"/>
          </w:tcPr>
          <w:p>
            <w:pPr>
              <w:pStyle w:val="Normal"/>
              <w:rPr/>
            </w:pPr>
            <w:r>
              <w:rPr/>
            </w:r>
          </w:p>
        </w:tc>
      </w:tr>
      <w:tr>
        <w:trPr/>
        <w:tc>
          <w:tcPr>
            <w:tcW w:w="3089" w:type="dxa"/>
            <w:gridSpan w:val="3"/>
            <w:vMerge w:val="continue"/>
            <w:tcBorders/>
            <w:shd w:fill="FFFFFF" w:val="clear"/>
            <w:tcMar>
              <w:top w:w="0" w:type="dxa"/>
              <w:left w:w="0" w:type="dxa"/>
              <w:bottom w:w="0" w:type="dxa"/>
              <w:right w:w="0" w:type="dxa"/>
            </w:tcMar>
            <w:vAlign w:val="center"/>
          </w:tcPr>
          <w:p>
            <w:pPr>
              <w:pStyle w:val="Normal"/>
              <w:rPr/>
            </w:pPr>
            <w:r>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vMerge w:val="continue"/>
            <w:tcBorders/>
            <w:shd w:fill="FFFFFF" w:val="clear"/>
            <w:tcMar>
              <w:top w:w="0" w:type="dxa"/>
              <w:left w:w="0" w:type="dxa"/>
              <w:bottom w:w="0" w:type="dxa"/>
              <w:right w:w="0" w:type="dxa"/>
            </w:tcMar>
            <w:vAlign w:val="center"/>
          </w:tcPr>
          <w:p>
            <w:pPr>
              <w:pStyle w:val="Normal"/>
              <w:rPr/>
            </w:pPr>
            <w:r>
              <w:rPr/>
            </w:r>
          </w:p>
        </w:tc>
        <w:tc>
          <w:tcPr>
            <w:tcW w:w="4722" w:type="dxa"/>
            <w:gridSpan w:val="21"/>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percentages)</w:t>
            </w:r>
          </w:p>
        </w:tc>
      </w:tr>
      <w:tr>
        <w:trPr/>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equity method investment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5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val="false"/>
          <w:color w:val="000000"/>
          <w:sz w:val="20"/>
          <w:highlight w:val="white"/>
        </w:rPr>
        <w:t xml:space="preserve">Loss from equity method investment increased by </w:t>
      </w:r>
      <w:r>
        <w:rPr>
          <w:rFonts w:ascii="Times New Roman;sans-serif" w:hAnsi="Times New Roman;sans-serif"/>
          <w:b w:val="false"/>
          <w:color w:val="000000"/>
          <w:sz w:val="20"/>
        </w:rPr>
        <w:t>$13.6 million during the three months ended March 31, 2023 compared to the same period last year,</w:t>
      </w:r>
      <w:r>
        <w:rPr>
          <w:color w:val="000000"/>
          <w:highlight w:val="white"/>
        </w:rPr>
        <w:t xml:space="preserve"> </w:t>
      </w:r>
      <w:r>
        <w:rPr>
          <w:rFonts w:ascii="Times New Roman;sans-serif" w:hAnsi="Times New Roman;sans-serif"/>
          <w:b w:val="false"/>
          <w:color w:val="000000"/>
          <w:sz w:val="20"/>
          <w:highlight w:val="white"/>
        </w:rPr>
        <w:t>due to the increase in o</w:t>
      </w:r>
      <w:r>
        <w:rPr>
          <w:rFonts w:ascii="Times New Roman;sans-serif" w:hAnsi="Times New Roman;sans-serif"/>
          <w:b w:val="false"/>
          <w:color w:val="000000"/>
          <w:sz w:val="20"/>
        </w:rPr>
        <w:t>ur proportionate share of loss of Linksys’ financial results as well as our share of the amortization of the basis differences.</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Liquidity and Capital Resources</w:t>
      </w:r>
    </w:p>
    <w:tbl>
      <w:tblPr>
        <w:tblW w:w="8732" w:type="dxa"/>
        <w:jc w:val="left"/>
        <w:tblInd w:w="0" w:type="dxa"/>
        <w:tblCellMar>
          <w:top w:w="28" w:type="dxa"/>
          <w:left w:w="28" w:type="dxa"/>
          <w:bottom w:w="28" w:type="dxa"/>
          <w:right w:w="28" w:type="dxa"/>
        </w:tblCellMar>
      </w:tblPr>
      <w:tblGrid>
        <w:gridCol w:w="2222"/>
        <w:gridCol w:w="1950"/>
        <w:gridCol w:w="1962"/>
        <w:gridCol w:w="211"/>
        <w:gridCol w:w="766"/>
        <w:gridCol w:w="109"/>
        <w:gridCol w:w="109"/>
        <w:gridCol w:w="109"/>
        <w:gridCol w:w="109"/>
        <w:gridCol w:w="221"/>
        <w:gridCol w:w="803"/>
        <w:gridCol w:w="161"/>
      </w:tblGrid>
      <w:tr>
        <w:trPr/>
        <w:tc>
          <w:tcPr>
            <w:tcW w:w="222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c>
          <w:tcPr>
            <w:tcW w:w="19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1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61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61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1,682.9 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and long-term investments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equity securities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investments and marketable equity securities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732.0 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61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2022</w:t>
            </w:r>
          </w:p>
        </w:tc>
      </w:tr>
      <w:tr>
        <w:trPr/>
        <w:tc>
          <w:tcPr>
            <w:tcW w:w="61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(746.0)</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Liquidity and capital resources are primarily impacted by our operating activities, as well as payment of taxes in connection with the net settlement of equity awards, real estate and other capital expenditures, proceeds from the issuance of common stock and cash used for stock repurchases.</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recent years, we have received significant capital resources from our billings to customers, issuance of investment grade debt and, to some extent, from the exercise of stock options by our employees. Additional increases in billings may depend on a number of factors, including demand for and availability of our products and services, competition, pricing actions, market or industry changes, macroeconomic events such as rising inflation and interest rates, economic strength, supply chain capacity and disruptions, international conflicts, including the war in Ukraine, and our ability to execute. We expect proceeds from the exercise of stock options in future years to be impacted by the increased mix of restricted stock units and performance stock units versus stock options granted to our employees and to vary based on our share price.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2023, our board of directors approved an extension of the Repurchase Program to February 29, 2024. Under the Repurchase Program, the aggregate amount authorized to repurchase our outstanding common stock was $5.25 billion. There were no shares repurchased under the Repurchase Program during the three months ended March 31, 2023. In April 2023, our board of directors approved a $1.00 billion increase in the authorized stock repurchase amount under the Repurchase Program, bringing the aggregate amount authorized to be repurchased to $6.25 billion through February 29, 2024. As of May 8, 2023, approximately $1.53 billion remained available for future share repurchases. </w:t>
      </w:r>
    </w:p>
    <w:p>
      <w:pPr>
        <w:pStyle w:val="TextBody"/>
        <w:spacing w:before="0" w:after="0"/>
        <w:ind w:left="0" w:right="0" w:firstLine="720"/>
        <w:rPr/>
      </w:pPr>
      <w:r>
        <w:rPr/>
      </w:r>
    </w:p>
    <w:p>
      <w:pPr>
        <w:pStyle w:val="TextBody"/>
        <w:spacing w:lineRule="auto" w:line="268" w:before="0" w:after="0"/>
        <w:ind w:left="0" w:right="0" w:firstLine="720"/>
        <w:rPr/>
      </w:pPr>
      <w:r>
        <w:rPr>
          <w:rFonts w:ascii="Times New Roman;sans-serif" w:hAnsi="Times New Roman;sans-serif"/>
          <w:b w:val="false"/>
          <w:color w:val="000000"/>
          <w:sz w:val="20"/>
          <w:highlight w:val="white"/>
        </w:rPr>
        <w:t>We expect to continue to increase our data center, office and warehouse capacity to support growth and the expansion of existing services or introduction of new services. As we purchase new properties, we will work to incorpo</w:t>
      </w:r>
      <w:r>
        <w:rPr>
          <w:rFonts w:ascii="Times New Roman;sans-serif" w:hAnsi="Times New Roman;sans-serif"/>
          <w:b w:val="false"/>
          <w:color w:val="000000"/>
          <w:sz w:val="20"/>
        </w:rPr>
        <w:t>rate these</w:t>
      </w:r>
      <w:r>
        <w:rPr>
          <w:color w:val="000000"/>
          <w:highlight w:val="white"/>
        </w:rPr>
        <w:t xml:space="preserve"> </w:t>
      </w:r>
      <w:r>
        <w:rPr>
          <w:rFonts w:ascii="Times New Roman;sans-serif" w:hAnsi="Times New Roman;sans-serif"/>
          <w:b w:val="false"/>
          <w:color w:val="000000"/>
          <w:sz w:val="20"/>
          <w:highlight w:val="white"/>
        </w:rPr>
        <w:t xml:space="preserve">properties into the environmental goals we have established. We estimate capital expenditures to be between approximately $400 million and $450 million in 2023. </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believe that our cash provided by operating activities, together with our existing cash, cash equivalents and investments will be sufficient to meet our anticipated cash needs and do not currently intend to retire our Senior Notes early. Refer to Note 10, Debt, in Part I, Item 1 of this Quarterly Report on Form 10-Q for information on the Senior Notes. As of March 31, 2023, the long-term debt, net of unamortized discount and debt issuance costs, was $990.9 million.</w:t>
      </w:r>
    </w:p>
    <w:p>
      <w:pPr>
        <w:pStyle w:val="TextBody"/>
        <w:spacing w:before="0" w:after="0"/>
        <w:ind w:left="0" w:right="0" w:firstLine="720"/>
        <w:rPr/>
      </w:pPr>
      <w:r>
        <w:rPr/>
      </w:r>
    </w:p>
    <w:p>
      <w:pPr>
        <w:pStyle w:val="TextBody"/>
        <w:spacing w:lineRule="auto" w:line="25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 into non-cancellable agreements with contract manufacturers and certain component suppliers to procure inventory based on our requirements in order to negotiate manufacturing lead times and encourage and incentivize vendors to deliver components and finished goods. In certain instances, these agreements allow us the option to reschedule and adjust our requirements based on our business needs prior to firm orders being placed. These purchase commitments as of March 31, 2023 totaled $1.20 billion, a decrease of $133.0 million compared to $1.34 billion as of December 31, 2022 due to fulfillment of customer demand as our supply availability improved and our continued efforts to work with contract manufacturers and suppliers to optimize our inventory and purchase commitment position. We increased our purchase commitments in prior years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to address significant supply constraints seen industry-wide due to component shortages. Our agreements secured supply and pricing for certain product components commitments with contract manufacturers to meet customer demand and to address extended lead times. We also have open purchase orders and contractual obligations in the ordinary course of business for which we have not received goods or services. As of March 31, 2023, we had $100.1 million in other contractual commitments having a remaining term in excess of one year that are non-cancelable.</w:t>
      </w:r>
    </w:p>
    <w:p>
      <w:pPr>
        <w:pStyle w:val="TextBody"/>
        <w:spacing w:before="0" w:after="0"/>
        <w:rPr/>
      </w:pPr>
      <w:r>
        <w:rPr/>
      </w:r>
    </w:p>
    <w:p>
      <w:pPr>
        <w:pStyle w:val="TextBody"/>
        <w:spacing w:lineRule="auto" w:line="25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significant changes to our leases as disclosed in our Annual Report on Form 10-K for the year ended December 31, 2022.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2023, our cash, cash equivalents, short-term and long-term investments of $2.87 billion were invested primarily in deposit accounts, money market funds, corporate debt securities, commercial paper, certificates of deposit and term deposits, U.S. government and agency securities and municipal bonds. It is our investment policy to invest excess cash in a manner that preserves capital, provides liquidity and generates return without significantly increasing risk. We do not enter into investments for trading or speculative purposes.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amount of cash, cash equivalents and investments held by our international subsidiaries was $206.7 million as of March 31, 2023 and $218.1 million as of December 31, 2022.</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believe that our existing cash and cash equivalents and cash flow from operations will be sufficient for at least the next 12 months to meet our requirements and plans for cash, including meeting our working capital requirements and capital expenditure requirements. In the long term, our ability to support our requirements and plans for cash, including our working capital and capital expenditure requirements will depend on many factors, including our growth rate; the timing and amount of our share repurchases; the expansion of sales and marketing activities, pricing actions, the introduction of new and enhanced products and services offerings; the continuing market acceptance of our products; the timing and extent of spending to support development efforts; our investments in purchasing, developing or leasing real estate; cash tax payments and macroeconomic impacts such as rising inflation and interest rates; the war in Ukraine; instability in the global banking system and the COVID-19 pandemic. Historically, we have required capital principally to fund our working capital needs, share repurchases, capital expenditures and acquisition activities. In the event that additional financing is required from outside sources, we may not be able to raise it on terms acceptable to us or at all.</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2023,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spacing w:before="0" w:after="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Cash generated by operating activities is our primary source of liquidity. It is primarily comprised of net income, as adjusted for non-cash items and changes in operating assets and liabilities. Non-cash adjustments consist primarily of amortization of deferred contract costs, stock-based compensation and depreciation and amortization. Changes in operating assets and liabilities consist primarily of changes in deferred revenue, accounts receivable, net, deferred contract costs and deferred tax assets.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operating activities during the three months ended March 31, 2023 provided cash flows of $677.5 million, an increase of $281.4 million compared to the same period last year, as a result of the continued growth of our business, improved profitability and our ability to successfully manage our working capital. Changes in operating assets and liabilities primarily resulted from an increase in sales of our FortiGuard and other security subscription services and FortiCare technical support services to new and existing customers, as reflected by an increase of $240.7 million in our deferred revenue during the three months ended March 31, 2023.</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changes in cash flows from investing activities primarily relate to timing of purchases, maturities and sales of investments and purchases of property and equipment. Historically, in making a lease-versus-ownership decision related to warehouse, office or data space, we have considered various factors including financial metrics, expected long-term growth rates and changes in asset values. In certain cases, we have elected to own a facility if we believe that purchasing or developing buildings rather than leasing is more closely aligned with our long-term strategy. We expect to make similar decisions in the future. We may also make cash payments in connection with future business combinations.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cash used in investing activities was $42.4 million, driven by $30.3 million of purchases of property and equipment and $12.2 million spent for purchases of investment, net of maturities and sales of investments.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Financing Activities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changes in cash flows from financing activities primarily relate to repurchase and retirement of common stock, and taxes paid related to net share settlement of equity awards, net of proceeds from the issuance of common stock under the Amended and Restated Fortinet, Inc. 2009 Equity Incentive Plan.</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highlight w:val="white"/>
        </w:rPr>
        <w:t>During the three months ended March 31, 2023, cash used in financing activities was $13.7 million, primarily driven by</w:t>
      </w:r>
      <w:r>
        <w:rPr>
          <w:color w:val="000000"/>
        </w:rPr>
        <w:t xml:space="preserve"> </w:t>
      </w:r>
      <w:r>
        <w:rPr>
          <w:rFonts w:ascii="Times New Roman;sans-serif" w:hAnsi="Times New Roman;sans-serif"/>
          <w:b w:val="false"/>
          <w:color w:val="000000"/>
          <w:sz w:val="20"/>
        </w:rPr>
        <w:t>$13.3 million used to pay tax withholding, net of proceeds from the issuance of common stock.</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There were no material changes in our market risk during the three months ended March 31, 2023 compared to the disclosures in Part II, Item 7A of the Form 10-K.</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evaluated the effectiveness of our disclosure controls and procedures (as defined in Rule 13a-15(e) or 15d-15(e) under the Exchange Act as of March 31, 2023.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Based on that evaluation, our chief executive officer and chief financial officer concluded that our disclosure controls and procedures were effective as of March 31, 2023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changes in our internal controls over financial reporting (as defined in Rules 13a-15(f) or 15d-15(f) under the Exchange Act) during the quarter ended March 31, 2023, that have materially affected, or are reasonably likely to materially affect, our internal controls over financial reporting. </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claims, complaints and legal actions that arise from time to time. We accrue for contingencies when we believe that a loss is probable and that we can reasonably estimate the amount of any such loss. There can be no assurance that existing or future legal proceedings arising in the ordinary course of business or otherwise will not have a material adverse effect on our business, consolidated financial position, results of operations or cash flows.</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 xml:space="preserve">ITEM 1A.     Risk Factors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Investing in our common stock involves a high degree of risk. Investors should carefully consider the following risks and all other information contained in this Quarterly Report on Form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 We have summarized risks immediately below and encourage investors to carefully read the entirety of this Risk Factors section.</w:t>
      </w: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Risks Related to Our Business and Financial Position</w:t>
      </w:r>
    </w:p>
    <w:p>
      <w:pPr>
        <w:pStyle w:val="TextBody"/>
        <w:spacing w:before="0" w:after="0"/>
        <w:ind w:left="0" w:right="0" w:hanging="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operating results are likely to vary significantly and be unpredictable.</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operating results have historically varied from period to period, and we expect that they will continue to do so as a result of a number of factors, many of which are outside of our control or may be difficult to predict, including:</w:t>
      </w:r>
    </w:p>
    <w:p>
      <w:pPr>
        <w:pStyle w:val="TextBody"/>
        <w:spacing w:lineRule="auto" w:line="288" w:before="0" w:after="0"/>
        <w:ind w:left="0" w:right="0" w:firstLine="720"/>
        <w:rPr>
          <w:color w:val="000000"/>
        </w:rPr>
      </w:pPr>
      <w:r>
        <w:rPr>
          <w:color w:val="000000"/>
        </w:rPr>
        <w:t> </w:t>
      </w:r>
    </w:p>
    <w:p>
      <w:pPr>
        <w:pStyle w:val="TextBody"/>
        <w:spacing w:lineRule="auto" w:line="276" w:before="0" w:after="0"/>
        <w:ind w:left="0" w:right="0" w:hanging="720"/>
        <w:rPr/>
      </w:pPr>
      <w:r>
        <w:rPr>
          <w:color w:val="000000"/>
        </w:rPr>
        <w:t>•</w:t>
      </w:r>
      <w:r>
        <w:rPr>
          <w:rFonts w:ascii="Times New Roman;sans-serif" w:hAnsi="Times New Roman;sans-serif"/>
          <w:b w:val="false"/>
          <w:color w:val="000000"/>
          <w:sz w:val="20"/>
        </w:rPr>
        <w:t>economic conditions, including macroeconomic and regional economic challenges resulting, for example, from a recession or other economic downturn, increased inflation or possible stagflation in certain geographies, rising interest rates, the war in Ukraine, tensions between China and Taiwan, the COVID-19 pandemic or other factors;</w:t>
      </w:r>
    </w:p>
    <w:p>
      <w:pPr>
        <w:pStyle w:val="TextBody"/>
        <w:spacing w:before="0" w:after="0"/>
        <w:ind w:left="0" w:right="0" w:hanging="360"/>
        <w:rPr/>
      </w:pPr>
      <w:r>
        <w:rPr/>
      </w:r>
    </w:p>
    <w:p>
      <w:pPr>
        <w:pStyle w:val="TextBody"/>
        <w:spacing w:lineRule="auto" w:line="276" w:before="0" w:after="0"/>
        <w:ind w:left="0" w:right="0" w:hanging="720"/>
        <w:rPr/>
      </w:pPr>
      <w:r>
        <w:rPr>
          <w:color w:val="000000"/>
        </w:rPr>
        <w:t>•</w:t>
      </w:r>
      <w:r>
        <w:rPr>
          <w:rFonts w:ascii="Times New Roman;sans-serif" w:hAnsi="Times New Roman;sans-serif"/>
          <w:b w:val="false"/>
          <w:color w:val="000000"/>
          <w:sz w:val="20"/>
        </w:rPr>
        <w:t>sales productivity and our ability to attract and retain new end-customers or sell additional products and services to our existing end-customers, including customer demand for platform solutions like ours versus point solutions;</w:t>
      </w:r>
    </w:p>
    <w:p>
      <w:pPr>
        <w:pStyle w:val="TextBody"/>
        <w:spacing w:before="0" w:after="0"/>
        <w:ind w:left="0" w:right="0" w:hanging="360"/>
        <w:rPr/>
      </w:pPr>
      <w:r>
        <w:rPr/>
      </w:r>
    </w:p>
    <w:p>
      <w:pPr>
        <w:pStyle w:val="TextBody"/>
        <w:spacing w:lineRule="auto" w:line="268" w:before="0" w:after="0"/>
        <w:ind w:left="0" w:right="0" w:hanging="720"/>
        <w:rPr/>
      </w:pPr>
      <w:r>
        <w:rPr>
          <w:color w:val="000000"/>
        </w:rPr>
        <w:t>•</w:t>
      </w:r>
      <w:r>
        <w:rPr>
          <w:rFonts w:ascii="Times New Roman;sans-serif" w:hAnsi="Times New Roman;sans-serif"/>
          <w:b w:val="false"/>
          <w:color w:val="000000"/>
          <w:sz w:val="20"/>
        </w:rPr>
        <w:t>component shortages, including chips and other components, and product inventory shortages, including those caused by factors outside of our control, such as the COVID-19 pandemic, supply chain disruptions, inflation and other cost increases, international trade disputes or tariffs, natural disasters, health emergencies, power outages, civil unrest, labor disruption, international conflicts, terrorism, wars, such as the war in Ukraine, and critical infrastructure attacks;</w:t>
      </w:r>
    </w:p>
    <w:p>
      <w:pPr>
        <w:pStyle w:val="TextBody"/>
        <w:spacing w:before="0" w:after="0"/>
        <w:ind w:left="0" w:right="0" w:hanging="360"/>
        <w:rPr/>
      </w:pPr>
      <w:r>
        <w:rPr/>
      </w:r>
    </w:p>
    <w:p>
      <w:pPr>
        <w:pStyle w:val="TextBody"/>
        <w:spacing w:lineRule="auto" w:line="276" w:before="0" w:after="0"/>
        <w:ind w:left="0" w:right="0" w:hanging="720"/>
        <w:rPr/>
      </w:pPr>
      <w:r>
        <w:rPr>
          <w:color w:val="000000"/>
        </w:rPr>
        <w:t>•</w:t>
      </w:r>
      <w:r>
        <w:rPr>
          <w:rFonts w:ascii="Times New Roman;sans-serif" w:hAnsi="Times New Roman;sans-serif"/>
          <w:b w:val="false"/>
          <w:color w:val="000000"/>
          <w:sz w:val="20"/>
        </w:rPr>
        <w:t>inventory management, including future inventory purchase order commitments;</w:t>
      </w:r>
    </w:p>
    <w:p>
      <w:pPr>
        <w:pStyle w:val="TextBody"/>
        <w:spacing w:before="0" w:after="0"/>
        <w:rPr/>
      </w:pPr>
      <w:r>
        <w:rPr/>
      </w:r>
    </w:p>
    <w:p>
      <w:pPr>
        <w:pStyle w:val="TextBody"/>
        <w:spacing w:lineRule="auto" w:line="268" w:before="0" w:after="0"/>
        <w:ind w:left="0" w:right="0" w:hanging="720"/>
        <w:rPr/>
      </w:pPr>
      <w:r>
        <w:rPr>
          <w:color w:val="000000"/>
        </w:rPr>
        <w:t>•</w:t>
      </w:r>
      <w:r>
        <w:rPr>
          <w:rFonts w:ascii="Times New Roman;sans-serif" w:hAnsi="Times New Roman;sans-serif"/>
          <w:b w:val="false"/>
          <w:color w:val="000000"/>
          <w:sz w:val="20"/>
        </w:rPr>
        <w:t>the level of demand for our products and services, which may render forecasts inaccurate, increase backlog or future inventory purchase order commitments and lead to price decreases;</w:t>
      </w:r>
    </w:p>
    <w:p>
      <w:pPr>
        <w:pStyle w:val="TextBody"/>
        <w:spacing w:before="0" w:after="0"/>
        <w:ind w:left="0" w:right="0" w:hanging="360"/>
        <w:rPr/>
      </w:pPr>
      <w:r>
        <w:rPr/>
      </w:r>
    </w:p>
    <w:p>
      <w:pPr>
        <w:pStyle w:val="TextBody"/>
        <w:spacing w:lineRule="auto" w:line="268" w:before="0" w:after="0"/>
        <w:ind w:left="0" w:right="0" w:hanging="720"/>
        <w:rPr/>
      </w:pPr>
      <w:r>
        <w:rPr>
          <w:color w:val="000000"/>
        </w:rPr>
        <w:t>•</w:t>
      </w:r>
      <w:r>
        <w:rPr>
          <w:rFonts w:ascii="Times New Roman;sans-serif" w:hAnsi="Times New Roman;sans-serif"/>
          <w:b w:val="false"/>
          <w:color w:val="000000"/>
          <w:sz w:val="20"/>
        </w:rPr>
        <w:t>based on supply chain shortages, including component and other shortages, our backlog increased during past quarters and, now that supply chain shortages are lessening to some extent, as we fulfill, ship and bill during a quarter based in part on backlog from sales in earlier quarters, this may increase our aggregate billings and revenue during any particular quarter such that any decrease in growth or negative growth of in-quarter billings and revenue may not be reflected by our aggregate billings and revenue;</w:t>
      </w:r>
    </w:p>
    <w:p>
      <w:pPr>
        <w:pStyle w:val="TextBody"/>
        <w:spacing w:before="0" w:after="0"/>
        <w:ind w:left="0" w:right="0" w:hanging="360"/>
        <w:rPr/>
      </w:pPr>
      <w:r>
        <w:rPr/>
      </w:r>
    </w:p>
    <w:p>
      <w:pPr>
        <w:pStyle w:val="TextBody"/>
        <w:spacing w:lineRule="auto" w:line="268" w:before="0" w:after="0"/>
        <w:ind w:left="0" w:right="0" w:hanging="720"/>
        <w:rPr/>
      </w:pPr>
      <w:r>
        <w:rPr>
          <w:color w:val="000000"/>
        </w:rPr>
        <w:t>•</w:t>
      </w:r>
      <w:r>
        <w:rPr>
          <w:rFonts w:ascii="Times New Roman;sans-serif" w:hAnsi="Times New Roman;sans-serif"/>
          <w:b w:val="false"/>
          <w:color w:val="000000"/>
          <w:sz w:val="20"/>
        </w:rPr>
        <w:t>supplier cost increases and any lack of market acceptance of our price increases designed to help offset any supplier cost increases;</w:t>
      </w:r>
    </w:p>
    <w:p>
      <w:pPr>
        <w:pStyle w:val="TextBody"/>
        <w:spacing w:before="0" w:after="0"/>
        <w:ind w:left="0" w:right="0" w:hanging="360"/>
        <w:rPr/>
      </w:pPr>
      <w:r>
        <w:rPr/>
      </w:r>
    </w:p>
    <w:p>
      <w:pPr>
        <w:pStyle w:val="TextBody"/>
        <w:spacing w:lineRule="auto" w:line="268" w:before="0" w:after="0"/>
        <w:ind w:left="0" w:right="0" w:hanging="720"/>
        <w:rPr/>
      </w:pPr>
      <w:r>
        <w:rPr>
          <w:color w:val="000000"/>
        </w:rPr>
        <w:t>•</w:t>
      </w:r>
      <w:r>
        <w:rPr>
          <w:rFonts w:ascii="Times New Roman;sans-serif" w:hAnsi="Times New Roman;sans-serif"/>
          <w:b w:val="false"/>
          <w:color w:val="000000"/>
          <w:sz w:val="20"/>
        </w:rPr>
        <w:t>the effects of our reduction of operations in Russia;</w:t>
      </w:r>
    </w:p>
    <w:p>
      <w:pPr>
        <w:pStyle w:val="TextBody"/>
        <w:spacing w:before="0" w:after="0"/>
        <w:ind w:left="0" w:right="0" w:hanging="360"/>
        <w:rPr/>
      </w:pPr>
      <w:r>
        <w:rPr/>
      </w:r>
    </w:p>
    <w:p>
      <w:pPr>
        <w:pStyle w:val="TextBody"/>
        <w:spacing w:lineRule="auto" w:line="268" w:before="0" w:after="0"/>
        <w:ind w:left="0" w:right="0" w:hanging="720"/>
        <w:rPr/>
      </w:pPr>
      <w:r>
        <w:rPr>
          <w:color w:val="000000"/>
        </w:rPr>
        <w:t>•</w:t>
      </w:r>
      <w:r>
        <w:rPr>
          <w:rFonts w:ascii="Times New Roman;sans-serif" w:hAnsi="Times New Roman;sans-serif"/>
          <w:b w:val="false"/>
          <w:color w:val="000000"/>
          <w:sz w:val="20"/>
        </w:rPr>
        <w:t>the timing of channel partner and end-customer orders and our reliance on a concentration of shipments at the end of each quarter;</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68" w:before="0" w:after="0"/>
        <w:ind w:left="0" w:right="0" w:hanging="720"/>
        <w:rPr/>
      </w:pPr>
      <w:r>
        <w:rPr>
          <w:color w:val="000000"/>
        </w:rPr>
        <w:t>•</w:t>
      </w:r>
      <w:r>
        <w:rPr>
          <w:rFonts w:ascii="Times New Roman;sans-serif" w:hAnsi="Times New Roman;sans-serif"/>
          <w:b w:val="false"/>
          <w:color w:val="000000"/>
          <w:sz w:val="20"/>
        </w:rPr>
        <w:t>the impact to our business, the global economy, disruption of global supply chains and creation of significant volatility and disruption of the financial markets due to factors such as increased inflation or possible stagflation in certain geographies, increasing or decreasing interest rates, the war in Ukraine and other factors;</w:t>
      </w:r>
    </w:p>
    <w:p>
      <w:pPr>
        <w:pStyle w:val="TextBody"/>
        <w:spacing w:before="0" w:after="0"/>
        <w:ind w:left="0" w:right="0" w:hanging="360"/>
        <w:rPr/>
      </w:pPr>
      <w:r>
        <w:rPr/>
      </w:r>
    </w:p>
    <w:p>
      <w:pPr>
        <w:pStyle w:val="TextBody"/>
        <w:spacing w:lineRule="auto" w:line="268" w:before="0" w:after="0"/>
        <w:ind w:left="0" w:right="0" w:hanging="720"/>
        <w:rPr/>
      </w:pPr>
      <w:r>
        <w:rPr>
          <w:color w:val="000000"/>
        </w:rPr>
        <w:t>•</w:t>
      </w:r>
      <w:r>
        <w:rPr>
          <w:rFonts w:ascii="Times New Roman;sans-serif" w:hAnsi="Times New Roman;sans-serif"/>
          <w:b w:val="false"/>
          <w:color w:val="000000"/>
          <w:sz w:val="20"/>
        </w:rPr>
        <w:t>any actual or perceived vulnerabilities in our products or services, and any actual or perceived breach of our network or our customers’ networks;</w:t>
      </w:r>
    </w:p>
    <w:p>
      <w:pPr>
        <w:pStyle w:val="TextBody"/>
        <w:spacing w:lineRule="auto" w:line="268" w:before="0" w:after="0"/>
        <w:ind w:left="0" w:right="0" w:hanging="720"/>
        <w:rPr>
          <w:color w:val="000000"/>
        </w:rPr>
      </w:pPr>
      <w:r>
        <w:rPr>
          <w:color w:val="000000"/>
        </w:rPr>
        <w:t> </w:t>
      </w:r>
    </w:p>
    <w:p>
      <w:pPr>
        <w:pStyle w:val="TextBody"/>
        <w:spacing w:lineRule="auto" w:line="268" w:before="0" w:after="0"/>
        <w:ind w:left="0" w:right="0" w:hanging="720"/>
        <w:rPr/>
      </w:pPr>
      <w:r>
        <w:rPr>
          <w:color w:val="000000"/>
        </w:rPr>
        <w:t>•</w:t>
      </w:r>
      <w:r>
        <w:rPr>
          <w:rFonts w:ascii="Times New Roman;sans-serif" w:hAnsi="Times New Roman;sans-serif"/>
          <w:b w:val="false"/>
          <w:color w:val="000000"/>
          <w:sz w:val="20"/>
        </w:rPr>
        <w:t>the timing of shipments, which may depend on factors such as inventory levels, logistics, manufacturing or shipping delays, our ability to ship products on schedule and our ability to accurately forecast inventory requirements and our suppliers’ ability to deliver components and finished goods;</w:t>
      </w:r>
    </w:p>
    <w:p>
      <w:pPr>
        <w:pStyle w:val="TextBody"/>
        <w:spacing w:before="0" w:after="0"/>
        <w:ind w:left="0" w:right="0" w:hanging="360"/>
        <w:rPr/>
      </w:pPr>
      <w:r>
        <w:rPr/>
      </w:r>
    </w:p>
    <w:p>
      <w:pPr>
        <w:pStyle w:val="TextBody"/>
        <w:spacing w:lineRule="auto" w:line="268" w:before="0" w:after="0"/>
        <w:ind w:left="0" w:right="0" w:hanging="720"/>
        <w:rPr/>
      </w:pPr>
      <w:r>
        <w:rPr>
          <w:color w:val="000000"/>
        </w:rPr>
        <w:t>•</w:t>
      </w:r>
      <w:r>
        <w:rPr>
          <w:rFonts w:ascii="Times New Roman;sans-serif" w:hAnsi="Times New Roman;sans-serif"/>
          <w:b w:val="false"/>
          <w:color w:val="000000"/>
          <w:sz w:val="20"/>
        </w:rPr>
        <w:t>increased expenses, unforeseen liabilities or write-downs and any negative impact on results of operations from any acquisition or equity investment consummated, as well as accounting risks, integration risks related to product plans and products and risks of negative impact by such acquisitions and equity investments on our financial results;</w:t>
      </w:r>
    </w:p>
    <w:p>
      <w:pPr>
        <w:pStyle w:val="TextBody"/>
        <w:spacing w:before="0" w:after="0"/>
        <w:ind w:left="0" w:right="0" w:hanging="720"/>
        <w:rPr/>
      </w:pPr>
      <w:r>
        <w:rPr/>
      </w:r>
    </w:p>
    <w:p>
      <w:pPr>
        <w:pStyle w:val="TextBody"/>
        <w:spacing w:lineRule="auto" w:line="268" w:before="0" w:after="0"/>
        <w:ind w:left="0" w:right="0" w:hanging="720"/>
        <w:rPr/>
      </w:pPr>
      <w:r>
        <w:rPr>
          <w:color w:val="000000"/>
        </w:rPr>
        <w:t>•</w:t>
      </w:r>
      <w:r>
        <w:rPr>
          <w:rFonts w:ascii="Times New Roman;sans-serif" w:hAnsi="Times New Roman;sans-serif"/>
          <w:b w:val="false"/>
          <w:color w:val="000000"/>
          <w:sz w:val="20"/>
        </w:rPr>
        <w:t>investors’ expectations of our performance relating to environmental, social and governance (“ESG”) and commitment to carbon neutrality;</w:t>
      </w:r>
    </w:p>
    <w:p>
      <w:pPr>
        <w:pStyle w:val="TextBody"/>
        <w:spacing w:before="0" w:after="0"/>
        <w:ind w:left="0" w:right="0" w:hanging="720"/>
        <w:rPr/>
      </w:pPr>
      <w:r>
        <w:rPr/>
      </w:r>
    </w:p>
    <w:p>
      <w:pPr>
        <w:pStyle w:val="TextBody"/>
        <w:spacing w:lineRule="auto" w:line="268" w:before="0" w:after="0"/>
        <w:ind w:left="0" w:right="0" w:hanging="720"/>
        <w:rPr/>
      </w:pPr>
      <w:r>
        <w:rPr>
          <w:color w:val="000000"/>
        </w:rPr>
        <w:t>•</w:t>
      </w:r>
      <w:r>
        <w:rPr>
          <w:rFonts w:ascii="Times New Roman;sans-serif" w:hAnsi="Times New Roman;sans-serif"/>
          <w:b w:val="false"/>
          <w:color w:val="000000"/>
          <w:sz w:val="20"/>
        </w:rPr>
        <w:t>certain customer agreements which contain service-level agreements, under which we guarantee specified availability of our platform and solutions;</w:t>
      </w:r>
    </w:p>
    <w:p>
      <w:pPr>
        <w:pStyle w:val="TextBody"/>
        <w:spacing w:before="0" w:after="0"/>
        <w:ind w:left="0" w:right="0" w:hanging="720"/>
        <w:rPr/>
      </w:pPr>
      <w:r>
        <w:rPr/>
      </w:r>
    </w:p>
    <w:p>
      <w:pPr>
        <w:pStyle w:val="TextBody"/>
        <w:spacing w:lineRule="auto" w:line="268" w:before="0" w:after="0"/>
        <w:ind w:left="0" w:right="0" w:hanging="720"/>
        <w:rPr/>
      </w:pPr>
      <w:r>
        <w:rPr>
          <w:color w:val="000000"/>
        </w:rPr>
        <w:t>•</w:t>
      </w:r>
      <w:r>
        <w:rPr>
          <w:rFonts w:ascii="Times New Roman;sans-serif" w:hAnsi="Times New Roman;sans-serif"/>
          <w:b w:val="false"/>
          <w:color w:val="000000"/>
          <w:sz w:val="20"/>
        </w:rPr>
        <w:t>data security requirements that may be inconsistently enforced in certain jurisdictions;</w:t>
      </w:r>
    </w:p>
    <w:p>
      <w:pPr>
        <w:pStyle w:val="TextBody"/>
        <w:spacing w:before="0" w:after="0"/>
        <w:ind w:left="0" w:right="0" w:hanging="720"/>
        <w:rPr/>
      </w:pPr>
      <w:r>
        <w:rPr/>
      </w:r>
    </w:p>
    <w:p>
      <w:pPr>
        <w:pStyle w:val="TextBody"/>
        <w:spacing w:lineRule="auto" w:line="268" w:before="0" w:after="0"/>
        <w:ind w:left="0" w:right="0" w:hanging="720"/>
        <w:rPr/>
      </w:pPr>
      <w:r>
        <w:rPr>
          <w:color w:val="000000"/>
        </w:rPr>
        <w:t>•</w:t>
      </w:r>
      <w:r>
        <w:rPr>
          <w:rFonts w:ascii="Times New Roman;sans-serif" w:hAnsi="Times New Roman;sans-serif"/>
          <w:b w:val="false"/>
          <w:color w:val="000000"/>
          <w:sz w:val="20"/>
        </w:rPr>
        <w:t>impairments as a result of certain events or changes in circumstances;</w:t>
      </w:r>
    </w:p>
    <w:p>
      <w:pPr>
        <w:pStyle w:val="TextBody"/>
        <w:spacing w:before="0" w:after="0"/>
        <w:rPr/>
      </w:pPr>
      <w:r>
        <w:rPr/>
      </w:r>
    </w:p>
    <w:p>
      <w:pPr>
        <w:pStyle w:val="TextBody"/>
        <w:spacing w:lineRule="auto" w:line="268" w:before="0" w:after="0"/>
        <w:ind w:left="0" w:right="0" w:hanging="720"/>
        <w:rPr/>
      </w:pPr>
      <w:r>
        <w:rPr>
          <w:color w:val="000000"/>
        </w:rPr>
        <w:t>•</w:t>
      </w:r>
      <w:r>
        <w:rPr>
          <w:rFonts w:ascii="Times New Roman;sans-serif" w:hAnsi="Times New Roman;sans-serif"/>
          <w:b w:val="false"/>
          <w:color w:val="000000"/>
          <w:sz w:val="20"/>
        </w:rPr>
        <w:t>the mix of products sold and the mix of revenue between products and services, as well as the degree to which products and services are bundled and sold together for a package price;</w:t>
      </w:r>
    </w:p>
    <w:p>
      <w:pPr>
        <w:pStyle w:val="TextBody"/>
        <w:spacing w:before="0" w:after="0"/>
        <w:rPr/>
      </w:pPr>
      <w:r>
        <w:rPr/>
      </w:r>
    </w:p>
    <w:p>
      <w:pPr>
        <w:pStyle w:val="TextBody"/>
        <w:spacing w:lineRule="auto" w:line="268" w:before="0" w:after="0"/>
        <w:ind w:left="0" w:right="0" w:hanging="720"/>
        <w:rPr/>
      </w:pPr>
      <w:r>
        <w:rPr>
          <w:color w:val="000000"/>
        </w:rPr>
        <w:t>•</w:t>
      </w:r>
      <w:r>
        <w:rPr>
          <w:rFonts w:ascii="Times New Roman;sans-serif" w:hAnsi="Times New Roman;sans-serif"/>
          <w:b w:val="false"/>
          <w:color w:val="000000"/>
          <w:sz w:val="20"/>
        </w:rPr>
        <w:t>the purchasing practices and budgeting cycles of our channel partners and end-customers, including the effect of the end of product lifecycles or refresh cycles;</w:t>
      </w:r>
    </w:p>
    <w:p>
      <w:pPr>
        <w:pStyle w:val="TextBody"/>
        <w:spacing w:before="0" w:after="0"/>
        <w:rPr/>
      </w:pPr>
      <w:r>
        <w:rPr/>
      </w:r>
    </w:p>
    <w:p>
      <w:pPr>
        <w:pStyle w:val="TextBody"/>
        <w:spacing w:lineRule="auto" w:line="268" w:before="0" w:after="0"/>
        <w:ind w:left="0" w:right="0" w:hanging="720"/>
        <w:rPr/>
      </w:pPr>
      <w:r>
        <w:rPr>
          <w:color w:val="000000"/>
        </w:rPr>
        <w:t>•</w:t>
      </w:r>
      <w:r>
        <w:rPr>
          <w:rFonts w:ascii="Times New Roman;sans-serif" w:hAnsi="Times New Roman;sans-serif"/>
          <w:b w:val="false"/>
          <w:color w:val="000000"/>
          <w:sz w:val="20"/>
        </w:rPr>
        <w:t>any decreases in demand by channel partners or end-customers, including any such decreases caused by factors outside of our control such as natural disasters and health emergencies, including earthquakes, droughts, fires, power outages, typhoons, floods, pandemics or epidemics such as the COVID-19 pandemic and manmade events such as civil unrest, labor disruption, international trade disputes, international conflicts, terrorism, wars, such as the war in Ukraine, and critical infrastructure attacks;</w:t>
      </w:r>
    </w:p>
    <w:p>
      <w:pPr>
        <w:pStyle w:val="TextBody"/>
        <w:spacing w:before="0" w:after="0"/>
        <w:rPr/>
      </w:pPr>
      <w:r>
        <w:rPr/>
      </w:r>
    </w:p>
    <w:p>
      <w:pPr>
        <w:pStyle w:val="TextBody"/>
        <w:spacing w:lineRule="auto" w:line="276" w:before="0" w:after="0"/>
        <w:ind w:left="0" w:right="0" w:hanging="720"/>
        <w:rPr/>
      </w:pPr>
      <w:r>
        <w:rPr>
          <w:color w:val="000000"/>
        </w:rPr>
        <w:t>•</w:t>
      </w:r>
      <w:r>
        <w:rPr>
          <w:rFonts w:ascii="Times New Roman;sans-serif" w:hAnsi="Times New Roman;sans-serif"/>
          <w:b w:val="false"/>
          <w:color w:val="000000"/>
          <w:sz w:val="20"/>
        </w:rPr>
        <w:t>the effectiveness of our sales organization, generally or in a particular geographic region, including the time it takes to hire sales personnel, the timing of hiring and our ability to hire and retain effective sales personnel, as well as our efforts to align our sales capacity and market demand;</w:t>
      </w:r>
    </w:p>
    <w:p>
      <w:pPr>
        <w:pStyle w:val="TextBody"/>
        <w:spacing w:before="0" w:after="0"/>
        <w:rPr/>
      </w:pPr>
      <w:r>
        <w:rPr/>
      </w:r>
    </w:p>
    <w:p>
      <w:pPr>
        <w:pStyle w:val="TextBody"/>
        <w:spacing w:lineRule="auto" w:line="268" w:before="0" w:after="0"/>
        <w:ind w:left="0" w:right="0" w:hanging="720"/>
        <w:rPr/>
      </w:pPr>
      <w:r>
        <w:rPr>
          <w:color w:val="000000"/>
        </w:rPr>
        <w:t>•</w:t>
      </w:r>
      <w:r>
        <w:rPr>
          <w:rFonts w:ascii="Times New Roman;sans-serif" w:hAnsi="Times New Roman;sans-serif"/>
          <w:b w:val="false"/>
          <w:color w:val="000000"/>
          <w:sz w:val="20"/>
        </w:rPr>
        <w:t>sales productivity and sales execution risk related to effectively selling to all segments of the market, including enterprise and small- and medium-sized businesses, government organizations and service providers, and to selling our broad security product and services portfolio, including, among other execution risks, risks associated with the complexity and distraction in selling to all segments, increased competition and unpredictability of timing to close larger enterprise and large organization deals, and the risk that our sales representatives do not effectively sell products and services;</w:t>
      </w:r>
    </w:p>
    <w:p>
      <w:pPr>
        <w:pStyle w:val="TextBody"/>
        <w:spacing w:before="0" w:after="0"/>
        <w:rPr/>
      </w:pPr>
      <w:r>
        <w:rPr/>
      </w:r>
    </w:p>
    <w:p>
      <w:pPr>
        <w:pStyle w:val="TextBody"/>
        <w:spacing w:lineRule="auto" w:line="268" w:before="0" w:after="0"/>
        <w:ind w:left="0" w:right="0" w:hanging="720"/>
        <w:rPr/>
      </w:pPr>
      <w:r>
        <w:rPr>
          <w:color w:val="000000"/>
        </w:rPr>
        <w:t>•</w:t>
      </w:r>
      <w:r>
        <w:rPr>
          <w:rFonts w:ascii="Times New Roman;sans-serif" w:hAnsi="Times New Roman;sans-serif"/>
          <w:b w:val="false"/>
          <w:color w:val="000000"/>
          <w:sz w:val="20"/>
        </w:rPr>
        <w:t>execution risk associated with our efforts to capture the opportunities related to our identified growth drivers, such as risk associated with our ability to capitalize on the convergence of networking and security, vendor consolidation of various cyber security solutions, SD-WAN, infrastructure security, cloud security and endpoint protection, and IoT and OT security opportunities;</w:t>
      </w:r>
    </w:p>
    <w:p>
      <w:pPr>
        <w:pStyle w:val="TextBody"/>
        <w:spacing w:before="0" w:after="0"/>
        <w:rPr/>
      </w:pPr>
      <w:r>
        <w:rPr/>
      </w:r>
    </w:p>
    <w:p>
      <w:pPr>
        <w:pStyle w:val="TextBody"/>
        <w:spacing w:lineRule="auto" w:line="276" w:before="0" w:after="0"/>
        <w:ind w:left="0" w:right="0" w:hanging="720"/>
        <w:rPr/>
      </w:pPr>
      <w:r>
        <w:rPr>
          <w:color w:val="000000"/>
        </w:rPr>
        <w:t>•</w:t>
      </w:r>
      <w:r>
        <w:rPr>
          <w:rFonts w:ascii="Times New Roman;sans-serif" w:hAnsi="Times New Roman;sans-serif"/>
          <w:b w:val="false"/>
          <w:color w:val="000000"/>
          <w:sz w:val="20"/>
        </w:rPr>
        <w:t>the seasonal buying patterns of our end-customers;</w:t>
      </w:r>
    </w:p>
    <w:p>
      <w:pPr>
        <w:pStyle w:val="TextBody"/>
        <w:spacing w:before="0" w:after="0"/>
        <w:rPr/>
      </w:pPr>
      <w:r>
        <w:rPr/>
      </w:r>
    </w:p>
    <w:p>
      <w:pPr>
        <w:pStyle w:val="TextBody"/>
        <w:spacing w:lineRule="auto" w:line="268" w:before="0" w:after="0"/>
        <w:ind w:left="0" w:right="0" w:hanging="720"/>
        <w:rPr/>
      </w:pPr>
      <w:r>
        <w:rPr>
          <w:color w:val="000000"/>
        </w:rPr>
        <w:t>•</w:t>
      </w:r>
      <w:r>
        <w:rPr>
          <w:rFonts w:ascii="Times New Roman;sans-serif" w:hAnsi="Times New Roman;sans-serif"/>
          <w:b w:val="false"/>
          <w:color w:val="000000"/>
          <w:sz w:val="20"/>
        </w:rPr>
        <w:t>the timing and level of our investments in sales and marketing, and the impact of such investments on our operating expenses, operating margin and the productivity, capacity, tenure and effectiveness of execution of our sales and marketing teams;</w:t>
      </w:r>
    </w:p>
    <w:p>
      <w:pPr>
        <w:pStyle w:val="TextBody"/>
        <w:spacing w:lineRule="auto" w:line="276" w:before="0" w:after="0"/>
        <w:ind w:left="0" w:right="0" w:hanging="720"/>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68" w:before="0" w:after="0"/>
        <w:ind w:left="0" w:right="0" w:hanging="720"/>
        <w:rPr/>
      </w:pPr>
      <w:r>
        <w:rPr>
          <w:color w:val="000000"/>
        </w:rPr>
        <w:t>•</w:t>
      </w:r>
      <w:r>
        <w:rPr>
          <w:rFonts w:ascii="Times New Roman;sans-serif" w:hAnsi="Times New Roman;sans-serif"/>
          <w:b w:val="false"/>
          <w:color w:val="000000"/>
          <w:sz w:val="20"/>
        </w:rPr>
        <w:t>the timing of revenue recognition for our sales, including any impacts resulting from extension of payment terms to distributors and fluctuations in backlog levels, which could result in more variability and less predictability in our quarter-to-quarter revenue and operating results;</w:t>
      </w:r>
    </w:p>
    <w:p>
      <w:pPr>
        <w:pStyle w:val="TextBody"/>
        <w:spacing w:lineRule="auto" w:line="276" w:before="0" w:after="0"/>
        <w:ind w:left="0" w:right="0" w:hanging="720"/>
        <w:rPr>
          <w:color w:val="000000"/>
        </w:rPr>
      </w:pPr>
      <w:r>
        <w:rPr>
          <w:color w:val="000000"/>
        </w:rPr>
        <w:t> </w:t>
      </w:r>
    </w:p>
    <w:p>
      <w:pPr>
        <w:pStyle w:val="TextBody"/>
        <w:spacing w:lineRule="auto" w:line="276" w:before="0" w:after="0"/>
        <w:ind w:left="0" w:right="0" w:hanging="720"/>
        <w:rPr/>
      </w:pPr>
      <w:r>
        <w:rPr>
          <w:color w:val="000000"/>
        </w:rPr>
        <w:t>•</w:t>
      </w:r>
      <w:r>
        <w:rPr>
          <w:rFonts w:ascii="Times New Roman;sans-serif" w:hAnsi="Times New Roman;sans-serif"/>
          <w:b w:val="false"/>
          <w:color w:val="000000"/>
          <w:sz w:val="20"/>
        </w:rPr>
        <w:t>the level of perceived threats to network security, which may fluctuate from period to period;</w:t>
      </w:r>
    </w:p>
    <w:p>
      <w:pPr>
        <w:pStyle w:val="TextBody"/>
        <w:spacing w:lineRule="auto" w:line="276" w:before="0" w:after="0"/>
        <w:ind w:left="0" w:right="0" w:hanging="720"/>
        <w:rPr>
          <w:color w:val="000000"/>
        </w:rPr>
      </w:pPr>
      <w:r>
        <w:rPr>
          <w:color w:val="000000"/>
        </w:rPr>
        <w:t> </w:t>
      </w:r>
    </w:p>
    <w:p>
      <w:pPr>
        <w:pStyle w:val="TextBody"/>
        <w:spacing w:lineRule="auto" w:line="276" w:before="0" w:after="0"/>
        <w:ind w:left="0" w:right="0" w:hanging="720"/>
        <w:rPr/>
      </w:pPr>
      <w:r>
        <w:rPr>
          <w:color w:val="000000"/>
        </w:rPr>
        <w:t>•</w:t>
      </w:r>
      <w:r>
        <w:rPr>
          <w:rFonts w:ascii="Times New Roman;sans-serif" w:hAnsi="Times New Roman;sans-serif"/>
          <w:b w:val="false"/>
          <w:color w:val="000000"/>
          <w:sz w:val="20"/>
        </w:rPr>
        <w:t>changes in the requirements, market needs or buying practices and patterns of our distributors, resellers or end-customers;</w:t>
      </w:r>
    </w:p>
    <w:p>
      <w:pPr>
        <w:pStyle w:val="TextBody"/>
        <w:spacing w:lineRule="auto" w:line="276" w:before="0" w:after="0"/>
        <w:ind w:left="0" w:right="0" w:hanging="720"/>
        <w:rPr>
          <w:color w:val="000000"/>
        </w:rPr>
      </w:pPr>
      <w:r>
        <w:rPr>
          <w:color w:val="000000"/>
        </w:rPr>
        <w:t> </w:t>
      </w:r>
    </w:p>
    <w:p>
      <w:pPr>
        <w:pStyle w:val="TextBody"/>
        <w:spacing w:lineRule="auto" w:line="268" w:before="0" w:after="0"/>
        <w:ind w:left="0" w:right="0" w:hanging="720"/>
        <w:rPr/>
      </w:pPr>
      <w:r>
        <w:rPr>
          <w:color w:val="000000"/>
        </w:rPr>
        <w:t>•</w:t>
      </w:r>
      <w:r>
        <w:rPr>
          <w:rFonts w:ascii="Times New Roman;sans-serif" w:hAnsi="Times New Roman;sans-serif"/>
          <w:b w:val="false"/>
          <w:color w:val="000000"/>
          <w:sz w:val="20"/>
        </w:rPr>
        <w:t>changes in the growth rates of the network security market in particular and other security and networking markets, such as SD-WAN, OT, switches, access points and cloud solutions for which we and our competitors sell products and services;</w:t>
      </w:r>
    </w:p>
    <w:p>
      <w:pPr>
        <w:pStyle w:val="TextBody"/>
        <w:spacing w:lineRule="auto" w:line="276" w:before="0" w:after="0"/>
        <w:ind w:left="0" w:right="0" w:hanging="720"/>
        <w:rPr>
          <w:color w:val="000000"/>
        </w:rPr>
      </w:pPr>
      <w:r>
        <w:rPr>
          <w:color w:val="000000"/>
        </w:rPr>
        <w:t> </w:t>
      </w:r>
    </w:p>
    <w:p>
      <w:pPr>
        <w:pStyle w:val="TextBody"/>
        <w:spacing w:lineRule="auto" w:line="276" w:before="0" w:after="0"/>
        <w:ind w:left="0" w:right="0" w:hanging="720"/>
        <w:rPr/>
      </w:pPr>
      <w:r>
        <w:rPr>
          <w:color w:val="000000"/>
        </w:rPr>
        <w:t>•</w:t>
      </w:r>
      <w:r>
        <w:rPr>
          <w:rFonts w:ascii="Times New Roman;sans-serif" w:hAnsi="Times New Roman;sans-serif"/>
          <w:b w:val="false"/>
          <w:color w:val="000000"/>
          <w:sz w:val="20"/>
        </w:rPr>
        <w:t>the timing and success of new product and service introductions or enhancements by us or our competitors, or any other change in the competitive landscape of our industry, including consolidation among our competitors, partners or end-customers;</w:t>
      </w:r>
    </w:p>
    <w:p>
      <w:pPr>
        <w:pStyle w:val="TextBody"/>
        <w:spacing w:lineRule="auto" w:line="276" w:before="0" w:after="0"/>
        <w:rPr>
          <w:color w:val="000000"/>
        </w:rPr>
      </w:pPr>
      <w:r>
        <w:rPr>
          <w:color w:val="000000"/>
        </w:rPr>
        <w:t> </w:t>
      </w:r>
    </w:p>
    <w:p>
      <w:pPr>
        <w:pStyle w:val="TextBody"/>
        <w:spacing w:lineRule="auto" w:line="268" w:before="0" w:after="0"/>
        <w:ind w:left="0" w:right="0" w:hanging="720"/>
        <w:rPr/>
      </w:pPr>
      <w:r>
        <w:rPr>
          <w:color w:val="000000"/>
        </w:rPr>
        <w:t>•</w:t>
      </w:r>
      <w:r>
        <w:rPr>
          <w:rFonts w:ascii="Times New Roman;sans-serif" w:hAnsi="Times New Roman;sans-serif"/>
          <w:b w:val="false"/>
          <w:color w:val="000000"/>
          <w:sz w:val="20"/>
        </w:rPr>
        <w:t>the deferral of orders from distributors, resellers or end-customers in anticipation of new products or product enhancements announced by us or our competitors, price decreases or changes in our registration policies, or the acceleration of orders in response to our announced or expected price list increases;</w:t>
      </w:r>
    </w:p>
    <w:p>
      <w:pPr>
        <w:pStyle w:val="TextBody"/>
        <w:spacing w:lineRule="auto" w:line="276" w:before="0" w:after="0"/>
        <w:rPr>
          <w:color w:val="000000"/>
        </w:rPr>
      </w:pPr>
      <w:r>
        <w:rPr>
          <w:color w:val="000000"/>
        </w:rPr>
        <w:t> </w:t>
      </w:r>
    </w:p>
    <w:p>
      <w:pPr>
        <w:pStyle w:val="TextBody"/>
        <w:spacing w:lineRule="auto" w:line="276" w:before="0" w:after="0"/>
        <w:ind w:left="0" w:right="0" w:hanging="720"/>
        <w:rPr/>
      </w:pPr>
      <w:r>
        <w:rPr>
          <w:color w:val="000000"/>
        </w:rPr>
        <w:t>•</w:t>
      </w:r>
      <w:r>
        <w:rPr>
          <w:rFonts w:ascii="Times New Roman;sans-serif" w:hAnsi="Times New Roman;sans-serif"/>
          <w:b w:val="false"/>
          <w:color w:val="000000"/>
          <w:sz w:val="20"/>
        </w:rPr>
        <w:t>increases or decreases in our billings, revenue and expenses caused by 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pStyle w:val="TextBody"/>
        <w:spacing w:before="0" w:after="0"/>
        <w:rPr/>
      </w:pPr>
      <w:r>
        <w:rPr/>
      </w:r>
    </w:p>
    <w:p>
      <w:pPr>
        <w:pStyle w:val="TextBody"/>
        <w:spacing w:lineRule="auto" w:line="276" w:before="0" w:after="0"/>
        <w:ind w:left="0" w:right="0" w:hanging="720"/>
        <w:rPr/>
      </w:pPr>
      <w:r>
        <w:rPr>
          <w:color w:val="000000"/>
        </w:rPr>
        <w:t>•</w:t>
      </w:r>
      <w:r>
        <w:rPr>
          <w:rFonts w:ascii="Times New Roman;sans-serif" w:hAnsi="Times New Roman;sans-serif"/>
          <w:b w:val="false"/>
          <w:color w:val="000000"/>
          <w:sz w:val="20"/>
        </w:rPr>
        <w:t>compliance with existing laws and regulations;</w:t>
      </w:r>
    </w:p>
    <w:p>
      <w:pPr>
        <w:pStyle w:val="TextBody"/>
        <w:spacing w:before="0" w:after="0"/>
        <w:ind w:left="0" w:right="0" w:hanging="360"/>
        <w:rPr/>
      </w:pPr>
      <w:r>
        <w:rPr/>
      </w:r>
    </w:p>
    <w:p>
      <w:pPr>
        <w:pStyle w:val="TextBody"/>
        <w:spacing w:lineRule="auto" w:line="268" w:before="0" w:after="0"/>
        <w:ind w:left="0" w:right="0" w:hanging="720"/>
        <w:rPr/>
      </w:pPr>
      <w:r>
        <w:rPr>
          <w:color w:val="000000"/>
        </w:rPr>
        <w:t>•</w:t>
      </w:r>
      <w:r>
        <w:rPr>
          <w:rFonts w:ascii="Times New Roman;sans-serif" w:hAnsi="Times New Roman;sans-serif"/>
          <w:b w:val="false"/>
          <w:color w:val="000000"/>
          <w:sz w:val="20"/>
        </w:rPr>
        <w:t>our ability to obtain and maintain permits, clearances and certifications that are applicable to our ability to conduct business with the U.S. federal government, other international and local governments and other industries and sectors;</w:t>
      </w:r>
    </w:p>
    <w:p>
      <w:pPr>
        <w:pStyle w:val="TextBody"/>
        <w:spacing w:before="0" w:after="0"/>
        <w:rPr/>
      </w:pPr>
      <w:r>
        <w:rPr/>
      </w:r>
    </w:p>
    <w:p>
      <w:pPr>
        <w:pStyle w:val="TextBody"/>
        <w:spacing w:lineRule="auto" w:line="276" w:before="0" w:after="0"/>
        <w:ind w:left="0" w:right="0" w:hanging="720"/>
        <w:rPr/>
      </w:pPr>
      <w:r>
        <w:rPr>
          <w:color w:val="000000"/>
        </w:rPr>
        <w:t>•</w:t>
      </w:r>
      <w:r>
        <w:rPr>
          <w:rFonts w:ascii="Times New Roman;sans-serif" w:hAnsi="Times New Roman;sans-serif"/>
          <w:b w:val="false"/>
          <w:color w:val="000000"/>
          <w:sz w:val="20"/>
        </w:rPr>
        <w:t>litigation, litigation fees and costs, settlements, judgments and other equitable and legal relief granted related to litigation;</w:t>
      </w:r>
    </w:p>
    <w:p>
      <w:pPr>
        <w:pStyle w:val="TextBody"/>
        <w:spacing w:before="0" w:after="0"/>
        <w:rPr/>
      </w:pPr>
      <w:r>
        <w:rPr/>
      </w:r>
    </w:p>
    <w:p>
      <w:pPr>
        <w:pStyle w:val="TextBody"/>
        <w:spacing w:lineRule="auto" w:line="268" w:before="0" w:after="0"/>
        <w:ind w:left="0" w:right="0" w:hanging="720"/>
        <w:rPr/>
      </w:pPr>
      <w:r>
        <w:rPr>
          <w:color w:val="000000"/>
        </w:rPr>
        <w:t>•</w:t>
      </w:r>
      <w:r>
        <w:rPr>
          <w:rFonts w:ascii="Times New Roman;sans-serif" w:hAnsi="Times New Roman;sans-serif"/>
          <w:b w:val="false"/>
          <w:color w:val="000000"/>
          <w:sz w:val="20"/>
        </w:rPr>
        <w:t>the impact of cloud-based security solutions on our billings, revenue, operating margins and free cash flow;</w:t>
      </w:r>
    </w:p>
    <w:p>
      <w:pPr>
        <w:pStyle w:val="TextBody"/>
        <w:spacing w:lineRule="auto" w:line="276" w:before="0" w:after="0"/>
        <w:ind w:left="0" w:right="0" w:hanging="720"/>
        <w:rPr>
          <w:color w:val="000000"/>
        </w:rPr>
      </w:pPr>
      <w:r>
        <w:rPr>
          <w:color w:val="000000"/>
        </w:rPr>
        <w:t> </w:t>
      </w:r>
    </w:p>
    <w:p>
      <w:pPr>
        <w:pStyle w:val="TextBody"/>
        <w:spacing w:lineRule="auto" w:line="276" w:before="0" w:after="0"/>
        <w:ind w:left="0" w:right="0" w:hanging="720"/>
        <w:rPr/>
      </w:pPr>
      <w:r>
        <w:rPr>
          <w:color w:val="000000"/>
        </w:rPr>
        <w:t>•</w:t>
      </w:r>
      <w:r>
        <w:rPr>
          <w:rFonts w:ascii="Times New Roman;sans-serif" w:hAnsi="Times New Roman;sans-serif"/>
          <w:b w:val="false"/>
          <w:color w:val="000000"/>
          <w:sz w:val="20"/>
        </w:rPr>
        <w:t>decisions by potential end-customers to purchase network security solutions from newer technology providers, from larger, more established security vendors or from their primary network equipment vendors;</w:t>
      </w:r>
    </w:p>
    <w:p>
      <w:pPr>
        <w:pStyle w:val="TextBody"/>
        <w:spacing w:lineRule="auto" w:line="276" w:before="0" w:after="0"/>
        <w:ind w:left="0" w:right="0" w:hanging="720"/>
        <w:rPr>
          <w:color w:val="000000"/>
        </w:rPr>
      </w:pPr>
      <w:r>
        <w:rPr>
          <w:color w:val="000000"/>
        </w:rPr>
        <w:t> </w:t>
      </w:r>
    </w:p>
    <w:p>
      <w:pPr>
        <w:pStyle w:val="TextBody"/>
        <w:spacing w:lineRule="auto" w:line="276" w:before="0" w:after="0"/>
        <w:ind w:left="0" w:right="0" w:hanging="720"/>
        <w:rPr/>
      </w:pPr>
      <w:r>
        <w:rPr>
          <w:color w:val="000000"/>
        </w:rPr>
        <w:t>•</w:t>
      </w:r>
      <w:r>
        <w:rPr>
          <w:rFonts w:ascii="Times New Roman;sans-serif" w:hAnsi="Times New Roman;sans-serif"/>
          <w:b w:val="false"/>
          <w:color w:val="000000"/>
          <w:sz w:val="20"/>
        </w:rPr>
        <w:t>price competition and increased competitiveness in our market, including the competitive pressure caused by product refresh cycles;</w:t>
      </w:r>
    </w:p>
    <w:p>
      <w:pPr>
        <w:pStyle w:val="TextBody"/>
        <w:spacing w:before="0" w:after="0"/>
        <w:rPr/>
      </w:pPr>
      <w:r>
        <w:rPr/>
      </w:r>
    </w:p>
    <w:p>
      <w:pPr>
        <w:pStyle w:val="TextBody"/>
        <w:spacing w:lineRule="auto" w:line="268" w:before="0" w:after="0"/>
        <w:ind w:left="0" w:right="0" w:hanging="720"/>
        <w:rPr/>
      </w:pPr>
      <w:r>
        <w:rPr>
          <w:color w:val="000000"/>
        </w:rPr>
        <w:t>•</w:t>
      </w:r>
      <w:r>
        <w:rPr>
          <w:rFonts w:ascii="Times New Roman;sans-serif" w:hAnsi="Times New Roman;sans-serif"/>
          <w:b w:val="false"/>
          <w:color w:val="000000"/>
          <w:sz w:val="20"/>
        </w:rPr>
        <w:t>our ability to both increase revenue and manage and control operating expenses in order to maintain or improve our operating margins;</w:t>
      </w:r>
    </w:p>
    <w:p>
      <w:pPr>
        <w:pStyle w:val="TextBody"/>
        <w:spacing w:lineRule="auto" w:line="276" w:before="0" w:after="0"/>
        <w:ind w:left="0" w:right="0" w:hanging="720"/>
        <w:rPr>
          <w:color w:val="000000"/>
        </w:rPr>
      </w:pPr>
      <w:r>
        <w:rPr>
          <w:color w:val="000000"/>
        </w:rPr>
        <w:t> </w:t>
      </w:r>
    </w:p>
    <w:p>
      <w:pPr>
        <w:pStyle w:val="TextBody"/>
        <w:spacing w:lineRule="auto" w:line="276" w:before="0" w:after="0"/>
        <w:ind w:left="0" w:right="0" w:hanging="720"/>
        <w:rPr/>
      </w:pPr>
      <w:r>
        <w:rPr>
          <w:color w:val="000000"/>
        </w:rPr>
        <w:t>•</w:t>
      </w:r>
      <w:r>
        <w:rPr>
          <w:rFonts w:ascii="Times New Roman;sans-serif" w:hAnsi="Times New Roman;sans-serif"/>
          <w:b w:val="false"/>
          <w:color w:val="000000"/>
          <w:sz w:val="20"/>
        </w:rPr>
        <w:t>changes in customer renewal rates or attach rates for our services;</w:t>
      </w:r>
    </w:p>
    <w:p>
      <w:pPr>
        <w:pStyle w:val="TextBody"/>
        <w:spacing w:lineRule="auto" w:line="276" w:before="0" w:after="0"/>
        <w:ind w:left="0" w:right="0" w:hanging="720"/>
        <w:rPr>
          <w:color w:val="000000"/>
        </w:rPr>
      </w:pPr>
      <w:r>
        <w:rPr>
          <w:color w:val="000000"/>
        </w:rPr>
        <w:t> </w:t>
      </w:r>
    </w:p>
    <w:p>
      <w:pPr>
        <w:pStyle w:val="TextBody"/>
        <w:spacing w:lineRule="auto" w:line="276" w:before="0" w:after="0"/>
        <w:ind w:left="0" w:right="0" w:hanging="720"/>
        <w:rPr/>
      </w:pPr>
      <w:r>
        <w:rPr>
          <w:color w:val="000000"/>
        </w:rPr>
        <w:t>•</w:t>
      </w:r>
      <w:r>
        <w:rPr>
          <w:rFonts w:ascii="Times New Roman;sans-serif" w:hAnsi="Times New Roman;sans-serif"/>
          <w:b w:val="false"/>
          <w:color w:val="000000"/>
          <w:sz w:val="20"/>
        </w:rPr>
        <w:t>changes in the timing of our billings, collection for our contracts or the contractual term of service sold;</w:t>
      </w:r>
    </w:p>
    <w:p>
      <w:pPr>
        <w:pStyle w:val="TextBody"/>
        <w:spacing w:before="0" w:after="0"/>
        <w:rPr/>
      </w:pPr>
      <w:r>
        <w:rPr/>
      </w:r>
    </w:p>
    <w:p>
      <w:pPr>
        <w:pStyle w:val="TextBody"/>
        <w:spacing w:lineRule="auto" w:line="276" w:before="0" w:after="0"/>
        <w:ind w:left="0" w:right="0" w:hanging="720"/>
        <w:rPr/>
      </w:pPr>
      <w:r>
        <w:rPr>
          <w:color w:val="000000"/>
        </w:rPr>
        <w:t>•</w:t>
      </w:r>
      <w:r>
        <w:rPr>
          <w:rFonts w:ascii="Times New Roman;sans-serif" w:hAnsi="Times New Roman;sans-serif"/>
          <w:b w:val="false"/>
          <w:color w:val="000000"/>
          <w:sz w:val="20"/>
        </w:rPr>
        <w:t xml:space="preserve">changes in our estimated annual effective tax rates and the tax treatment of research and development expenses and the related impact of cash from operations; </w:t>
      </w:r>
    </w:p>
    <w:p>
      <w:pPr>
        <w:pStyle w:val="TextBody"/>
        <w:spacing w:before="0" w:after="0"/>
        <w:rPr/>
      </w:pPr>
      <w:r>
        <w:rPr/>
      </w:r>
    </w:p>
    <w:p>
      <w:pPr>
        <w:pStyle w:val="TextBody"/>
        <w:spacing w:lineRule="auto" w:line="276" w:before="0" w:after="0"/>
        <w:ind w:left="0" w:right="0" w:hanging="720"/>
        <w:rPr/>
      </w:pPr>
      <w:r>
        <w:rPr>
          <w:color w:val="000000"/>
        </w:rPr>
        <w:t>•</w:t>
      </w:r>
      <w:r>
        <w:rPr>
          <w:rFonts w:ascii="Times New Roman;sans-serif" w:hAnsi="Times New Roman;sans-serif"/>
          <w:b w:val="false"/>
          <w:color w:val="000000"/>
          <w:sz w:val="20"/>
        </w:rPr>
        <w:t xml:space="preserve">changes in circumstances and challenges in business conditions, including decreased demand, which may negatively impact our channel partners’ ability to sell the current inventory they hold and negatively impact their future purchases of products from us; </w:t>
      </w:r>
    </w:p>
    <w:p>
      <w:pPr>
        <w:pStyle w:val="TextBody"/>
        <w:spacing w:before="0" w:after="0"/>
        <w:rPr/>
      </w:pPr>
      <w:r>
        <w:rPr/>
      </w:r>
    </w:p>
    <w:p>
      <w:pPr>
        <w:pStyle w:val="TextBody"/>
        <w:spacing w:lineRule="auto" w:line="276" w:before="0" w:after="0"/>
        <w:ind w:left="0" w:right="0" w:hanging="720"/>
        <w:rPr/>
      </w:pPr>
      <w:r>
        <w:rPr>
          <w:color w:val="000000"/>
        </w:rPr>
        <w:t>•</w:t>
      </w:r>
      <w:r>
        <w:rPr>
          <w:rFonts w:ascii="Times New Roman;sans-serif" w:hAnsi="Times New Roman;sans-serif"/>
          <w:b w:val="false"/>
          <w:color w:val="000000"/>
          <w:sz w:val="20"/>
        </w:rPr>
        <w:t>increased demand for cloud-based services and the uncertainty associated with transitioning to providing such services;</w:t>
      </w:r>
    </w:p>
    <w:p>
      <w:pPr>
        <w:pStyle w:val="TextBody"/>
        <w:spacing w:lineRule="auto" w:line="276" w:before="0" w:after="0"/>
        <w:rPr>
          <w:color w:val="000000"/>
        </w:rPr>
      </w:pPr>
      <w:r>
        <w:rPr>
          <w:color w:val="000000"/>
        </w:rPr>
        <w:t> </w:t>
      </w:r>
    </w:p>
    <w:p>
      <w:pPr>
        <w:pStyle w:val="TextBody"/>
        <w:spacing w:lineRule="auto" w:line="276" w:before="0" w:after="0"/>
        <w:ind w:left="0" w:right="0" w:hanging="720"/>
        <w:rPr/>
      </w:pPr>
      <w:r>
        <w:rPr>
          <w:color w:val="000000"/>
        </w:rPr>
        <w:t>•</w:t>
      </w:r>
      <w:r>
        <w:rPr>
          <w:rFonts w:ascii="Times New Roman;sans-serif" w:hAnsi="Times New Roman;sans-serif"/>
          <w:b w:val="false"/>
          <w:color w:val="000000"/>
          <w:sz w:val="20"/>
        </w:rPr>
        <w:t>our channel partners having insufficient financial resources to withstand changes and challenges in business conditions;</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76" w:before="0" w:after="0"/>
        <w:ind w:left="0" w:right="0" w:hanging="720"/>
        <w:rPr>
          <w:color w:val="000000"/>
        </w:rPr>
      </w:pPr>
      <w:r>
        <w:rPr>
          <w:color w:val="000000"/>
        </w:rPr>
        <w:t> </w:t>
      </w:r>
    </w:p>
    <w:p>
      <w:pPr>
        <w:pStyle w:val="TextBody"/>
        <w:spacing w:lineRule="auto" w:line="276" w:before="0" w:after="0"/>
        <w:ind w:left="0" w:right="0" w:hanging="720"/>
        <w:rPr/>
      </w:pPr>
      <w:r>
        <w:rPr>
          <w:color w:val="000000"/>
        </w:rPr>
        <w:t>•</w:t>
      </w:r>
      <w:r>
        <w:rPr>
          <w:rFonts w:ascii="Times New Roman;sans-serif" w:hAnsi="Times New Roman;sans-serif"/>
          <w:b w:val="false"/>
          <w:color w:val="000000"/>
          <w:sz w:val="20"/>
        </w:rPr>
        <w:t>disruptions in our channel or termination of our relationship with important channel partners, including as a result of consolidation among distributors and resellers of security solutions;</w:t>
      </w:r>
    </w:p>
    <w:p>
      <w:pPr>
        <w:pStyle w:val="TextBody"/>
        <w:spacing w:lineRule="auto" w:line="276" w:before="0" w:after="0"/>
        <w:ind w:left="0" w:right="0" w:hanging="720"/>
        <w:rPr>
          <w:color w:val="000000"/>
        </w:rPr>
      </w:pPr>
      <w:r>
        <w:rPr>
          <w:color w:val="000000"/>
        </w:rPr>
        <w:t> </w:t>
      </w:r>
    </w:p>
    <w:p>
      <w:pPr>
        <w:pStyle w:val="TextBody"/>
        <w:spacing w:lineRule="auto" w:line="276" w:before="0" w:after="0"/>
        <w:ind w:left="0" w:right="0" w:hanging="720"/>
        <w:rPr/>
      </w:pPr>
      <w:r>
        <w:rPr>
          <w:color w:val="000000"/>
        </w:rPr>
        <w:t>•</w:t>
      </w:r>
      <w:r>
        <w:rPr>
          <w:rFonts w:ascii="Times New Roman;sans-serif" w:hAnsi="Times New Roman;sans-serif"/>
          <w:b w:val="false"/>
          <w:color w:val="000000"/>
          <w:sz w:val="20"/>
        </w:rPr>
        <w:t>insolvency, credit or other difficulties confronting our key suppliers and channel partners, which could affect their ability to purchase or pay for products and services and which could disrupt our supply or distribution chain;</w:t>
      </w:r>
    </w:p>
    <w:p>
      <w:pPr>
        <w:pStyle w:val="TextBody"/>
        <w:spacing w:before="0" w:after="0"/>
        <w:rPr/>
      </w:pPr>
      <w:r>
        <w:rPr/>
      </w:r>
    </w:p>
    <w:p>
      <w:pPr>
        <w:pStyle w:val="TextBody"/>
        <w:spacing w:lineRule="auto" w:line="276" w:before="0" w:after="0"/>
        <w:ind w:left="0" w:right="0" w:hanging="720"/>
        <w:rPr/>
      </w:pPr>
      <w:r>
        <w:rPr>
          <w:color w:val="000000"/>
        </w:rPr>
        <w:t>•</w:t>
      </w:r>
      <w:r>
        <w:rPr>
          <w:rFonts w:ascii="Times New Roman;sans-serif" w:hAnsi="Times New Roman;sans-serif"/>
          <w:b w:val="false"/>
          <w:color w:val="000000"/>
          <w:sz w:val="20"/>
        </w:rPr>
        <w:t>policy changes and uncertainty with respect to immigration laws, trade policy and tariffs, including increased tariffs applicable to countries where we manufacture our products, foreign imports and tax laws related to international commerce;</w:t>
      </w:r>
    </w:p>
    <w:p>
      <w:pPr>
        <w:pStyle w:val="TextBody"/>
        <w:spacing w:before="0" w:after="0"/>
        <w:rPr/>
      </w:pPr>
      <w:r>
        <w:rPr/>
      </w:r>
    </w:p>
    <w:p>
      <w:pPr>
        <w:pStyle w:val="TextBody"/>
        <w:spacing w:lineRule="auto" w:line="276" w:before="0" w:after="0"/>
        <w:ind w:left="0" w:right="0" w:hanging="720"/>
        <w:rPr/>
      </w:pPr>
      <w:r>
        <w:rPr>
          <w:color w:val="000000"/>
        </w:rPr>
        <w:t>•</w:t>
      </w:r>
      <w:r>
        <w:rPr>
          <w:rFonts w:ascii="Times New Roman;sans-serif" w:hAnsi="Times New Roman;sans-serif"/>
          <w:b w:val="false"/>
          <w:color w:val="000000"/>
          <w:sz w:val="20"/>
        </w:rPr>
        <w:t>political, economic and social instability, including geo-political instability and uncertainty</w:t>
      </w:r>
      <w:r>
        <w:rPr>
          <w:rFonts w:ascii="Times New Roman;sans-serif" w:hAnsi="Times New Roman;sans-serif"/>
          <w:b w:val="false"/>
          <w:color w:val="000000"/>
          <w:sz w:val="24"/>
        </w:rPr>
        <w:t xml:space="preserve">, </w:t>
      </w:r>
      <w:r>
        <w:rPr>
          <w:rFonts w:ascii="Times New Roman;sans-serif" w:hAnsi="Times New Roman;sans-serif"/>
          <w:b w:val="false"/>
          <w:color w:val="000000"/>
          <w:sz w:val="20"/>
        </w:rPr>
        <w:t>such as that caused by the war in Ukraine and tensions between China and Taiwan, and any disruption or negative impact on our ability to sell to, ship product to and support customers in certain regions based on trade restrictions, embargoes and export control law restrictions;</w:t>
      </w:r>
    </w:p>
    <w:p>
      <w:pPr>
        <w:pStyle w:val="TextBody"/>
        <w:spacing w:before="0" w:after="0"/>
        <w:rPr/>
      </w:pPr>
      <w:r>
        <w:rPr/>
      </w:r>
    </w:p>
    <w:p>
      <w:pPr>
        <w:pStyle w:val="TextBody"/>
        <w:spacing w:lineRule="auto" w:line="276" w:before="0" w:after="0"/>
        <w:ind w:left="0" w:right="0" w:hanging="720"/>
        <w:rPr/>
      </w:pPr>
      <w:r>
        <w:rPr>
          <w:color w:val="000000"/>
        </w:rPr>
        <w:t>•</w:t>
      </w:r>
      <w:r>
        <w:rPr>
          <w:rFonts w:ascii="Times New Roman;sans-serif" w:hAnsi="Times New Roman;sans-serif"/>
          <w:b w:val="false"/>
          <w:color w:val="000000"/>
          <w:sz w:val="20"/>
        </w:rPr>
        <w:t xml:space="preserve">general economic conditions, both in domestic and foreign markets; </w:t>
      </w:r>
    </w:p>
    <w:p>
      <w:pPr>
        <w:pStyle w:val="TextBody"/>
        <w:spacing w:before="0" w:after="0"/>
        <w:ind w:left="0" w:right="0" w:hanging="720"/>
        <w:rPr/>
      </w:pPr>
      <w:r>
        <w:rPr/>
      </w:r>
    </w:p>
    <w:p>
      <w:pPr>
        <w:pStyle w:val="TextBody"/>
        <w:spacing w:lineRule="auto" w:line="276" w:before="0" w:after="0"/>
        <w:ind w:left="0" w:right="0" w:hanging="720"/>
        <w:rPr/>
      </w:pPr>
      <w:r>
        <w:rPr>
          <w:color w:val="000000"/>
        </w:rPr>
        <w:t>•</w:t>
      </w:r>
      <w:r>
        <w:rPr>
          <w:rFonts w:ascii="Times New Roman;sans-serif" w:hAnsi="Times New Roman;sans-serif"/>
          <w:b w:val="false"/>
          <w:color w:val="000000"/>
          <w:sz w:val="20"/>
        </w:rPr>
        <w:t xml:space="preserve">future accounting pronouncements or changes in our accounting policies as well as the significant costs that may be incurred to adopt and comply with these new pronouncements; </w:t>
      </w:r>
    </w:p>
    <w:p>
      <w:pPr>
        <w:pStyle w:val="TextBody"/>
        <w:spacing w:before="0" w:after="0"/>
        <w:rPr/>
      </w:pPr>
      <w:r>
        <w:rPr/>
      </w:r>
    </w:p>
    <w:p>
      <w:pPr>
        <w:pStyle w:val="TextBody"/>
        <w:spacing w:lineRule="auto" w:line="276" w:before="0" w:after="0"/>
        <w:ind w:left="0" w:right="0" w:hanging="720"/>
        <w:rPr/>
      </w:pPr>
      <w:r>
        <w:rPr>
          <w:color w:val="000000"/>
        </w:rPr>
        <w:t>•</w:t>
      </w:r>
      <w:r>
        <w:rPr>
          <w:rFonts w:ascii="Times New Roman;sans-serif" w:hAnsi="Times New Roman;sans-serif"/>
          <w:b w:val="false"/>
          <w:color w:val="000000"/>
          <w:sz w:val="20"/>
        </w:rPr>
        <w:t xml:space="preserve">possible impairments or acceleration of depreciation of our existing real estate due to our current real estate investments and future acquisition and development plans; and </w:t>
      </w:r>
    </w:p>
    <w:p>
      <w:pPr>
        <w:pStyle w:val="TextBody"/>
        <w:spacing w:before="0" w:after="0"/>
        <w:ind w:left="0" w:right="0" w:hanging="720"/>
        <w:rPr/>
      </w:pPr>
      <w:r>
        <w:rPr/>
      </w:r>
    </w:p>
    <w:p>
      <w:pPr>
        <w:pStyle w:val="TextBody"/>
        <w:spacing w:lineRule="auto" w:line="276" w:before="0" w:after="0"/>
        <w:ind w:left="0" w:right="0" w:hanging="720"/>
        <w:rPr/>
      </w:pPr>
      <w:r>
        <w:rPr>
          <w:color w:val="000000"/>
        </w:rPr>
        <w:t>•</w:t>
      </w:r>
      <w:r>
        <w:rPr>
          <w:rFonts w:ascii="Times New Roman;sans-serif" w:hAnsi="Times New Roman;sans-serif"/>
          <w:b w:val="false"/>
          <w:color w:val="000000"/>
          <w:sz w:val="20"/>
        </w:rPr>
        <w:t>legislative or regulatory changes, such as with respect to privacy, information and cybersecurity, exports and the environment.</w:t>
      </w:r>
    </w:p>
    <w:p>
      <w:pPr>
        <w:pStyle w:val="TextBody"/>
        <w:spacing w:before="0" w:after="0"/>
        <w:ind w:left="0" w:right="0" w:hanging="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Any one of the factors above or the cumulative effect of some of the factors referred to above may result in significant fluctuations in our quarterly financial and other operating results.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over the near term. Accordingly, in the event of revenue shortfalls, we are generally unable to mitigate the negative impact on margins in the short term.</w:t>
      </w:r>
    </w:p>
    <w:p>
      <w:pPr>
        <w:pStyle w:val="TextBody"/>
        <w:spacing w:before="0" w:after="0"/>
        <w:ind w:left="0" w:right="0" w:firstLine="720"/>
        <w:rPr/>
      </w:pPr>
      <w:r>
        <w:rPr/>
      </w:r>
    </w:p>
    <w:p>
      <w:pPr>
        <w:pStyle w:val="TextBody"/>
        <w:spacing w:lineRule="auto" w:line="276" w:before="0" w:after="0"/>
        <w:rPr>
          <w:rFonts w:ascii="Times New Roman;sans-serif" w:hAnsi="Times New Roman;sans-serif"/>
          <w:b/>
          <w:i/>
          <w:color w:val="000000"/>
          <w:sz w:val="20"/>
        </w:rPr>
      </w:pPr>
      <w:r>
        <w:rPr>
          <w:rFonts w:ascii="Times New Roman;sans-serif" w:hAnsi="Times New Roman;sans-serif"/>
          <w:b/>
          <w:i/>
          <w:color w:val="000000"/>
          <w:sz w:val="20"/>
        </w:rPr>
        <w:t xml:space="preserve">Adverse economic conditions, such as a possible recession and possible impacts of inflation or stagflation, increasing or decreasing interest rates, reduced information technology spending or any economic downturn or recession, may adversely impact our business. </w:t>
      </w:r>
    </w:p>
    <w:p>
      <w:pPr>
        <w:pStyle w:val="TextBody"/>
        <w:spacing w:lineRule="auto" w:line="288" w:before="0" w:after="0"/>
        <w:rPr>
          <w:color w:val="000000"/>
        </w:rPr>
      </w:pPr>
      <w:r>
        <w:rPr>
          <w:color w:val="000000"/>
        </w:rPr>
        <w:t> </w:t>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and regional economic conditions and spending environments, based on a downturn in the economy, a possible recession and the effects of ongoing or increased inflation or possible stagflation in certain geographies, increasing or decreasing interest rates, geopolitical instability and uncertainty, a reduction in information technology spending regardless of macroeconomic conditions, the effects of the COVID-19 pandemic and the impact of the war in Ukraine each could have a material adverse impacts on our financial condition and results of operations and our business, including resulting in longer sales cycles, lower prices for our products and services, increased component costs, higher default rates among our channel partners, reduced unit sales, lower prices and slower or declining growth. These can negatively impact our business by putting downward pressure on growth if we are unable to achieve the increases in product prices necessary to appropriately offset the additional costs in a manner sufficient to maintain margins. Any of these impacts may materially and adversely affect our business, financial condition, results of operations and liquidity.</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existence of inflation in certain economies has resulted in, and may continue to result in, increasing or decreasing interest rates and capital costs, increased component or shipping costs, increased costs of labor, weakening exchange rates and other similar effects. Although we take measures to mitigate risks such as those associated with inflation, the mitigating measures may not be effective or their impact may not offset the increased cost of inflation in a timely manner. Inflation, an economic downturn, a recession and any other economic challenges may also adversely impact spending patterns by our distributors, resellers and end-customers.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76" w:before="0" w:after="0"/>
        <w:rPr>
          <w:rFonts w:ascii="Times New Roman;sans-serif" w:hAnsi="Times New Roman;sans-serif"/>
          <w:b/>
          <w:i/>
          <w:color w:val="000000"/>
          <w:sz w:val="20"/>
        </w:rPr>
      </w:pPr>
      <w:r>
        <w:rPr>
          <w:rFonts w:ascii="Times New Roman;sans-serif" w:hAnsi="Times New Roman;sans-serif"/>
          <w:b/>
          <w:i/>
          <w:color w:val="000000"/>
          <w:sz w:val="20"/>
        </w:rPr>
        <w:t>The COVID-19 pandemic, including its ongoing variants, may adversely affect our business, for example, through product and component shortages.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COVID-19 pandemic, including its ongoing variants, has negatively impacted the global economy, disrupted global supply chains, reduced demand for certain solutions and created significant volatility in, and disruption of, global markets. The extent of the future impact of the COVID-19 pandemic on our operational and financial performance is unpredictable, adds uncertainty to our business and will depend on future developments, including the duration and spread of the COVID-19 pandemic and related restrictions on, and disruptions of business, supply chain and world economies, all of which are uncertain and difficult to predict. There is a worldwide shortage of various components, impacting many industries, caused in-part by the COVID-19 pandemic. While we saw improvements in the first quarter of fiscal 2023, we continue to experience ongoing product and component shortages, which have resulted in, and which we expect will continue to result in, extended lead times of certain products and significant disruption to our production schedule and predictability. In fact, certain of our contract manufacturers and component suppliers have de-committed from their scheduled delivery dates and product and component delivery commitments. We also have experienced and expect to continue to experience increased component costs, which have negatively impacted our gross margins. An extended period of global supply chain disruption, demand reduction and economic slowdown would materially negatively affect our overall business and our operating results, including billings, revenue, gross margins, operating margins, cash flows and other operating results. If the effects of the COVID-19 pandemic continue to limit the availability of our products, either by limiting components available, the actual manufacture and assembly or by limiting or restricting shipping of components and products, this could continue to result in increased product backlog, and result in lower billings, lower revenue and decreased profitability, and would negatively impact, and may materially negatively impact, our operating results and business. In addition, we may face personnel-related risks as certain departments and locations continue to transition back to an in-person working model, including that “return to office” plans may be viewed negatively by employees and lead to attrition and difficulty in hiring.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COVID-19 pandemic may adversely affect certain of our partners’ and customers’ ability or willingness to purchase our products and services, delay certain customers’ purchasing decisions and increase customer attrition rates, all of which will adversely affect our future sales, billings and operating results, possibly in a material way. As a result, we may experience extended sales cycles; our ability to close transactions with new and existing customers and partners may be negatively impacted; our ability to recognize revenue from sales we do close may be negatively impacted; certain businesses will not buy our products and services when they otherwise would have; certain current partners, customers and customer prospects may go out of business or face significant business challenges, thereby negatively impacting our sales; product or component shortages, implementation delays or other factors; and our ability to provide technical and other support to our customers may be affected. We have also offered, and may continue to offer, payment terms in excess of our contractual agreements to some of our distributors, which may decrease the likelihood that we will be able to collect from these customers. In addition, the COVID-19 pandemic has caused an increase in certain of our expenses, including increased shipping costs, increased cancellation charges and increased component and product manufacturing costs. The full impact of the COVID-19 pandemic is unknown at this time. While we continue to monitor developments and the potential effect on our business, it is clear that the COVID-19 pandemic may negatively impact certain sales and may have a material negative impact on our operating results in the near term and longer term.</w:t>
      </w:r>
    </w:p>
    <w:p>
      <w:pPr>
        <w:pStyle w:val="TextBody"/>
        <w:spacing w:before="0" w:after="0"/>
        <w:ind w:left="0" w:right="0" w:firstLine="720"/>
        <w:rPr/>
      </w:pPr>
      <w:r>
        <w:rPr/>
      </w:r>
    </w:p>
    <w:p>
      <w:pPr>
        <w:pStyle w:val="TextBody"/>
        <w:spacing w:lineRule="auto" w:line="276" w:before="0" w:after="0"/>
        <w:rPr>
          <w:rFonts w:ascii="Times New Roman;sans-serif" w:hAnsi="Times New Roman;sans-serif"/>
          <w:b/>
          <w:i/>
          <w:color w:val="000000"/>
          <w:sz w:val="20"/>
        </w:rPr>
      </w:pPr>
      <w:r>
        <w:rPr>
          <w:rFonts w:ascii="Times New Roman;sans-serif" w:hAnsi="Times New Roman;sans-serif"/>
          <w:b/>
          <w:i/>
          <w:color w:val="000000"/>
          <w:sz w:val="20"/>
        </w:rPr>
        <w:t>Our real estate investments, including construction or acquisition of new data centers, data center expansions or office buildings, could involve significant risks to our business.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order to sustain our growth in certain of our existing and new markets, we may expand existing data centers, lease new facilities or acquire suitable land, with or without structures, to build new data centers or office buildings. These projects expose us to risks which could have an adverse effect on our results of operations and financial condition. The current global supply chain and inflation issues have exacerbated many of these construction risks and created additional risks for our business. Some of the risks associated with construction projects include:</w:t>
      </w:r>
    </w:p>
    <w:p>
      <w:pPr>
        <w:pStyle w:val="TextBody"/>
        <w:spacing w:before="0" w:after="0"/>
        <w:rPr/>
      </w:pPr>
      <w:r>
        <w:rPr/>
      </w:r>
    </w:p>
    <w:p>
      <w:pPr>
        <w:pStyle w:val="TextBody"/>
        <w:spacing w:lineRule="auto" w:line="276" w:before="0" w:after="0"/>
        <w:ind w:left="0" w:right="0" w:hanging="720"/>
        <w:rPr/>
      </w:pPr>
      <w:r>
        <w:rPr>
          <w:color w:val="000000"/>
        </w:rPr>
        <w:t>•</w:t>
      </w:r>
      <w:r>
        <w:rPr>
          <w:rFonts w:ascii="Times New Roman;sans-serif" w:hAnsi="Times New Roman;sans-serif"/>
          <w:b w:val="false"/>
          <w:color w:val="000000"/>
          <w:sz w:val="20"/>
        </w:rPr>
        <w:t>construction delays;</w:t>
      </w:r>
    </w:p>
    <w:p>
      <w:pPr>
        <w:pStyle w:val="TextBody"/>
        <w:spacing w:before="0" w:after="0"/>
        <w:ind w:left="0" w:right="0" w:hanging="720"/>
        <w:rPr/>
      </w:pPr>
      <w:r>
        <w:rPr/>
      </w:r>
    </w:p>
    <w:p>
      <w:pPr>
        <w:pStyle w:val="TextBody"/>
        <w:spacing w:lineRule="auto" w:line="276" w:before="0" w:after="0"/>
        <w:ind w:left="0" w:right="0" w:hanging="720"/>
        <w:rPr/>
      </w:pPr>
      <w:r>
        <w:rPr>
          <w:color w:val="000000"/>
        </w:rPr>
        <w:t>•</w:t>
      </w:r>
      <w:r>
        <w:rPr>
          <w:rFonts w:ascii="Times New Roman;sans-serif" w:hAnsi="Times New Roman;sans-serif"/>
          <w:b w:val="false"/>
          <w:color w:val="000000"/>
          <w:sz w:val="20"/>
        </w:rPr>
        <w:t>lack of availability and delays for data center equipment, including items such as generators and switchgear;</w:t>
      </w:r>
    </w:p>
    <w:p>
      <w:pPr>
        <w:pStyle w:val="TextBody"/>
        <w:spacing w:before="0" w:after="0"/>
        <w:ind w:left="0" w:right="0" w:hanging="720"/>
        <w:rPr/>
      </w:pPr>
      <w:r>
        <w:rPr/>
      </w:r>
    </w:p>
    <w:p>
      <w:pPr>
        <w:pStyle w:val="TextBody"/>
        <w:spacing w:lineRule="auto" w:line="276" w:before="0" w:after="0"/>
        <w:ind w:left="0" w:right="0" w:hanging="720"/>
        <w:rPr/>
      </w:pPr>
      <w:r>
        <w:rPr>
          <w:color w:val="000000"/>
        </w:rPr>
        <w:t>•</w:t>
      </w:r>
      <w:r>
        <w:rPr>
          <w:rFonts w:ascii="Times New Roman;sans-serif" w:hAnsi="Times New Roman;sans-serif"/>
          <w:b w:val="false"/>
          <w:color w:val="000000"/>
          <w:sz w:val="20"/>
        </w:rPr>
        <w:t>unexpected budget changes;</w:t>
      </w:r>
    </w:p>
    <w:p>
      <w:pPr>
        <w:pStyle w:val="TextBody"/>
        <w:spacing w:before="0" w:after="0"/>
        <w:ind w:left="0" w:right="0" w:hanging="720"/>
        <w:rPr/>
      </w:pPr>
      <w:r>
        <w:rPr/>
      </w:r>
    </w:p>
    <w:p>
      <w:pPr>
        <w:pStyle w:val="TextBody"/>
        <w:spacing w:lineRule="auto" w:line="276" w:before="0" w:after="0"/>
        <w:ind w:left="0" w:right="0" w:hanging="720"/>
        <w:rPr/>
      </w:pPr>
      <w:r>
        <w:rPr>
          <w:color w:val="000000"/>
        </w:rPr>
        <w:t>•</w:t>
      </w:r>
      <w:r>
        <w:rPr>
          <w:rFonts w:ascii="Times New Roman;sans-serif" w:hAnsi="Times New Roman;sans-serif"/>
          <w:b w:val="false"/>
          <w:color w:val="000000"/>
          <w:sz w:val="20"/>
        </w:rPr>
        <w:t>increased prices for and delays in obtaining building supplies, raw materials and data center equipment;</w:t>
      </w:r>
    </w:p>
    <w:p>
      <w:pPr>
        <w:pStyle w:val="TextBody"/>
        <w:spacing w:before="0" w:after="0"/>
        <w:ind w:left="0" w:right="0" w:hanging="720"/>
        <w:rPr/>
      </w:pPr>
      <w:r>
        <w:rPr/>
      </w:r>
    </w:p>
    <w:p>
      <w:pPr>
        <w:pStyle w:val="TextBody"/>
        <w:spacing w:lineRule="auto" w:line="276" w:before="0" w:after="0"/>
        <w:ind w:left="0" w:right="0" w:hanging="720"/>
        <w:rPr/>
      </w:pPr>
      <w:r>
        <w:rPr>
          <w:color w:val="000000"/>
        </w:rPr>
        <w:t>•</w:t>
      </w:r>
      <w:r>
        <w:rPr>
          <w:rFonts w:ascii="Times New Roman;sans-serif" w:hAnsi="Times New Roman;sans-serif"/>
          <w:b w:val="false"/>
          <w:color w:val="000000"/>
          <w:sz w:val="20"/>
        </w:rPr>
        <w:t>labor availability, labor disputes and work stoppages with contractors, subcontractors and other third parties, including interruptions in work due to the ongoing COVID-19 pandemic;</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before="0" w:after="0"/>
        <w:ind w:left="0" w:right="0" w:hanging="720"/>
        <w:rPr/>
      </w:pPr>
      <w:r>
        <w:rPr/>
      </w:r>
    </w:p>
    <w:p>
      <w:pPr>
        <w:pStyle w:val="TextBody"/>
        <w:spacing w:lineRule="auto" w:line="276" w:before="0" w:after="0"/>
        <w:ind w:left="0" w:right="0" w:hanging="720"/>
        <w:rPr/>
      </w:pPr>
      <w:r>
        <w:rPr>
          <w:color w:val="000000"/>
        </w:rPr>
        <w:t>•</w:t>
      </w:r>
      <w:r>
        <w:rPr>
          <w:rFonts w:ascii="Times New Roman;sans-serif" w:hAnsi="Times New Roman;sans-serif"/>
          <w:b w:val="false"/>
          <w:color w:val="000000"/>
          <w:sz w:val="20"/>
        </w:rPr>
        <w:t>unanticipated environmental issues and geological problems;</w:t>
      </w:r>
    </w:p>
    <w:p>
      <w:pPr>
        <w:pStyle w:val="TextBody"/>
        <w:spacing w:before="0" w:after="0"/>
        <w:ind w:left="0" w:right="0" w:hanging="720"/>
        <w:rPr/>
      </w:pPr>
      <w:r>
        <w:rPr/>
      </w:r>
    </w:p>
    <w:p>
      <w:pPr>
        <w:pStyle w:val="TextBody"/>
        <w:spacing w:lineRule="auto" w:line="276" w:before="0" w:after="0"/>
        <w:ind w:left="0" w:right="0" w:hanging="720"/>
        <w:rPr/>
      </w:pPr>
      <w:r>
        <w:rPr>
          <w:color w:val="000000"/>
        </w:rPr>
        <w:t>•</w:t>
      </w:r>
      <w:r>
        <w:rPr>
          <w:rFonts w:ascii="Times New Roman;sans-serif" w:hAnsi="Times New Roman;sans-serif"/>
          <w:b w:val="false"/>
          <w:color w:val="000000"/>
          <w:sz w:val="20"/>
        </w:rPr>
        <w:t>delays related to permitting and approvals to open from public agencies and utility companies;</w:t>
      </w:r>
    </w:p>
    <w:p>
      <w:pPr>
        <w:pStyle w:val="TextBody"/>
        <w:spacing w:before="0" w:after="0"/>
        <w:ind w:left="0" w:right="0" w:hanging="720"/>
        <w:rPr/>
      </w:pPr>
      <w:r>
        <w:rPr/>
      </w:r>
    </w:p>
    <w:p>
      <w:pPr>
        <w:pStyle w:val="TextBody"/>
        <w:spacing w:lineRule="auto" w:line="276" w:before="0" w:after="0"/>
        <w:ind w:left="0" w:right="0" w:hanging="720"/>
        <w:rPr/>
      </w:pPr>
      <w:r>
        <w:rPr>
          <w:color w:val="000000"/>
        </w:rPr>
        <w:t>•</w:t>
      </w:r>
      <w:r>
        <w:rPr>
          <w:rFonts w:ascii="Times New Roman;sans-serif" w:hAnsi="Times New Roman;sans-serif"/>
          <w:b w:val="false"/>
          <w:color w:val="000000"/>
          <w:sz w:val="20"/>
        </w:rPr>
        <w:t>unexpected lack of power access;</w:t>
      </w:r>
    </w:p>
    <w:p>
      <w:pPr>
        <w:pStyle w:val="TextBody"/>
        <w:spacing w:before="0" w:after="0"/>
        <w:ind w:left="0" w:right="0" w:hanging="720"/>
        <w:rPr/>
      </w:pPr>
      <w:r>
        <w:rPr/>
      </w:r>
    </w:p>
    <w:p>
      <w:pPr>
        <w:pStyle w:val="TextBody"/>
        <w:spacing w:lineRule="auto" w:line="276" w:before="0" w:after="0"/>
        <w:ind w:left="0" w:right="0" w:hanging="720"/>
        <w:rPr/>
      </w:pPr>
      <w:r>
        <w:rPr>
          <w:color w:val="000000"/>
        </w:rPr>
        <w:t>•</w:t>
      </w:r>
      <w:r>
        <w:rPr>
          <w:rFonts w:ascii="Times New Roman;sans-serif" w:hAnsi="Times New Roman;sans-serif"/>
          <w:b w:val="false"/>
          <w:color w:val="000000"/>
          <w:sz w:val="20"/>
        </w:rPr>
        <w:t>investor expectations regarding ESG;</w:t>
      </w:r>
    </w:p>
    <w:p>
      <w:pPr>
        <w:pStyle w:val="TextBody"/>
        <w:spacing w:before="0" w:after="0"/>
        <w:ind w:left="0" w:right="0" w:hanging="720"/>
        <w:rPr/>
      </w:pPr>
      <w:r>
        <w:rPr/>
      </w:r>
    </w:p>
    <w:p>
      <w:pPr>
        <w:pStyle w:val="TextBody"/>
        <w:spacing w:lineRule="auto" w:line="276" w:before="0" w:after="0"/>
        <w:ind w:left="0" w:right="0" w:hanging="720"/>
        <w:rPr/>
      </w:pPr>
      <w:r>
        <w:rPr>
          <w:color w:val="000000"/>
        </w:rPr>
        <w:t>•</w:t>
      </w:r>
      <w:r>
        <w:rPr>
          <w:rFonts w:ascii="Times New Roman;sans-serif" w:hAnsi="Times New Roman;sans-serif"/>
          <w:b w:val="false"/>
          <w:color w:val="000000"/>
          <w:sz w:val="20"/>
        </w:rPr>
        <w:t>delays in site readiness leading to our failure to meet commitments made to customers; and</w:t>
      </w:r>
    </w:p>
    <w:p>
      <w:pPr>
        <w:pStyle w:val="TextBody"/>
        <w:spacing w:before="0" w:after="0"/>
        <w:ind w:left="0" w:right="0" w:hanging="720"/>
        <w:rPr/>
      </w:pPr>
      <w:r>
        <w:rPr/>
      </w:r>
    </w:p>
    <w:p>
      <w:pPr>
        <w:pStyle w:val="TextBody"/>
        <w:spacing w:lineRule="auto" w:line="276" w:before="0" w:after="0"/>
        <w:ind w:left="0" w:right="0" w:hanging="720"/>
        <w:rPr/>
      </w:pPr>
      <w:r>
        <w:rPr>
          <w:color w:val="000000"/>
        </w:rPr>
        <w:t>•</w:t>
      </w:r>
      <w:r>
        <w:rPr>
          <w:rFonts w:ascii="Times New Roman;sans-serif" w:hAnsi="Times New Roman;sans-serif"/>
          <w:b w:val="false"/>
          <w:color w:val="000000"/>
          <w:sz w:val="20"/>
        </w:rPr>
        <w:t>unanticipated customer requirements that would necessitate alternative data center design, making our sites less desirable or leading to increased costs in order to make necessary modifications or retrofits.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All construction-related projects require us to carefully select and rely on the experience of one or more designers, general contractors and associated subcontractors during the design and construction process. Should a designer, general contractor, significant subcontractor or key supplier experience financial problems or other problems during the design or construction process, we could experience significant delays, increased costs to complete the project and/or other negative impacts to our expected returns.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broad insurance programs covering our properties and operating activities with limits of liability, deductibles and self-insured retentions that we believe are comparable to similarly situated companies. We believe the policy specifications and insured limits of these policies are adequate and appropriate. There are, however, certain types of extraordinary losses which may not be adequately covered under our insurance program. In addition, we could sustain losses due to insurance deductibles, self-insured retention, uninsured claims or casualties or losses in excess of applicable coverage. If an uninsured loss or a loss in excess of insured limits occurs, we could lose all or a portion of the capital we have invested in a property, as well as the anticipated future revenue from the property. In such an event, we might nevertheless remain obligated for any mortgage debt or other financial obligations related to the property. Material losses in excess of insurance proceeds may occur in the future. Such events could materially and adversely affect our financial condition and results of operations.</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under various federal, state and local environmental laws, ordinances and regulations, a current or previous owner or operator of real property may be liable for the costs of removal or remediation of hazardous or toxic substances on, under or in that property. Those laws often impose liability even if the owner or operator did not cause or know of the presence of hazardous or toxic substances and even if the storage of those substances was in violation of a customer’s lease. In addition, the presence of hazardous or toxic substances, or the failure of the owner to address their presence on the property, may adversely affect the owner’s ability to borrow using that real property as collateral. Any environmental issues related to our real estate activities could materially and adversely affect our financial condition and results of operations. </w:t>
      </w:r>
    </w:p>
    <w:p>
      <w:pPr>
        <w:pStyle w:val="TextBody"/>
        <w:spacing w:before="0" w:after="0"/>
        <w:rPr/>
      </w:pPr>
      <w:r>
        <w:rPr/>
      </w:r>
    </w:p>
    <w:p>
      <w:pPr>
        <w:pStyle w:val="TextBody"/>
        <w:spacing w:lineRule="auto" w:line="276" w:before="0" w:after="0"/>
        <w:rPr/>
      </w:pPr>
      <w:r>
        <w:rPr>
          <w:rFonts w:ascii="Times New Roman;sans-serif" w:hAnsi="Times New Roman;sans-serif"/>
          <w:b/>
          <w:i/>
          <w:color w:val="000000"/>
          <w:sz w:val="20"/>
        </w:rPr>
        <w:t>Our billings, revenue and free cash flow growth may slow or may not continue</w:t>
      </w:r>
      <w:r>
        <w:rPr>
          <w:rFonts w:ascii="Times New Roman;sans-serif" w:hAnsi="Times New Roman;sans-serif"/>
          <w:b/>
          <w:i/>
          <w:color w:val="000000"/>
          <w:sz w:val="24"/>
        </w:rPr>
        <w:t>,</w:t>
      </w:r>
      <w:r>
        <w:rPr>
          <w:color w:val="000000"/>
        </w:rPr>
        <w:t xml:space="preserve"> </w:t>
      </w:r>
      <w:r>
        <w:rPr>
          <w:rFonts w:ascii="Times New Roman;sans-serif" w:hAnsi="Times New Roman;sans-serif"/>
          <w:b/>
          <w:i/>
          <w:color w:val="000000"/>
          <w:sz w:val="20"/>
        </w:rPr>
        <w:t>and our operating margins may decline.</w:t>
      </w:r>
    </w:p>
    <w:p>
      <w:pPr>
        <w:pStyle w:val="TextBody"/>
        <w:spacing w:lineRule="auto" w:line="288" w:before="0" w:after="0"/>
        <w:rPr>
          <w:color w:val="000000"/>
        </w:rPr>
      </w:pPr>
      <w:r>
        <w:rPr>
          <w:color w:val="000000"/>
        </w:rPr>
        <w:t> </w:t>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may experience slowing growth or a decrease in billings, revenue, operating margin and free cash flow for a number of reasons, including a slowdown in demand for our products or services, a shift in demand from products to services, decrease in services revenue growth, increased competition, worldwide or regional economic challenges based on inflation or possible stagflation, a regional recession or a recession in the global economy, rising interest rates, the war in Ukraine, a decrease in the growth of our overall market or softness in demand in certain geographies or industry verticals, such as the service provider industry, changes in our strategic opportunities, execution risks, lower sales productivity and our failure for any reason to continue to capitalize on sales and growth opportunities due to other risks identified in the risk factors described in this periodic report. Our expenses as a percentage of total revenue may be higher than expected if our revenue is lower than expected. If our investments in sales and marketing and other functional areas do not result in expected billings and revenue growth, we may experience margin declines. In addition, we may not be able to sustain profitability in future periods if we fail to increase billings, revenue or deferred revenue, and do not appropriately manage our cost structure, free cash flow, or encounter unanticipated liabilities. As a result, any failure by us to maintain profitability and margins and continue our billings, revenue and free cash flow growth could cause the price of our common stock to materially decline.</w:t>
      </w:r>
    </w:p>
    <w:p>
      <w:pPr>
        <w:pStyle w:val="TextBody"/>
        <w:spacing w:before="0" w:after="0"/>
        <w:rPr/>
      </w:pPr>
      <w:r>
        <w:rPr/>
      </w:r>
    </w:p>
    <w:p>
      <w:pPr>
        <w:pStyle w:val="TextBody"/>
        <w:spacing w:lineRule="auto" w:line="276" w:before="0" w:after="0"/>
        <w:rPr>
          <w:rFonts w:ascii="Times New Roman;sans-serif" w:hAnsi="Times New Roman;sans-serif"/>
          <w:b/>
          <w:i/>
          <w:color w:val="000000"/>
          <w:sz w:val="20"/>
        </w:rPr>
      </w:pPr>
      <w:r>
        <w:rPr>
          <w:rFonts w:ascii="Times New Roman;sans-serif" w:hAnsi="Times New Roman;sans-serif"/>
          <w:b/>
          <w:i/>
          <w:color w:val="000000"/>
          <w:sz w:val="20"/>
        </w:rPr>
        <w:t>We are dependent on the continued services and performance of our senior management, the loss of any of whom could adversely affect our business, operating results and financial condition.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Chief Executive Officer and Chairman, or Michael Xie,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Co-Founder, President and Chief Technology Officer, or of any of our senior sales leaders or functional area leaders, could significantly delay or prevent the achievement of our development and strategic objectives. The loss of the services or the distraction of our senior management for any reason, including the COVID-19 pandemic, could adversely affect our business, financial condition and results of operations.</w:t>
      </w:r>
    </w:p>
    <w:p>
      <w:pPr>
        <w:pStyle w:val="TextBody"/>
        <w:spacing w:before="0" w:after="0"/>
        <w:rPr/>
      </w:pPr>
      <w:r>
        <w:rPr/>
      </w:r>
    </w:p>
    <w:p>
      <w:pPr>
        <w:pStyle w:val="TextBody"/>
        <w:spacing w:lineRule="auto" w:line="276" w:before="0" w:after="0"/>
        <w:rPr/>
      </w:pPr>
      <w:r>
        <w:rPr>
          <w:rFonts w:ascii="Times New Roman;sans-serif" w:hAnsi="Times New Roman;sans-serif"/>
          <w:b/>
          <w:i/>
          <w:color w:val="000000"/>
          <w:sz w:val="20"/>
        </w:rPr>
        <w:t>We rely on third-party channel partners for substantially all of our revenue. If our partners fail to perform, our ability to sell our products and services will be limited, and if we fail to optimize our channel partner model going forward, our operating results may be harmed. Additionally, a small number of distributors represents a large percentage of our revenue and gross accounts receivable, and one distributor accounted fo</w:t>
      </w:r>
      <w:r>
        <w:rPr>
          <w:rFonts w:ascii="Times New Roman;sans-serif" w:hAnsi="Times New Roman;sans-serif"/>
          <w:b/>
          <w:i/>
          <w:color w:val="000000"/>
          <w:sz w:val="20"/>
          <w:highlight w:val="white"/>
        </w:rPr>
        <w:t>r 28% of our total net accounts receivable as of March 31, 2023.</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sales is generated through a limited number of distributors, and substantially all of our revenue is from sales by our channel partners, including distributors and resellers. We depend on our channel partners to generate a significant portion of our sales opportunities and to manage our sales process. To the extent our channel partners are unsuccessful in selling our products, or if we are unable to enter into arrangements with and retain a sufficient number of high-quality channel partners in each of the regions in which we sell products, we are unable to keep them motivated to sell our products, or our channel partners shift focus to other vendors and/or our competitors, our ability to sell our products and operating results may be harmed. The termination of our relationship with any significant channel partner may adversely impact our sales and operating results.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 small number of channel partners represents a large percentage of our revenue and gross accounts receivable. We are exposed to the credit and liquidity risk of some of our channel partners and to credit exposure in weakened markets, which could result in material losses. Our dependence on a limited number of key channel partners means that our billings, revenue and operating results may be harmed by the inability of these key channel partners to successfully sell our products and services, or if any of these key channel partners is unable or unwilling to pay us, terminates its relationship with us or goes out of business. Although we have programs in place that are designed to monitor and mitigate credit and liquidity risks, we cannot guarantee these programs will be effective in reducing our credit risks. If we are unable to adequately control these risks, our business, operating results, and financial condition could be harmed. If channel partners fail to pay us under the terms of our agreements or we are otherwise unable to collect on our accounts receivable from these channel partners, we may be adversely affected both from the inability to collect amounts due and the cost of enforcing the terms of our contracts, including litigation. Our channel partners may seek bankruptcy protection or other similar relief and fail to pay amounts due to us, or pay those amounts more slowly, either of which could adversely affect our operating results, financial position, and cash flow. We may be further impacted by consolidation of our existing channel partners. In such instances, we may experience changes to our overall business and operational relationships due to dealing with a larger combined entity, and our ability to maintain such relationships on favorable contractual terms may be more limited. We may also become increasingly dependent on a more limited number of channel partners, as consolidation increases the relative proportion of our business for which each channel partner is responsible, which may magnify the risks described in the preceding paragraphs. </w:t>
      </w:r>
    </w:p>
    <w:p>
      <w:pPr>
        <w:pStyle w:val="TextBody"/>
        <w:spacing w:before="0" w:after="0"/>
        <w:ind w:left="0" w:right="0" w:firstLine="720"/>
        <w:rPr/>
      </w:pPr>
      <w:r>
        <w:rPr/>
      </w:r>
    </w:p>
    <w:p>
      <w:pPr>
        <w:pStyle w:val="TextBody"/>
        <w:spacing w:lineRule="auto" w:line="256" w:before="0" w:after="0"/>
        <w:ind w:left="0" w:right="0" w:firstLine="720"/>
        <w:rPr/>
      </w:pPr>
      <w:r>
        <w:rPr>
          <w:rFonts w:ascii="Times New Roman;sans-serif" w:hAnsi="Times New Roman;sans-serif"/>
          <w:b w:val="false"/>
          <w:color w:val="000000"/>
          <w:sz w:val="20"/>
          <w:highlight w:val="white"/>
        </w:rPr>
        <w:t>Six</w:t>
      </w:r>
      <w:r>
        <w:rPr>
          <w:color w:val="000000"/>
        </w:rPr>
        <w:t xml:space="preserve"> </w:t>
      </w:r>
      <w:r>
        <w:rPr>
          <w:rFonts w:ascii="Times New Roman;sans-serif" w:hAnsi="Times New Roman;sans-serif"/>
          <w:b w:val="false"/>
          <w:color w:val="000000"/>
          <w:sz w:val="20"/>
        </w:rPr>
        <w:t>distributor customers accounted for 66% of our total net accounts receivable in the aggregate as of March 31, 2023. See Note 15. Segment Information in Part I, Item 1 of this Quarterly Report on Form 10-Q for distributor customers that accounted for 10% or more of our revenue or net accounts receivable. Our largest distributors may experience financial difficulties, face liquidity risk or other financial challenges, which may harm our ability to collect on our accounts receivable.</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sales channel partners with specific programs to assist them with selling our products and incentivize them to sell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Moreover, many of our channel partners are privately held, including our largest distributor, and we may not have sufficient information to assess their financial condition. If our channel partners’ financial condition or operations weaken, their ability to sell our product and services could be negatively impacted. Our channel partners may also market, sell and support products and services that are competitive with ours, and may devote more resources to the marketing, sales and support of such products, or may decide to cease selling our products and services altogether in favor of a competitor’s products and services. They may also have incentives to promote our competitors’ products to the detriment of our own, or they may cease selling our products altogether. We cannot ensure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Any new sales channel partner will require extensive training and may take several months or more to achieve productivity. Our channel partner sales structure could subject us to lawsuits, potential liability and reputational harm if, for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example, any of our channel partners misrepresent the functionality of our products or services to end-customers, our service provider customers suffer a cyber event impacting end-users,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pStyle w:val="TextBody"/>
        <w:spacing w:before="0" w:after="0"/>
        <w:ind w:left="0" w:right="0" w:firstLine="720"/>
        <w:rPr/>
      </w:pPr>
      <w:r>
        <w:rPr/>
      </w:r>
    </w:p>
    <w:p>
      <w:pPr>
        <w:pStyle w:val="TextBody"/>
        <w:spacing w:lineRule="auto" w:line="276" w:before="0" w:after="0"/>
        <w:rPr/>
      </w:pPr>
      <w:r>
        <w:rPr>
          <w:rFonts w:ascii="Times New Roman;sans-serif" w:hAnsi="Times New Roman;sans-serif"/>
          <w:b/>
          <w:i/>
          <w:color w:val="000000"/>
          <w:sz w:val="20"/>
        </w:rPr>
        <w:t>Reliance on a concentration of shipments at the end of the quarter could cause our billings and revenue to fall below expected levels</w:t>
      </w:r>
      <w:r>
        <w:rPr>
          <w:rFonts w:ascii="Times New Roman;sans-serif" w:hAnsi="Times New Roman;sans-serif"/>
          <w:b w:val="false"/>
          <w:i/>
          <w:color w:val="000000"/>
          <w:sz w:val="20"/>
        </w:rPr>
        <w:t>.</w:t>
      </w:r>
    </w:p>
    <w:p>
      <w:pPr>
        <w:pStyle w:val="TextBody"/>
        <w:spacing w:before="0" w:after="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a result of customer 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We typically arrange for a logistics partner to pick up the last shipment of our products a few hours prior to the end of the quarter, and a delay in the arrival of the logistics partner or other factors such as a power outage could prevent us from shipping and billing for a material amount of products for which we have orders. Further, it is possible that the dollar value of these products intended to be shipped late on the last day of the quarter may be material. Additionally, our service billings are dependent on the completion of certain automated processes by our internal business management systems, some of which cannot be performed until after the related products have been shipped. If we do not have enough time after shipping our products for our systems to perform these processes prior to the end of the quarter, or we have system issues that prevent processing in time to realize service billings in a quarter, we will not be able to bill and realize billings for those services until the following quarter, which may materially negatively impact our billings for a particular quarter. We implemented a cloud-based quoting tool to help provide our sales team with the ability to have faster quote generation, reduce quote errors and increase sales productivity. Our ability to integrate the data from this tool into our order processing may cause order processing delays that could have an effect on our financial results. Our billings and revenue for any quarter could fall below our expectations or those of securities analysts and investors, resulting in a decline in our stock price, if expected orders at the end of any quarter are delayed for any reason or our ability to fulfill orders at the end of any quarter is hindered for any reason, including, among others:</w:t>
      </w:r>
    </w:p>
    <w:p>
      <w:pPr>
        <w:pStyle w:val="TextBody"/>
        <w:spacing w:before="0" w:after="0"/>
        <w:ind w:left="0" w:right="0" w:firstLine="720"/>
        <w:rPr/>
      </w:pPr>
      <w:r>
        <w:rPr/>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the failure of anticipated purchase orders to materialize;</w:t>
      </w:r>
    </w:p>
    <w:p>
      <w:pPr>
        <w:pStyle w:val="TextBody"/>
        <w:spacing w:before="0" w:after="0"/>
        <w:rPr/>
      </w:pPr>
      <w:r>
        <w:rPr/>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our logistics partners’ failure or inability to ship products prior to quarter-end to fulfill purchase orders received near the end of the quarter;</w:t>
      </w:r>
    </w:p>
    <w:p>
      <w:pPr>
        <w:pStyle w:val="TextBody"/>
        <w:spacing w:before="0" w:after="0"/>
        <w:rPr/>
      </w:pPr>
      <w:r>
        <w:rPr/>
      </w:r>
    </w:p>
    <w:p>
      <w:pPr>
        <w:pStyle w:val="TextBody"/>
        <w:spacing w:lineRule="auto" w:line="276" w:before="0" w:after="0"/>
        <w:ind w:left="0" w:right="0" w:hanging="720"/>
        <w:rPr/>
      </w:pPr>
      <w:r>
        <w:rPr>
          <w:color w:val="000000"/>
        </w:rPr>
        <w:t>•</w:t>
      </w:r>
      <w:r>
        <w:rPr>
          <w:rFonts w:ascii="Times New Roman;sans-serif" w:hAnsi="Times New Roman;sans-serif"/>
          <w:b w:val="false"/>
          <w:color w:val="000000"/>
          <w:sz w:val="20"/>
        </w:rPr>
        <w:t>disruption in manufacturing or shipping based on power outages, system failures, labor disputes or constraints, excessive demand, natural disasters or widespread public health problems including pandemics and epidemics;</w:t>
      </w:r>
    </w:p>
    <w:p>
      <w:pPr>
        <w:pStyle w:val="TextBody"/>
        <w:spacing w:before="0" w:after="0"/>
        <w:rPr/>
      </w:pPr>
      <w:r>
        <w:rPr/>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our failure to accurately forecast our inventory requirements and to appropriately manage inventory to meet demand;</w:t>
      </w:r>
    </w:p>
    <w:p>
      <w:pPr>
        <w:pStyle w:val="TextBody"/>
        <w:spacing w:before="0" w:after="0"/>
        <w:rPr/>
      </w:pPr>
      <w:r>
        <w:rPr/>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our inability to release new products on schedule;</w:t>
      </w:r>
    </w:p>
    <w:p>
      <w:pPr>
        <w:pStyle w:val="TextBody"/>
        <w:spacing w:before="0" w:after="0"/>
        <w:rPr/>
      </w:pPr>
      <w:r>
        <w:rPr/>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any failure of our systems related to order review and processing; and</w:t>
      </w:r>
    </w:p>
    <w:p>
      <w:pPr>
        <w:pStyle w:val="TextBody"/>
        <w:spacing w:before="0" w:after="0"/>
        <w:rPr/>
      </w:pPr>
      <w:r>
        <w:rPr/>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any delays in shipments due to trade compliance requirements, labor disputes or logistics changes at shipping ports, airline strikes, severe weather or otherwise.</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rely significantly on revenue from FortiGuard and other security subscription and FortiCare technical support services, and revenue from these services may decline or fluctuate. Because we recognize revenue from these services over the term of the relevant service period, downturns or upturns in sales of FortiGuard and other security subscription and FortiCare technical support services are not immediately reflected in full in our operating results.</w:t>
      </w:r>
    </w:p>
    <w:p>
      <w:pPr>
        <w:pStyle w:val="TextBody"/>
        <w:spacing w:before="0" w:after="0"/>
        <w:ind w:left="0" w:right="0" w:firstLine="54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FortiGuard and other security subscription and FortiCare technical support services revenue has historically accounted for a significant percentage of our total revenue. Revenue from the sale of new, or from the renewal of existing, FortiGuard and other security subscription and FortiCare technical support service contracts may decline and fluctuate as a result of a number of factors, including fluctuations in purchases of Core Platform appliances or our Enhanced Platform Technology products, changes in the sales mix between products and services, end-customers’ level of satisfaction with our products and services, the prices of our products and services, the prices of products and services offered by our competitors, reductions in our customers’ spending levels and the timing of revenue recognition with respect to these arrangements. If our sales of new, or renewals of existing, FortiGuard and other security subscription and FortiCare technical support service contracts decline, our revenue and revenue growth may decline and our business could suffer. In addition, in the event </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significant customers require payment terms for FortiGuard and other security subscription and FortiCare technical support services in arrears or for shorter periods of time than annually, such as monthly or quarterly, this may negatively impact our billings and revenue. Furthermore, we recognize FortiGuard and other security subscription and FortiCare technical support services revenue ratably over the term of the service period, which is typically from one to five years. As a result, much of the FortiGuard and other security subscription and FortiCare technical support services revenue we report each quarter is the recognition of deferred revenue from FortiGuard and other security subscription and FortiCare technical support services contracts entered into during previous quarters or years. Consequently, a decline in new or renewed FortiGuard and other security subscription and FortiCare technical support services contracts in any one quarter will not be fully reflected in revenue in that quarter but will negatively affect our revenue in future quarters. Accordingly, the effect of significant downturns in sales of new, or renewals of existing, FortiGuard and other security subscription and FortiCare technical support services is not reflected in full in our statements of income until future periods. Our FortiGuard and other security subscription and FortiCare technical support services revenue also makes it difficult for us to rapidly increase our revenue through additional service sales in any period, as revenue from new and renewal support services contracts must be recognized over the applicable service term.</w:t>
      </w:r>
    </w:p>
    <w:p>
      <w:pPr>
        <w:pStyle w:val="TextBody"/>
        <w:spacing w:before="0" w:after="0"/>
        <w:rPr/>
      </w:pPr>
      <w:r>
        <w:rPr/>
      </w:r>
    </w:p>
    <w:p>
      <w:pPr>
        <w:pStyle w:val="TextBody"/>
        <w:spacing w:lineRule="auto" w:line="276" w:before="0" w:after="0"/>
        <w:rPr>
          <w:rFonts w:ascii="Times New Roman;sans-serif" w:hAnsi="Times New Roman;sans-serif"/>
          <w:b/>
          <w:i/>
          <w:color w:val="000000"/>
          <w:sz w:val="20"/>
        </w:rPr>
      </w:pPr>
      <w:r>
        <w:rPr>
          <w:rFonts w:ascii="Times New Roman;sans-serif" w:hAnsi="Times New Roman;sans-serif"/>
          <w:b/>
          <w:i/>
          <w:color w:val="000000"/>
          <w:sz w:val="20"/>
        </w:rPr>
        <w:t>If we are unable to hire, retain and motivate qualified personnel, our business will suffer.</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success depends, in part, on our ability to continue to attract and retain highly skilled personnel. The loss of the services of any of our key personnel, the inability to attract or retain qualified personnel, any failure to have in place and execute an effective succession plan for key executives or delays in hiring required personnel, particularly in engineering, sales and marketing, may seriously harm our business, financial condition and results of operations. From time to time, we experience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 </w:t>
      </w:r>
    </w:p>
    <w:p>
      <w:pPr>
        <w:pStyle w:val="TextBody"/>
        <w:spacing w:before="0" w:after="0"/>
        <w:ind w:left="0" w:right="0" w:firstLine="72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Competition for highly skilled personnel is frequently intense, especially for qualified sales, support and engineering employees in network security and especially in the locations where we have a substantial presence and need for highly skilled personnel, such as the San Francisco Bay Area and the Vancouver, Canada area. We may not be successful in attracting, assimilating or retaining qualified personnel to fulfill our current or future needs. In addition, to the extent we hire personnel from competitors, we may be subject to allegations that they have been improperly solicited or divulged proprietary or other confidential information. Changes in immigration laws, including changes to the rules regarding H1-B visas, may also harm our ability to attract personnel from other countries. Our inability to hire properly qualified and effective sales, support and engineering employees could harm our growth and our ability to effectively support growth.</w:t>
      </w:r>
    </w:p>
    <w:p>
      <w:pPr>
        <w:pStyle w:val="TextBody"/>
        <w:spacing w:before="0" w:after="0"/>
        <w:rPr/>
      </w:pPr>
      <w:r>
        <w:rPr/>
      </w:r>
    </w:p>
    <w:p>
      <w:pPr>
        <w:pStyle w:val="TextBody"/>
        <w:spacing w:lineRule="auto" w:line="276" w:before="0" w:after="0"/>
        <w:rPr>
          <w:rFonts w:ascii="Times New Roman;sans-serif" w:hAnsi="Times New Roman;sans-serif"/>
          <w:b/>
          <w:i/>
          <w:color w:val="000000"/>
          <w:sz w:val="20"/>
        </w:rPr>
      </w:pPr>
      <w:r>
        <w:rPr>
          <w:rFonts w:ascii="Times New Roman;sans-serif" w:hAnsi="Times New Roman;sans-serif"/>
          <w:b/>
          <w:i/>
          <w:color w:val="000000"/>
          <w:sz w:val="20"/>
        </w:rPr>
        <w:t>We have incurred indebtedness and may incur other debt in the future, which may adversely affect our financial condition and future financial results.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an aggregate of $990.9 million of indebtedness outstanding under our senior notes. Under the agreements governing our indebtedness, we are permitted to incur additional debt. This debt, and any debt that we may incur in the future, may adversely affect our financial condition and future financial results by, among other things:</w:t>
      </w:r>
    </w:p>
    <w:p>
      <w:pPr>
        <w:pStyle w:val="TextBody"/>
        <w:spacing w:before="0" w:after="0"/>
        <w:rPr/>
      </w:pPr>
      <w:r>
        <w:rPr/>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increasing our vulnerability to downturns in our business, to competitive pressures and to adverse economic and industry conditions;</w:t>
      </w:r>
    </w:p>
    <w:p>
      <w:pPr>
        <w:pStyle w:val="TextBody"/>
        <w:spacing w:before="0" w:after="0"/>
        <w:rPr/>
      </w:pPr>
      <w:r>
        <w:rPr/>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requiring the dedication of a portion of our expected cash from operations to service our indebtedness, thereby reducing the amount of expected cash flow available for other purposes, including capital expenditures, share repurchases and acquisitions; and</w:t>
      </w:r>
    </w:p>
    <w:p>
      <w:pPr>
        <w:pStyle w:val="TextBody"/>
        <w:spacing w:before="0" w:after="0"/>
        <w:ind w:left="0" w:right="0" w:hanging="720"/>
        <w:rPr/>
      </w:pPr>
      <w:r>
        <w:rPr/>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limiting our flexibility in planning for, or reacting to, changes in our businesses and our industries;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unable to generate sufficient cash flow from operations in the future to service our debt, we may be required, among other things, to seek additional financing in the debt or equity markets, refinance or restructure all or a portion of our indebtedness, sell selected assets or reduce or delay planned capital, operating or investment expenditures. Such measures may not be sufficient to enable us to service our debt.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agreements governing our indebtedness impose restrictions on us and require us to comply with certain covenants. If we breach any of these covenants and do not obtain a waiver from the noteholders, then, subject to applicable cure periods, any or all of our outstanding indebtedness may be declared immediately due and payable. There can be no assurance that any refinancing or additional financing would be available on terms that are favorable or acceptable to us, if at all.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Under the terms of our outstanding senior notes, we may be required to repurchase the notes for cash prior to their maturity in connection with the occurrence of certain changes of control that are accompanied by certain downgrades in the credit ratings of the notes. The repayment obligations under the notes may have the effect of discouraging, delaying or preventing a takeover of our company. If we were required to pay the notes prior to their scheduled maturity, it could have a negative impact on our cash position and liquidity and impair our ability to invest financial resources in other strategic initiatives.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addition, changes by any rating agency to our credit rating may negatively impact the value and liquidity of both our debt and equity securities, as well as affect our ability to obtain additional financing in the future and may negatively impact the terms of any such financing.</w:t>
      </w:r>
    </w:p>
    <w:p>
      <w:pPr>
        <w:pStyle w:val="TextBody"/>
        <w:spacing w:before="0" w:after="0"/>
        <w:ind w:left="0" w:right="0" w:firstLine="7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Risks Related to Our Sales and End-Customers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generate a majority of revenue from sales to distributors, resellers and end-customers outside of the United States, and we are therefore subject to a number of risks associated with international sales and operations.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market and sell our products throughout the world and have established sales offices in many parts of the world. Our international sales have represented a majority of our total revenue in recent periods. Therefore, we are subject to risks associated with having worldwide operations. We are also subject to a number of risks typically associated with international sales and operations, including:</w:t>
      </w:r>
    </w:p>
    <w:p>
      <w:pPr>
        <w:pStyle w:val="TextBody"/>
        <w:spacing w:before="0" w:after="0"/>
        <w:rPr/>
      </w:pPr>
      <w:r>
        <w:rPr/>
      </w:r>
    </w:p>
    <w:p>
      <w:pPr>
        <w:pStyle w:val="TextBody"/>
        <w:spacing w:lineRule="auto" w:line="268" w:before="0" w:after="0"/>
        <w:ind w:left="0" w:right="0" w:hanging="720"/>
        <w:rPr/>
      </w:pPr>
      <w:r>
        <w:rPr>
          <w:color w:val="000000"/>
        </w:rPr>
        <w:t>•</w:t>
      </w:r>
      <w:r>
        <w:rPr>
          <w:rFonts w:ascii="Times New Roman;sans-serif" w:hAnsi="Times New Roman;sans-serif"/>
          <w:b w:val="false"/>
          <w:color w:val="000000"/>
          <w:sz w:val="20"/>
        </w:rPr>
        <w:t>disruption in the supply chain or in manufacturing or shipping, or decreases in demand by channel partners or end-customers, including any such disruption or decreases caused by factors outside of our control such as natural disasters and health emergencies, including earthquakes, droughts, fires, power outages, typhoons, floods, pandemics or epidemics and manmade events such as civil unrest, labor disruption, international trade disputes, international conflicts, terrorism, wars or other foreign conflicts, such as the war in Ukraine or tensions between China and Taiwan, and critical infrastructure attacks;</w:t>
      </w:r>
    </w:p>
    <w:p>
      <w:pPr>
        <w:pStyle w:val="TextBody"/>
        <w:spacing w:before="0" w:after="0"/>
        <w:ind w:left="0" w:right="0" w:hanging="360"/>
        <w:rPr/>
      </w:pPr>
      <w:r>
        <w:rPr/>
      </w:r>
    </w:p>
    <w:p>
      <w:pPr>
        <w:pStyle w:val="TextBody"/>
        <w:spacing w:lineRule="auto" w:line="268" w:before="0" w:after="0"/>
        <w:ind w:left="0" w:right="0" w:hanging="720"/>
        <w:rPr/>
      </w:pPr>
      <w:r>
        <w:rPr>
          <w:color w:val="000000"/>
        </w:rPr>
        <w:t>•</w:t>
      </w:r>
      <w:r>
        <w:rPr>
          <w:rFonts w:ascii="Times New Roman;sans-serif" w:hAnsi="Times New Roman;sans-serif"/>
          <w:b w:val="false"/>
          <w:color w:val="000000"/>
          <w:sz w:val="20"/>
        </w:rPr>
        <w:t>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pStyle w:val="TextBody"/>
        <w:spacing w:before="0" w:after="0"/>
        <w:ind w:left="0" w:right="0" w:hanging="360"/>
        <w:rPr/>
      </w:pPr>
      <w:r>
        <w:rPr/>
      </w:r>
    </w:p>
    <w:p>
      <w:pPr>
        <w:pStyle w:val="TextBody"/>
        <w:spacing w:lineRule="auto" w:line="268" w:before="0" w:after="0"/>
        <w:ind w:left="0" w:right="0" w:hanging="720"/>
        <w:rPr/>
      </w:pPr>
      <w:r>
        <w:rPr>
          <w:color w:val="000000"/>
        </w:rPr>
        <w:t>•</w:t>
      </w:r>
      <w:r>
        <w:rPr>
          <w:rFonts w:ascii="Times New Roman;sans-serif" w:hAnsi="Times New Roman;sans-serif"/>
          <w:b w:val="false"/>
          <w:color w:val="000000"/>
          <w:sz w:val="20"/>
        </w:rPr>
        <w:t>economic or political instability in foreign markets, such as any economic or political instability caused by economic downturns and wars or other foreign conflicts, such as the war in Ukraine, tensions between China and Taiwan and any expansions thereof;</w:t>
      </w:r>
    </w:p>
    <w:p>
      <w:pPr>
        <w:pStyle w:val="TextBody"/>
        <w:spacing w:before="0" w:after="0"/>
        <w:ind w:left="0" w:right="0" w:hanging="360"/>
        <w:rPr/>
      </w:pPr>
      <w:r>
        <w:rPr/>
      </w:r>
    </w:p>
    <w:p>
      <w:pPr>
        <w:pStyle w:val="TextBody"/>
        <w:spacing w:lineRule="auto" w:line="268" w:before="0" w:after="0"/>
        <w:ind w:left="0" w:right="0" w:hanging="720"/>
        <w:rPr/>
      </w:pPr>
      <w:r>
        <w:rPr>
          <w:color w:val="000000"/>
        </w:rPr>
        <w:t>•</w:t>
      </w:r>
      <w:r>
        <w:rPr>
          <w:rFonts w:ascii="Times New Roman;sans-serif" w:hAnsi="Times New Roman;sans-serif"/>
          <w:b w:val="false"/>
          <w:color w:val="000000"/>
          <w:sz w:val="20"/>
        </w:rPr>
        <w:t>instability in the global banking system;</w:t>
      </w:r>
    </w:p>
    <w:p>
      <w:pPr>
        <w:pStyle w:val="TextBody"/>
        <w:spacing w:before="0" w:after="0"/>
        <w:ind w:left="0" w:right="0" w:hanging="360"/>
        <w:rPr/>
      </w:pPr>
      <w:r>
        <w:rPr/>
      </w:r>
    </w:p>
    <w:p>
      <w:pPr>
        <w:pStyle w:val="TextBody"/>
        <w:spacing w:lineRule="auto" w:line="268" w:before="0" w:after="0"/>
        <w:ind w:left="0" w:right="0" w:hanging="720"/>
        <w:rPr/>
      </w:pPr>
      <w:r>
        <w:rPr>
          <w:color w:val="000000"/>
        </w:rPr>
        <w:t>•</w:t>
      </w:r>
      <w:r>
        <w:rPr>
          <w:rFonts w:ascii="Times New Roman;sans-serif" w:hAnsi="Times New Roman;sans-serif"/>
          <w:b w:val="false"/>
          <w:color w:val="000000"/>
          <w:sz w:val="20"/>
        </w:rPr>
        <w:t>greater difficulty in enforcing contracts and accounts receivable collection, including longer collection periods;</w:t>
      </w:r>
    </w:p>
    <w:p>
      <w:pPr>
        <w:pStyle w:val="TextBody"/>
        <w:spacing w:before="0" w:after="0"/>
        <w:ind w:left="0" w:right="0" w:hanging="360"/>
        <w:rPr/>
      </w:pPr>
      <w:r>
        <w:rPr/>
      </w:r>
    </w:p>
    <w:p>
      <w:pPr>
        <w:pStyle w:val="TextBody"/>
        <w:spacing w:lineRule="auto" w:line="268" w:before="0" w:after="0"/>
        <w:ind w:left="0" w:right="0" w:hanging="720"/>
        <w:rPr/>
      </w:pPr>
      <w:r>
        <w:rPr>
          <w:color w:val="000000"/>
        </w:rPr>
        <w:t>•</w:t>
      </w:r>
      <w:r>
        <w:rPr>
          <w:rFonts w:ascii="Times New Roman;sans-serif" w:hAnsi="Times New Roman;sans-serif"/>
          <w:b w:val="false"/>
          <w:color w:val="000000"/>
          <w:sz w:val="20"/>
        </w:rPr>
        <w:t>longer sales processes for larger deals;</w:t>
      </w:r>
    </w:p>
    <w:p>
      <w:pPr>
        <w:pStyle w:val="TextBody"/>
        <w:spacing w:before="0" w:after="0"/>
        <w:ind w:left="0" w:right="0" w:hanging="360"/>
        <w:rPr/>
      </w:pPr>
      <w:r>
        <w:rPr/>
      </w:r>
    </w:p>
    <w:p>
      <w:pPr>
        <w:pStyle w:val="TextBody"/>
        <w:spacing w:lineRule="auto" w:line="268" w:before="0" w:after="0"/>
        <w:ind w:left="0" w:right="0" w:hanging="720"/>
        <w:rPr/>
      </w:pPr>
      <w:r>
        <w:rPr>
          <w:color w:val="000000"/>
        </w:rPr>
        <w:t>•</w:t>
      </w:r>
      <w:r>
        <w:rPr>
          <w:rFonts w:ascii="Times New Roman;sans-serif" w:hAnsi="Times New Roman;sans-serif"/>
          <w:b w:val="false"/>
          <w:color w:val="000000"/>
          <w:sz w:val="20"/>
        </w:rPr>
        <w:t>changes in regulatory requirements;</w:t>
      </w:r>
    </w:p>
    <w:p>
      <w:pPr>
        <w:pStyle w:val="TextBody"/>
        <w:spacing w:before="0" w:after="0"/>
        <w:ind w:left="0" w:right="0" w:hanging="360"/>
        <w:rPr/>
      </w:pPr>
      <w:r>
        <w:rPr/>
      </w:r>
    </w:p>
    <w:p>
      <w:pPr>
        <w:pStyle w:val="TextBody"/>
        <w:spacing w:lineRule="auto" w:line="268" w:before="0" w:after="0"/>
        <w:ind w:left="0" w:right="0" w:hanging="720"/>
        <w:rPr/>
      </w:pPr>
      <w:r>
        <w:rPr>
          <w:color w:val="000000"/>
        </w:rPr>
        <w:t>•</w:t>
      </w:r>
      <w:r>
        <w:rPr>
          <w:rFonts w:ascii="Times New Roman;sans-serif" w:hAnsi="Times New Roman;sans-serif"/>
          <w:b w:val="false"/>
          <w:color w:val="000000"/>
          <w:sz w:val="20"/>
        </w:rPr>
        <w:t>difficulties and costs of staffing and managing foreign operations;</w:t>
      </w:r>
    </w:p>
    <w:p>
      <w:pPr>
        <w:pStyle w:val="TextBody"/>
        <w:spacing w:before="0" w:after="0"/>
        <w:ind w:left="0" w:right="0" w:hanging="360"/>
        <w:rPr/>
      </w:pPr>
      <w:r>
        <w:rPr/>
      </w:r>
    </w:p>
    <w:p>
      <w:pPr>
        <w:pStyle w:val="TextBody"/>
        <w:spacing w:lineRule="auto" w:line="268" w:before="0" w:after="0"/>
        <w:ind w:left="0" w:right="0" w:hanging="720"/>
        <w:rPr/>
      </w:pPr>
      <w:r>
        <w:rPr>
          <w:color w:val="000000"/>
        </w:rPr>
        <w:t>•</w:t>
      </w:r>
      <w:r>
        <w:rPr>
          <w:rFonts w:ascii="Times New Roman;sans-serif" w:hAnsi="Times New Roman;sans-serif"/>
          <w:b w:val="false"/>
          <w:color w:val="000000"/>
          <w:sz w:val="20"/>
        </w:rPr>
        <w:t>the uncertainty of protection for Intellectual Property (“IP”) rights in some countries;</w:t>
      </w:r>
    </w:p>
    <w:p>
      <w:pPr>
        <w:pStyle w:val="TextBody"/>
        <w:spacing w:before="0" w:after="0"/>
        <w:ind w:left="0" w:right="0" w:hanging="360"/>
        <w:rPr/>
      </w:pPr>
      <w:r>
        <w:rPr/>
      </w:r>
    </w:p>
    <w:p>
      <w:pPr>
        <w:pStyle w:val="TextBody"/>
        <w:spacing w:lineRule="auto" w:line="268" w:before="0" w:after="0"/>
        <w:ind w:left="0" w:right="0" w:hanging="720"/>
        <w:rPr/>
      </w:pPr>
      <w:r>
        <w:rPr>
          <w:color w:val="000000"/>
        </w:rPr>
        <w:t>•</w:t>
      </w:r>
      <w:r>
        <w:rPr>
          <w:rFonts w:ascii="Times New Roman;sans-serif" w:hAnsi="Times New Roman;sans-serif"/>
          <w:b w:val="false"/>
          <w:color w:val="000000"/>
          <w:sz w:val="20"/>
        </w:rPr>
        <w:t>costs of compliance with foreign policies, laws and regulations and the risks and costs of non-compliance with such policies, laws and regulations;</w:t>
      </w:r>
    </w:p>
    <w:p>
      <w:pPr>
        <w:pStyle w:val="TextBody"/>
        <w:spacing w:before="0" w:after="0"/>
        <w:rPr/>
      </w:pPr>
      <w:r>
        <w:rPr/>
      </w:r>
    </w:p>
    <w:p>
      <w:pPr>
        <w:pStyle w:val="TextBody"/>
        <w:spacing w:lineRule="auto" w:line="276" w:before="0" w:after="0"/>
        <w:ind w:left="0" w:right="0" w:hanging="720"/>
        <w:rPr/>
      </w:pPr>
      <w:r>
        <w:rPr>
          <w:color w:val="000000"/>
        </w:rPr>
        <w:t>•</w:t>
      </w:r>
      <w:r>
        <w:rPr>
          <w:rFonts w:ascii="Times New Roman;sans-serif" w:hAnsi="Times New Roman;sans-serif"/>
          <w:b w:val="false"/>
          <w:color w:val="000000"/>
          <w:sz w:val="20"/>
        </w:rPr>
        <w:t xml:space="preserve">protectionist policies and penalties, and local laws, requirements, policies and perceptions that may adversely impact a U.S.-headquartered business’s sales in certain countries outside of the United States; </w:t>
      </w:r>
    </w:p>
    <w:p>
      <w:pPr>
        <w:pStyle w:val="TextBody"/>
        <w:spacing w:lineRule="auto" w:line="288" w:before="0" w:after="0"/>
        <w:rPr>
          <w:color w:val="000000"/>
        </w:rPr>
      </w:pPr>
      <w:r>
        <w:rPr>
          <w:color w:val="000000"/>
        </w:rPr>
        <w:t>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costs of complying with, and the risks, reputational damage and other costs of non-compliance with, U.S. or other foreign laws and regulations for foreign operations, including the U.S. Foreign Corrupt Practices Act, the United Kingdom Bribery Act 2010, the General Data Protection Regulation (the “GDPR”), import and export control laws, trade laws and regulations, tariffs and retaliatory measures, trade barriers and economic sanctions;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other regulatory or contractual limitations on our ability to sell our products in certain foreign markets, and the risks and costs of non-compliance;</w:t>
      </w:r>
    </w:p>
    <w:p>
      <w:pPr>
        <w:pStyle w:val="TextBody"/>
        <w:spacing w:before="0" w:after="0"/>
        <w:rPr/>
      </w:pPr>
      <w:r>
        <w:rPr/>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heightened risks of unfair or corrupt business practices in certain geographies and of improper or fraudulent sales or sales-related arrangements, such as sales “side agreements” to allow return rights,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pStyle w:val="TextBody"/>
        <w:spacing w:before="0" w:after="0"/>
        <w:rPr/>
      </w:pPr>
      <w:r>
        <w:rPr/>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our ability to effectively implement and maintain adequate internal controls to properly manage our international sales and operations;</w:t>
      </w:r>
    </w:p>
    <w:p>
      <w:pPr>
        <w:pStyle w:val="TextBody"/>
        <w:spacing w:before="0" w:after="0"/>
        <w:rPr/>
      </w:pPr>
      <w:r>
        <w:rPr/>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political unrest, changes and uncertainty associated with terrorism, hostilities, war or natural disasters;</w:t>
      </w:r>
    </w:p>
    <w:p>
      <w:pPr>
        <w:pStyle w:val="TextBody"/>
        <w:spacing w:lineRule="auto" w:line="288" w:before="0" w:after="0"/>
        <w:ind w:left="0" w:right="0" w:hanging="720"/>
        <w:rPr>
          <w:color w:val="000000"/>
        </w:rPr>
      </w:pPr>
      <w:r>
        <w:rPr>
          <w:color w:val="000000"/>
        </w:rPr>
        <w:t>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management communication and integration problems resulting from cultural differences and geographic dispersion; and</w:t>
      </w:r>
    </w:p>
    <w:p>
      <w:pPr>
        <w:pStyle w:val="TextBody"/>
        <w:spacing w:before="0" w:after="0"/>
        <w:rPr/>
      </w:pPr>
      <w:r>
        <w:rPr/>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changes in tax, tariff, employment and other laws.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Product and service sales and employee and contractor matters may be subject to foreign governmental regulations, which vary substantially from country to country. Further, we may be unable to keep up to 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we believe reasonably ensures that we are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If we are not successful in continuing to execute our strategy to increase our sales to large and medium-sized end-customers, our results of operations may suffer.</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An important part of our growth strategy is to increase sales of our products to large- and medium-sized businesses, service providers and government organizations. While we have increased sales in recent periods to large- and medium-sized businesses, our sales volume varies by quarter and there is a risk as to our level of success selling to these target customers. Such sales involve unique sales skillsets, processes and structures, are often more complex and feature a longer contract term and may be at higher discount levels. We also have experienced uneven traction selling to certain government organizations and service providers and MSSPs, and there can be no assurance that we will be successful selling to these customers. Sales to these organizations involve risks that may not be present, or that are present to a lesser extent, with sales to smaller entities. These risks include:</w:t>
      </w:r>
    </w:p>
    <w:p>
      <w:pPr>
        <w:pStyle w:val="TextBody"/>
        <w:spacing w:before="0" w:after="0"/>
        <w:rPr/>
      </w:pPr>
      <w:r>
        <w:rPr/>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increased competition from competitors that traditionally target large and medium-sized businesses, service providers and government organizations and that may already have purchase commitments from those end-customers;</w:t>
      </w:r>
    </w:p>
    <w:p>
      <w:pPr>
        <w:pStyle w:val="TextBody"/>
        <w:spacing w:lineRule="auto" w:line="288" w:before="0" w:after="0"/>
        <w:ind w:left="0" w:right="0" w:hanging="720"/>
        <w:rPr>
          <w:color w:val="000000"/>
        </w:rPr>
      </w:pPr>
      <w:r>
        <w:rPr>
          <w:color w:val="000000"/>
        </w:rPr>
        <w:t>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increased purchasing power and leverage held by large end-customers in negotiating contractual arrangements;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unanticipated changes in the capital resources or purchasing behavior of large end-customers, including changes in the volume and frequency of their purchases and changes in the mix of products and services, willingness to change to cloud delivery model and related payment terms;</w:t>
      </w:r>
    </w:p>
    <w:p>
      <w:pPr>
        <w:pStyle w:val="TextBody"/>
        <w:spacing w:lineRule="auto" w:line="288" w:before="0" w:after="0"/>
        <w:ind w:left="0" w:right="0" w:hanging="720"/>
        <w:rPr>
          <w:color w:val="000000"/>
        </w:rPr>
      </w:pPr>
      <w:r>
        <w:rPr>
          <w:color w:val="000000"/>
        </w:rPr>
        <w:t>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 xml:space="preserve">more stringent support requirements in our support service contracts, including stricter support response times, more complex requirements and increased penalties for any failure to meet support requirements; </w:t>
      </w:r>
    </w:p>
    <w:p>
      <w:pPr>
        <w:pStyle w:val="TextBody"/>
        <w:spacing w:before="0" w:after="0"/>
        <w:ind w:left="0" w:right="0" w:hanging="720"/>
        <w:rPr/>
      </w:pPr>
      <w:r>
        <w:rPr/>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 xml:space="preserve">longer sales cycles and the associated risk that substantial time and resources may be spent on a potential end-customer that elects not to purchase our products and services; </w:t>
      </w:r>
    </w:p>
    <w:p>
      <w:pPr>
        <w:pStyle w:val="TextBody"/>
        <w:spacing w:before="0" w:after="0"/>
        <w:ind w:left="0" w:right="0" w:hanging="360"/>
        <w:rPr/>
      </w:pPr>
      <w:r>
        <w:rPr/>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increased requirements from these customers that we have certain third-party security or other certifications, which we may not have, the lack of which may adversely affect our ability to successfully sell to such customers;</w:t>
      </w:r>
    </w:p>
    <w:p>
      <w:pPr>
        <w:pStyle w:val="TextBody"/>
        <w:spacing w:before="0" w:after="0"/>
        <w:rPr/>
      </w:pPr>
      <w:r>
        <w:rPr/>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uncertainty as to timing to close large deals and any delays in closing those deals; and</w:t>
      </w:r>
    </w:p>
    <w:p>
      <w:pPr>
        <w:pStyle w:val="TextBody"/>
        <w:spacing w:before="0" w:after="0"/>
        <w:ind w:left="0" w:right="0" w:hanging="720"/>
        <w:rPr/>
      </w:pPr>
      <w:r>
        <w:rPr/>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longer ramp-up periods for enterprise sales personnel as compared to other sales personnel.</w:t>
      </w:r>
    </w:p>
    <w:p>
      <w:pPr>
        <w:pStyle w:val="TextBody"/>
        <w:spacing w:lineRule="auto" w:line="288" w:before="0" w:after="0"/>
        <w:rPr>
          <w:color w:val="000000"/>
        </w:rPr>
      </w:pPr>
      <w:r>
        <w:rPr>
          <w:color w:val="000000"/>
        </w:rPr>
        <w:t> </w:t>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Large and medium-sized businesses, service providers and MSSPs and government organizations often undertake a significant evaluation process that results in a lengthy sales cycle, in some cases longer than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purchases by large- and medium-sized businesses, service providers and government organizations are frequently subject to budget constraints, multiple approvals and unplanned administrative, processing and other delays; in light of current economic conditions and regulations in place by various government authorities, some of these sales cycles are being further extended. Furthermore, service providers and MSSPs represent our largest industry vertical and consolidation or continued changes in buying behavior by larger customers within this industry could negatively impact our business. Large- and medium-sized businesses, service providers and MSSPs and government organizations typically have longer implementation cycles, require greater product functionality and scalability, expect a broader range of services, including design, implementation and post go-live services, demand that vendors take on a larger share of risks, require acceptance provisions that can lead to a delay in revenue recognition and expect greater payment flexibility from vendors. In addition, large- and medium-sized businesses, service providers and government organizations may require that our products and services be sold differently from how we offer our products and services, which could negatively impact our operating results. Our large business and service provider customers may also become more deliberate in their purchases as they plan their next-generation network security architecture, leading them to take more time in making purchasing decisions or to purchase based only on their immediate needs.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If we do not increase the effectiveness of our sales organization, we may have difficulty adding new end-customers or increasing sales to our existing end-customers and our business may be adversely affected.</w:t>
      </w:r>
    </w:p>
    <w:p>
      <w:pPr>
        <w:pStyle w:val="TextBody"/>
        <w:spacing w:before="0" w:after="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have a channel sales model, sales in our industry are complex and members of our sales organization often engage in direct interaction with our prospective end-customers, particularly for larger deals involving larger end-customers. Therefore, we continue to be substantially dependent on our sales organization to obtain new end-customers and sell additional products and services to our existing end-customers. There is significant competition for sales personnel with the skills and technical knowledge that we require, including experienced enterprise sales employees and others. Our ability to grow our revenue depends, in large part, on our success in recruiting, training and retaining sufficient numbers of sales personnel to support our growth and on the effectiveness of those personnel in selling successfully in different contexts, each of which has its own different complexities, approaches and competitive landscapes, such as managing and growing the channel business for sales to small businesses and more actively selling to the end-customer for sales to larger organizations. New hires require substantial training and may take significant time before they achieve full productivity. Our recent hires and planned hires may not become productive as quickly as we expect, and we may be unable to hire or retain sufficient numbers of qualified individuals in the markets where we do business or plan to do business. Furthermore, hiring sales personnel in new countries requires additional setup and upfront costs that we may not recover if the sales personnel fail to achieve full productivity. If our sales employees do not become fully productive on the timelines that we have projected, our revenue may not increase at anticipated levels and our ability to achieve long-term projections may be negatively impacted. If we are unable to hire and train sufficient numbers of effective sales personnel, the sales personnel are not successful in obtaining new end-customers or increasing sales to our existing customer base or sales personnel do not effectively sell our Enhanced Platform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Technology products, our business, operating results and prospects may be adversely affected. If we do not hire properly qualified and effective sales employees and organize our sales team effectively to capture the opportunities in the various customer segments we are targeting, our growth and ability to effectively support growth may be harmed.</w:t>
      </w:r>
    </w:p>
    <w:p>
      <w:pPr>
        <w:pStyle w:val="TextBody"/>
        <w:spacing w:before="0" w:after="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addition, in light of macroeconomic trends, we may face excess sales capacity and a decline in productivity in our sales organization. If we are not able to align our sales capacity and market demand, or the productivity of our sales organization decreases, our operating results and financial condition could be harmed.</w:t>
      </w:r>
    </w:p>
    <w:p>
      <w:pPr>
        <w:pStyle w:val="TextBody"/>
        <w:spacing w:before="0" w:after="0"/>
        <w:rPr/>
      </w:pPr>
      <w:r>
        <w:rPr/>
      </w:r>
    </w:p>
    <w:p>
      <w:pPr>
        <w:pStyle w:val="TextBody"/>
        <w:spacing w:lineRule="auto" w:line="276" w:before="0" w:after="0"/>
        <w:rPr>
          <w:rFonts w:ascii="Times New Roman;sans-serif" w:hAnsi="Times New Roman;sans-serif"/>
          <w:b/>
          <w:i/>
          <w:color w:val="000000"/>
          <w:sz w:val="20"/>
        </w:rPr>
      </w:pPr>
      <w:r>
        <w:rPr>
          <w:rFonts w:ascii="Times New Roman;sans-serif" w:hAnsi="Times New Roman;sans-serif"/>
          <w:b/>
          <w:i/>
          <w:color w:val="000000"/>
          <w:sz w:val="20"/>
        </w:rPr>
        <w:t>Unless we continue to develop better market awareness of our company and our products, and to improve lead generation and sales enablement, our revenue may not continue to grow.</w:t>
      </w:r>
    </w:p>
    <w:p>
      <w:pPr>
        <w:pStyle w:val="TextBody"/>
        <w:spacing w:before="0" w:after="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Increased market awareness of our capabilities and products and increased lead generation are essential to our continued growth and our success in all of our markets, particularly the market for sales to large businesses, service providers and government organizations. While we have increased our investments in sales and marketing, it is not clear that these investments will continue to result in increased revenue. If our investments in additional sales personnel or our marketing programs are not successful in continuing to create market awareness of our company and products or increasing lead generation, in growing billings for our broad product suite or if we experience turnover and disruption in our sales and marketing teams, we may not be able to achieve sustained growth, and our business, financial condition and results of operations may be adversely affected.</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Some of our sales are to government organizations, which subjects us to a number of regulatory requirements, challenges and risks.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Sales to U.S. and foreign federal, state and local government organizations are subject to a number of risks. Because of public sector budgetary cycles and laws or regulations governing public procurements, such sales often require significant upfront time and expense without any assurance of winning a sale.</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Government demand, sales and payment for our products and services may be negatively impacted by numerous factors and requirements unique to selling to government agencies, such as:</w:t>
      </w:r>
    </w:p>
    <w:p>
      <w:pPr>
        <w:pStyle w:val="TextBody"/>
        <w:spacing w:before="0" w:after="0"/>
        <w:ind w:left="0" w:right="0" w:hanging="360"/>
        <w:rPr/>
      </w:pPr>
      <w:r>
        <w:rPr/>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policies, laws and regulations have in the past, and may in the future, require us to obtain and maintain certain security and other certifications in order to sell our products and services into certain government organizations, and such certifications may be costly and time-consuming to obtain and maintain;</w:t>
      </w:r>
    </w:p>
    <w:p>
      <w:pPr>
        <w:pStyle w:val="TextBody"/>
        <w:spacing w:before="0" w:after="0"/>
        <w:ind w:left="0" w:right="0" w:hanging="720"/>
        <w:rPr/>
      </w:pPr>
      <w:r>
        <w:rPr/>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funding authorizations and requirements unique to government agencies, with funding or purchasing reductions or delays adversely affecting public sector demand for our products; and</w:t>
      </w:r>
    </w:p>
    <w:p>
      <w:pPr>
        <w:pStyle w:val="TextBody"/>
        <w:spacing w:before="0" w:after="0"/>
        <w:ind w:left="0" w:right="0" w:hanging="720"/>
        <w:rPr/>
      </w:pPr>
      <w:r>
        <w:rPr/>
      </w:r>
    </w:p>
    <w:p>
      <w:pPr>
        <w:pStyle w:val="TextBody"/>
        <w:spacing w:lineRule="auto" w:line="276" w:before="0" w:after="0"/>
        <w:ind w:left="0" w:right="0" w:hanging="720"/>
        <w:rPr/>
      </w:pPr>
      <w:r>
        <w:rPr>
          <w:color w:val="000000"/>
        </w:rPr>
        <w:t>•</w:t>
      </w:r>
      <w:r>
        <w:rPr>
          <w:rFonts w:ascii="Times New Roman;sans-serif" w:hAnsi="Times New Roman;sans-serif"/>
          <w:b w:val="false"/>
          <w:color w:val="000000"/>
          <w:sz w:val="20"/>
        </w:rPr>
        <w:t>geopolitical matters, including tariff and trade disputes, government shutdowns, impact of the war in Ukraine, tensions between China and Taiwan and trade protectionism and other political dynamics that may adversely affect our ability to sell in certain locations or obtain the requisite permits and clearances required for certain purchases by government organizations of our products and services.</w:t>
      </w:r>
    </w:p>
    <w:p>
      <w:pPr>
        <w:pStyle w:val="TextBody"/>
        <w:spacing w:before="0" w:after="0"/>
        <w:ind w:left="0" w:right="0" w:hanging="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addition, if we do not have certain certifications, this may restrict our ability to sell to certain government customers until we have obtained certain certifications and we may not obtain the certifications in a timely manner or at all.</w:t>
      </w:r>
    </w:p>
    <w:p>
      <w:pPr>
        <w:pStyle w:val="TextBody"/>
        <w:spacing w:before="0" w:after="0"/>
        <w:ind w:left="0" w:right="0" w:hanging="72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rules and regulations applicable to sales to government organizations may also negatively impact sales to other organizations. For example, government organizations may have contractual or other legal rights to terminate contracts with our distributors and resellers for convenience or due to a default, and any such termination may adversely impact our future results of operations. If the distributor receives a significant portion of its revenue from sales to government organizations, the financial health of the distributor could be substantially harmed, which could negatively affect our future sales to such distributor. Governments routinely investigate, review and audit government vendors’ administrative and other processes, and any unfavorable investigation, audit, other review or unfavorable determination related to any government clearance or certification could result in the government’s refusing to continue buying our products and services, a limitation and reduction of government purchases of our products and services, a reduction of revenue or fines, or civil or criminal liability if the investigation, audit or other review uncovers improper, illegal or otherwise concerning activities. Any such penalties could adversely impact our results of operations in a material way. Further, any refusal to grant certain certifications or clearances by one government agency, or any decision by one government agency that our products do not meet certain standards, may reduce business opportunities and cause reputational harm and cause concern with other government agencies, governments and businesses and cause them to not buy our products and services and/or lead to a decrease in demand for our products generally. </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Finally, some governments, including the U.S. federal government, may require certain products to be manufactured in, and services to be provided from, certain identified countries which may be high-cost locations. We may not manufacture all products or provide all services in locations that meet such requirements and consequently our products and services may not be eligible for certain government purchases.</w:t>
      </w:r>
    </w:p>
    <w:p>
      <w:pPr>
        <w:pStyle w:val="TextBody"/>
        <w:spacing w:before="0" w:after="0"/>
        <w:ind w:left="0" w:right="0" w:firstLine="72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Risks Related to Our Industry, Customers, Products and Services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face intense competition in our market and we may not maintain or improve our competitive position.</w:t>
      </w:r>
    </w:p>
    <w:p>
      <w:pPr>
        <w:pStyle w:val="TextBody"/>
        <w:spacing w:lineRule="auto" w:line="288" w:before="0" w:after="0"/>
        <w:rPr>
          <w:color w:val="000000"/>
        </w:rPr>
      </w:pPr>
      <w:r>
        <w:rPr>
          <w:color w:val="000000"/>
        </w:rPr>
        <w:t> </w:t>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market for network security products is intensely competitive and dynamic, and we expect competition to continue to intensify. We face many competitors across the different cybersecurity markets. Our competitors include companies such as Arista Networks, Inc., Aruba Networks, Inc., Barracuda Networks, Inc., Check Point Software Technologies Ltd., Cisco Systems, Inc. (“Cisco”), CrowdStrike Holdings, Inc., F5 Networks, Inc., Huawei Technologies Co., Ltd., Juniper Networks, Inc., Palo Alto Networks, Inc., SonicWALL, Inc., Sophos Group Plc, Trend Micro Incorporated, VMware, Inc. and Zscaler, Inc. (“Zscaler”).</w:t>
      </w:r>
    </w:p>
    <w:p>
      <w:pPr>
        <w:pStyle w:val="TextBody"/>
        <w:spacing w:lineRule="auto" w:line="288" w:before="0" w:after="0"/>
        <w:ind w:left="0" w:right="0" w:firstLine="720"/>
        <w:rPr>
          <w:color w:val="000000"/>
        </w:rPr>
      </w:pPr>
      <w:r>
        <w:rPr>
          <w:color w:val="000000"/>
        </w:rPr>
        <w:t> </w:t>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Some of our existing and potential competitors enjoy competitive advantages such as:</w:t>
      </w:r>
    </w:p>
    <w:p>
      <w:pPr>
        <w:pStyle w:val="TextBody"/>
        <w:spacing w:lineRule="auto" w:line="288" w:before="0" w:after="0"/>
        <w:ind w:left="0" w:right="0" w:firstLine="720"/>
        <w:rPr>
          <w:color w:val="000000"/>
        </w:rPr>
      </w:pPr>
      <w:r>
        <w:rPr>
          <w:color w:val="000000"/>
        </w:rPr>
        <w:t>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greater name recognition and/or longer operating histories;</w:t>
      </w:r>
    </w:p>
    <w:p>
      <w:pPr>
        <w:pStyle w:val="TextBody"/>
        <w:spacing w:lineRule="auto" w:line="288" w:before="0" w:after="0"/>
        <w:ind w:left="0" w:right="0" w:hanging="720"/>
        <w:rPr>
          <w:color w:val="000000"/>
        </w:rPr>
      </w:pPr>
      <w:r>
        <w:rPr>
          <w:color w:val="000000"/>
        </w:rPr>
        <w:t>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larger sales and marketing budgets and resources;</w:t>
      </w:r>
    </w:p>
    <w:p>
      <w:pPr>
        <w:pStyle w:val="TextBody"/>
        <w:spacing w:lineRule="auto" w:line="288" w:before="0" w:after="0"/>
        <w:ind w:left="0" w:right="0" w:hanging="720"/>
        <w:rPr>
          <w:color w:val="000000"/>
        </w:rPr>
      </w:pPr>
      <w:r>
        <w:rPr>
          <w:color w:val="000000"/>
        </w:rPr>
        <w:t>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broader distribution and established relationships with distribution partners and end-customers;</w:t>
      </w:r>
    </w:p>
    <w:p>
      <w:pPr>
        <w:pStyle w:val="TextBody"/>
        <w:spacing w:lineRule="auto" w:line="288" w:before="0" w:after="0"/>
        <w:ind w:left="0" w:right="0" w:hanging="720"/>
        <w:rPr>
          <w:color w:val="000000"/>
        </w:rPr>
      </w:pPr>
      <w:r>
        <w:rPr>
          <w:color w:val="000000"/>
        </w:rPr>
        <w:t>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access to larger customer bases;</w:t>
      </w:r>
    </w:p>
    <w:p>
      <w:pPr>
        <w:pStyle w:val="TextBody"/>
        <w:spacing w:lineRule="auto" w:line="288" w:before="0" w:after="0"/>
        <w:ind w:left="0" w:right="0" w:hanging="720"/>
        <w:rPr>
          <w:color w:val="000000"/>
        </w:rPr>
      </w:pPr>
      <w:r>
        <w:rPr>
          <w:color w:val="000000"/>
        </w:rPr>
        <w:t>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greater customer support resources;</w:t>
      </w:r>
    </w:p>
    <w:p>
      <w:pPr>
        <w:pStyle w:val="TextBody"/>
        <w:spacing w:lineRule="auto" w:line="288" w:before="0" w:after="0"/>
        <w:ind w:left="0" w:right="0" w:hanging="720"/>
        <w:rPr>
          <w:color w:val="000000"/>
        </w:rPr>
      </w:pPr>
      <w:r>
        <w:rPr>
          <w:color w:val="000000"/>
        </w:rPr>
        <w:t>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greater resources to make acquisitions;</w:t>
      </w:r>
    </w:p>
    <w:p>
      <w:pPr>
        <w:pStyle w:val="TextBody"/>
        <w:spacing w:before="0" w:after="0"/>
        <w:ind w:left="0" w:right="0" w:hanging="360"/>
        <w:rPr/>
      </w:pPr>
      <w:r>
        <w:rPr/>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stronger U.S. government relationships;</w:t>
      </w:r>
    </w:p>
    <w:p>
      <w:pPr>
        <w:pStyle w:val="TextBody"/>
        <w:spacing w:lineRule="auto" w:line="288" w:before="0" w:after="0"/>
        <w:ind w:left="0" w:right="0" w:hanging="720"/>
        <w:rPr>
          <w:color w:val="000000"/>
        </w:rPr>
      </w:pPr>
      <w:r>
        <w:rPr>
          <w:color w:val="000000"/>
        </w:rPr>
        <w:t>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lower labor and development costs; and</w:t>
      </w:r>
    </w:p>
    <w:p>
      <w:pPr>
        <w:pStyle w:val="TextBody"/>
        <w:spacing w:lineRule="auto" w:line="288" w:before="0" w:after="0"/>
        <w:ind w:left="0" w:right="0" w:hanging="720"/>
        <w:rPr>
          <w:color w:val="000000"/>
        </w:rPr>
      </w:pPr>
      <w:r>
        <w:rPr>
          <w:color w:val="000000"/>
        </w:rPr>
        <w:t>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substantially greater financial, technical and other resources.</w:t>
      </w:r>
    </w:p>
    <w:p>
      <w:pPr>
        <w:pStyle w:val="TextBody"/>
        <w:spacing w:lineRule="auto" w:line="288" w:before="0" w:after="0"/>
        <w:ind w:left="0" w:right="0" w:firstLine="540"/>
        <w:rPr>
          <w:color w:val="000000"/>
        </w:rPr>
      </w:pPr>
      <w:r>
        <w:rPr>
          <w:color w:val="000000"/>
        </w:rPr>
        <w:t> </w:t>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addition, certain of our larger competitors have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security threat are often able to deliver these specialized security products to the market more quickly than we can.</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Conditions in our markets could change rapidly and significantly as a result of technological advancements or continuing market consolidation. Our competitors and potential competitors may also be able to develop products or services, and leverage new business models, that are equal or superior to ours, achieve greater market acceptance of their products and services, disrupt our markets, and increase sales by utilizing different distribution channels than we do. For example, certain of our competitors are focusing on delivering security services from the cloud which include cloud-based security providers, such as Zscaler. In addition, current or potential competitors may be acquired by third parties with greater available resources,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As our customers refresh the security products bought in prior years, they may seek to consolidate vendors, which may result in current customers choosing to purchase products from our competitors on an ongoing basis. Due to budget constraints or economic downturns, organizations may be more willing to incrementally add solutions to their existing network security infrastructure from competitors than to replace it with our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solutions. These competitive pressures in our market or our failure to compete effectively may result in price reductions, fewer customer orders, reduced revenue and gross margins and loss of market share.</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Managing inventory of our products and product components is complex. We order components from third-party manufacturers based on our forecasts of future demand and targeted inventory levels, which exposes us to the risk of both product shortages, which may result in lost sales and higher expenses, and excess inventory, which may require us to sell our products at discounts and lead to write-offs.</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Managing our inventory is complex, especially in times of supply chain disruption.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and accurately forecasting inventory requirements and demand can be challenging. Our channel partners also may adjust their orders in response to the supply of our products and the products of our competitors that are available to them and in response to seasonal fluctuations in end-customer demand. Furthermore, the time required to source components including chips and other components, and manufacture or ship certain products has increased, and so we expect inventory shortfalls to continue and costs to manufacture and ship on-time to continue to increase. If we cannot manufacture and ship our products due to, for example, global chip shortages, excessive demand on contract manufacturers capacity, natural disasters and health emergencies such as earthquakes, fires, power outages, typhoons, floods, cyber events, pandemics and epidemics such as the COVID-19 pandemic or manmade events such as civil unrest, labor disruption, international trade disputes, international conflicts, terrorism, wars or other foreign conflicts, such as the war in Ukraine or tensions between China and Taiwan, and critical infrastructure attacks, our business and financial results could be materially and adversely impacted. </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response to component shortages in recent quarters, we increased our purchase order commitments. Our suppliers may require us to accept or pay for components and finished goods regardless of our level of sales in a particular period, which may negatively impact our operating results and financial condition.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Inventory management remains an area of focus as we balance the need to maintain inventory levels that are sufficient to ensure competitive lead times against the risk of inventory obsolescence because of rapidly changing technology, product transitions, customer requirements or excess inventory levels. If we ultimately determine that we have excess inventory, we may have to reduce our prices and write-down inventory, which in turn could result in lower gross margins. Alternatively, insufficient inventory levels may lead to shortages that result in delayed billings and revenue or loss of sales opportunities altogether as potential end-customers turn to competitors’ products that are readily available. For example, we have in the past experienced inventory shortages and excesses due to the variance in demand for certain products from forecasted amounts. Our inventory management systems and related supply chain visibility tools may be inadequate to enable us to effectively manage inventory. If we are unable to effectively manage our inventory and that of our channel partners, our results of operations could be adversely affected.</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If our new products, services and enhancements do not achieve sufficient market acceptance, our results of operations and competitive position will suffer.</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spend substantial amounts of time and money to develop internally and acquire new products and services and enhance versions of our existing products and services in order to incorporate additional features, improved functionality or other enhancements in order to meet our customers’ rapidly evolving demands for network security in our highly competitive industry. When we develop a new product or service, or an enhanced version of an existing product or service, we typically incur expenses and expend resources upfront to market, promote and sell the new offering. Therefore, when we develop and introduce new or enhanced products or services, they must achieve high levels of market acceptance in order to justify the amount of our investment in developing and bringing them to market.</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new products, services or enhancements could fail to attain sufficient market acceptance for many reasons, including:</w:t>
      </w:r>
    </w:p>
    <w:p>
      <w:pPr>
        <w:pStyle w:val="TextBody"/>
        <w:spacing w:lineRule="auto" w:line="288" w:before="0" w:after="0"/>
        <w:ind w:left="0" w:right="0" w:firstLine="720"/>
        <w:rPr>
          <w:color w:val="000000"/>
        </w:rPr>
      </w:pPr>
      <w:r>
        <w:rPr>
          <w:color w:val="000000"/>
        </w:rPr>
        <w:t>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delays in releasing our new products, services or enhancements to the market;</w:t>
      </w:r>
    </w:p>
    <w:p>
      <w:pPr>
        <w:pStyle w:val="TextBody"/>
        <w:spacing w:lineRule="auto" w:line="288" w:before="0" w:after="0"/>
        <w:ind w:left="0" w:right="0" w:hanging="720"/>
        <w:rPr>
          <w:color w:val="000000"/>
        </w:rPr>
      </w:pPr>
      <w:r>
        <w:rPr>
          <w:color w:val="000000"/>
        </w:rPr>
        <w:t>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failure to accurately predict market demand in terms of product and service functionality and to supply products and services that meet this demand in a timely fashion;</w:t>
      </w:r>
    </w:p>
    <w:p>
      <w:pPr>
        <w:pStyle w:val="TextBody"/>
        <w:spacing w:before="0" w:after="0"/>
        <w:rPr/>
      </w:pPr>
      <w:r>
        <w:rPr/>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failure to have the appropriate research and development expertise and focus to make our top strategic products and services successful;</w:t>
      </w:r>
    </w:p>
    <w:p>
      <w:pPr>
        <w:pStyle w:val="TextBody"/>
        <w:spacing w:lineRule="auto" w:line="288" w:before="0" w:after="0"/>
        <w:ind w:left="0" w:right="0" w:hanging="720"/>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failure of our sales force and partners to focus on selling new products and services;</w:t>
      </w:r>
    </w:p>
    <w:p>
      <w:pPr>
        <w:pStyle w:val="TextBody"/>
        <w:spacing w:lineRule="auto" w:line="288" w:before="0" w:after="0"/>
        <w:ind w:left="0" w:right="0" w:hanging="720"/>
        <w:rPr>
          <w:color w:val="000000"/>
        </w:rPr>
      </w:pPr>
      <w:r>
        <w:rPr>
          <w:color w:val="000000"/>
        </w:rPr>
        <w:t>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inability to interoperate effectively with the networks or applications of our prospective end-customers;</w:t>
      </w:r>
    </w:p>
    <w:p>
      <w:pPr>
        <w:pStyle w:val="TextBody"/>
        <w:spacing w:lineRule="auto" w:line="288" w:before="0" w:after="0"/>
        <w:ind w:left="0" w:right="0" w:hanging="720"/>
        <w:rPr>
          <w:color w:val="000000"/>
        </w:rPr>
      </w:pPr>
      <w:r>
        <w:rPr>
          <w:color w:val="000000"/>
        </w:rPr>
        <w:t>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inability to protect against new types of attacks or techniques used by hackers;</w:t>
      </w:r>
    </w:p>
    <w:p>
      <w:pPr>
        <w:pStyle w:val="TextBody"/>
        <w:spacing w:lineRule="auto" w:line="288" w:before="0" w:after="0"/>
        <w:ind w:left="0" w:right="0" w:hanging="720"/>
        <w:rPr>
          <w:color w:val="000000"/>
        </w:rPr>
      </w:pPr>
      <w:r>
        <w:rPr>
          <w:color w:val="000000"/>
        </w:rPr>
        <w:t>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actual or perceived defects, vulnerabilities, errors or failures;</w:t>
      </w:r>
    </w:p>
    <w:p>
      <w:pPr>
        <w:pStyle w:val="TextBody"/>
        <w:spacing w:lineRule="auto" w:line="288" w:before="0" w:after="0"/>
        <w:ind w:left="0" w:right="0" w:hanging="720"/>
        <w:rPr>
          <w:color w:val="000000"/>
        </w:rPr>
      </w:pPr>
      <w:r>
        <w:rPr>
          <w:color w:val="000000"/>
        </w:rPr>
        <w:t>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negative publicity about their performance or effectiveness;</w:t>
      </w:r>
    </w:p>
    <w:p>
      <w:pPr>
        <w:pStyle w:val="TextBody"/>
        <w:spacing w:lineRule="auto" w:line="288" w:before="0" w:after="0"/>
        <w:ind w:left="0" w:right="0" w:hanging="720"/>
        <w:rPr>
          <w:color w:val="000000"/>
        </w:rPr>
      </w:pPr>
      <w:r>
        <w:rPr>
          <w:color w:val="000000"/>
        </w:rPr>
        <w:t>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introduction or anticipated introduction of competing products and services by our competitors;</w:t>
      </w:r>
    </w:p>
    <w:p>
      <w:pPr>
        <w:pStyle w:val="TextBody"/>
        <w:spacing w:lineRule="auto" w:line="288" w:before="0" w:after="0"/>
        <w:ind w:left="0" w:right="0" w:hanging="720"/>
        <w:rPr>
          <w:color w:val="000000"/>
        </w:rPr>
      </w:pPr>
      <w:r>
        <w:rPr>
          <w:color w:val="000000"/>
        </w:rPr>
        <w:t>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poor business conditions for our end-customers, causing them to delay IT purchases;</w:t>
      </w:r>
    </w:p>
    <w:p>
      <w:pPr>
        <w:pStyle w:val="TextBody"/>
        <w:spacing w:lineRule="auto" w:line="288" w:before="0" w:after="0"/>
        <w:ind w:left="0" w:right="0" w:hanging="720"/>
        <w:rPr>
          <w:color w:val="000000"/>
        </w:rPr>
      </w:pPr>
      <w:r>
        <w:rPr>
          <w:color w:val="000000"/>
        </w:rPr>
        <w:t>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changes to the regulatory requirements around security; and</w:t>
      </w:r>
    </w:p>
    <w:p>
      <w:pPr>
        <w:pStyle w:val="TextBody"/>
        <w:spacing w:lineRule="auto" w:line="288" w:before="0" w:after="0"/>
        <w:ind w:left="0" w:right="0" w:hanging="720"/>
        <w:rPr>
          <w:color w:val="000000"/>
        </w:rPr>
      </w:pPr>
      <w:r>
        <w:rPr>
          <w:color w:val="000000"/>
        </w:rPr>
        <w:t>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reluctance of customers to purchase products or services incorporating open source software.</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If our new products, services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service or enhancement.</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Demand for our products may be limited by market perception that individual products from one vendor that provide multiple layers of security protection in one product are inferior to point solution network security solutions from multiple vendors.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Sales of many of our products depend on increased demand for incorporating broad security functionality into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businesses,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If functionality similar to that offered by our products is incorporated into existing network infrastructure products, organizations may decide against adding our appliances to their network, which would have an adverse effect on our business.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Large, well-established providers of networking equipment, such as Cisco,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additional network infrastructure from new vendors or otherwise decide to work with their existing vendors, our business, financial condition and results of operations will be adversely affected.</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 and free cash flow.</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outsource the manufacturing of our security appliance products to contract manufacturing partners and original design manufacturing partners, including manufacturers with facilities located in Taiwan and other countries outside the United States such as ADLINK, IBASE, Micro-Star, Senao and Wistron. Our reliance on our third-party manufacturers reduces our control over the manufacturing process, exposing us to risks, including reduced control over quality assurance, costs, supply and timing and possible tariffs. Any manufacturing disruption related to our third-party manufacturers or their component suppliers for any reason, including global chip shortages, natural disasters and health emergencies such as earthquakes, fires, power outages, typhoons, floods, health pandemics and epidemics such as the COVID-19 pandemic and manmade events such as civil unrest, labor disruption, cyber events, international trade disputes, international conflicts, terrorism, wars, such as the war in Ukraine, and critical infrastructure attacks,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 Further, certain components for our products come from Taiwan and approximately 89% of our hardware is manufactured in Taiwan. Any increase in tensions between China and Taiwan, including threats of military actions or escalation of military activities, could adversely affect our manufacturing operations in Taiwan. </w:t>
      </w:r>
    </w:p>
    <w:p>
      <w:pPr>
        <w:pStyle w:val="TextBody"/>
        <w:spacing w:lineRule="auto" w:line="288" w:before="0" w:after="0"/>
        <w:ind w:left="0" w:right="0" w:firstLine="72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These manufacturers fulfill our supply requirements on the basis of individual purchase orders. We have no long-term contracts or arrangements with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 capacity shortages, quality problems or strike or other labor disruption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proprietary application-specific integrated circuits (“ASIC”), which are key to the performance of our appliances, are built by contract manufacturers including Renesas and Toshiba America. These contract manufacturers use foundries operated by TSMC or Renesas on a purchase-order basis, and these foundries do not guarantee their capacity and could delay orders or increase their pricing. Accordingly, the foundries are not obligated to continue to fulfill our supply requirements, and due to the long lead time that a new foundry would require, we could suffer inventory shortages of our ASIC as well as increased costs. In addition to our proprietary ASIC, we also purchase off-the-shelf ASICs or integrated circuits from vendors for which we have experienced, and may continue to experience, long lead times. Our suppliers may also prioritize orders by other companies that order higher volumes or more profitable products. If any of these manufacturers materially delays its supply of ASICs or specific product models to us, or requires us to find an alternate supplier and we are not able to do so on a timely and reasonable basis, or if these foundries materially increase their prices for fabrication of our ASICs, our business would be harmed.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reliance on third-party manufacturers and foundries limits our control over environmental regulatory requirements such as the hazardous substance content of our products and therefore our ability to ensure compliance with the Restriction of Hazardous Substances Directive (the “EU RoHS”) adopted in the European Union (the “EU”)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(“Dodd-Frank”), the Securities and Exchange Commission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We have incurred and expect to incur additional costs to comply with the rules, including costs related to efforts to determine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products to the extent that there may be only a limited number of suppliers that are able to meet our sourcing requirements, which would make it more difficult to obtain such materials in sufficient quantities or at competitive prices. We may also encounter customers who require that all of the components of our products be certified as conflict-free. If we are not able to meet customer requirements, such customers may choose to not purchase our products, which could impact our sales and the value of portions of our inventory.</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Because some of the key components in our products come from limited sources of supply, we are susceptible to supply shortages, long or uncertain lead times for components, and supply changes, each of which could disrupt or delay our scheduled product deliveries to our customers, result in inventory shortage, cause loss of sales and customers or increase component costs resulting in lower gross margins and free cash flow.</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and our contract manufacturers currently purchase several key parts and components used in the manufacture of our products from limited sources of supply. We are therefore subject to the risk of shortages and long or uncertain lead times in the supply of these components and the risk that component suppliers may discontinue or modify components used in our products. We have in the past experienced, and are currently experiencing, shortages and long or uncertain lead times for certain components. Our limited source components for particular appliances and suppliers of those components include specific types of CPUs from Intel and Advanced Micro Devices, Inc. (“AMD”), network and wireless chips from Broadcom, Marvell, Qualcomm and Intel, and memory devices from Intel, Micron, ADATA, Toshiba, Samsung and Western Digital. We also may face shortages in the supply of the capacitors and resistors that are used in the manufacturing of our products. For example, the global chip shortage caused by the COVID-19 pandemic and other factors affecting manufacturing continues to affect the manufacturing capacity of us and our contract manufacturers. This shortage may persist for an indefinite period of time.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Although we have increased our purchase order commitments to support long-term customer demand, if we are unable to obtain sufficient quantities of any of these components on commercially reasonable terms or in a timely manner, or if we are unable to obtain alternative sources for these components, shipments of our products could be delayed or halted entirely or we may be required to redesign our products. Any of these events could result in a cancellation of orders, lost sales, reduced gross margins or damage to our end customer relationships, which would adversely impact our business, financial condition, results of operations and prospects. Additionally, if actual demand does not directly match with our demand forecasts, due to our purchase order commitments, we could be required to accept or pay for components and finished goods. This may result in us discounting our products or excess or obsolete inventory, which we would be required to write down to its estimated realizable value, which in turn could result in lower gross margins. Our reliance on a limited number of suppliers involves several additional risks, including:</w:t>
      </w:r>
    </w:p>
    <w:p>
      <w:pPr>
        <w:pStyle w:val="TextBody"/>
        <w:spacing w:before="0" w:after="0"/>
        <w:ind w:left="0" w:right="0" w:firstLine="720"/>
        <w:rPr/>
      </w:pPr>
      <w:r>
        <w:rPr/>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a potential inability to obtain an adequate supply of required parts or components when required;</w:t>
      </w:r>
    </w:p>
    <w:p>
      <w:pPr>
        <w:pStyle w:val="TextBody"/>
        <w:spacing w:before="0" w:after="0"/>
        <w:rPr/>
      </w:pPr>
      <w:r>
        <w:rPr/>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financial or other difficulties faced by our suppliers;</w:t>
      </w:r>
    </w:p>
    <w:p>
      <w:pPr>
        <w:pStyle w:val="TextBody"/>
        <w:spacing w:lineRule="auto" w:line="288" w:before="0" w:after="0"/>
        <w:ind w:left="0" w:right="0" w:hanging="720"/>
        <w:rPr>
          <w:color w:val="000000"/>
        </w:rPr>
      </w:pPr>
      <w:r>
        <w:rPr>
          <w:color w:val="000000"/>
        </w:rPr>
        <w:t>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infringement or misappropriation of our IP;</w:t>
      </w:r>
    </w:p>
    <w:p>
      <w:pPr>
        <w:pStyle w:val="TextBody"/>
        <w:spacing w:lineRule="auto" w:line="288" w:before="0" w:after="0"/>
        <w:ind w:left="0" w:right="0" w:hanging="720"/>
        <w:rPr>
          <w:color w:val="000000"/>
        </w:rPr>
      </w:pPr>
      <w:r>
        <w:rPr>
          <w:color w:val="000000"/>
        </w:rPr>
        <w:t>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price increases;</w:t>
      </w:r>
    </w:p>
    <w:p>
      <w:pPr>
        <w:pStyle w:val="TextBody"/>
        <w:spacing w:lineRule="auto" w:line="288" w:before="0" w:after="0"/>
        <w:ind w:left="0" w:right="0" w:hanging="720"/>
        <w:rPr>
          <w:color w:val="000000"/>
        </w:rPr>
      </w:pPr>
      <w:r>
        <w:rPr>
          <w:color w:val="000000"/>
        </w:rPr>
        <w:t>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failure of a component to meet environmental or other regulatory requirements;</w:t>
      </w:r>
    </w:p>
    <w:p>
      <w:pPr>
        <w:pStyle w:val="TextBody"/>
        <w:spacing w:lineRule="auto" w:line="288" w:before="0" w:after="0"/>
        <w:ind w:left="0" w:right="0" w:hanging="720"/>
        <w:rPr>
          <w:color w:val="000000"/>
        </w:rPr>
      </w:pPr>
      <w:r>
        <w:rPr>
          <w:color w:val="000000"/>
        </w:rPr>
        <w:t>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failure to meet delivery obligations in a timely fashion;</w:t>
      </w:r>
    </w:p>
    <w:p>
      <w:pPr>
        <w:pStyle w:val="TextBody"/>
        <w:spacing w:lineRule="auto" w:line="288" w:before="0" w:after="0"/>
        <w:ind w:left="0" w:right="0" w:hanging="720"/>
        <w:rPr>
          <w:color w:val="000000"/>
        </w:rPr>
      </w:pPr>
      <w:r>
        <w:rPr>
          <w:color w:val="000000"/>
        </w:rPr>
        <w:t>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failure in component quality; and</w:t>
      </w:r>
    </w:p>
    <w:p>
      <w:pPr>
        <w:pStyle w:val="TextBody"/>
        <w:spacing w:before="0" w:after="0"/>
        <w:rPr/>
      </w:pPr>
      <w:r>
        <w:rPr/>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inability to ship products on a timely basis.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offer retroactive price protection to certain of our major North America distributors, and if we fail to balance their inventory with end-customer demand for our products, our allowance for price protection may be inadequate, which could adversely affect our results of operations.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provide certain of our major North America distributors with price protection rights for inventories of our products held by them. If we reduce the list price of our products, certain North America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certain of our major North America distributors’ inventories. If future price protection adjustments are higher than expected, our future results of operations could be materially and adversely affected.</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The sales prices of our products and services may decrease, which may reduce our gross profits and operating margin and may adversely impact our financial results and the trading price of our common stock.</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sales prices for our products and services may decline for a variety of reasons or our product mix may change, resulting in lower growth and margins based on a number of factors, including competitive pricing pressures, discounts or promotional programs we offer, a change in our mix of products and services and anticipation of the introduction of new products and services. Competition continues to increase in the market segments in which we participate, and we expect competition to further increase in the future, thereby leading to increased pricing pressures. Larger competitors with more diverse product offerings may reduce the price of products and services that compete with ours in order to promote the sale of other products or services or may bundle them with other products or services.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Furthermore, we anticipate that the sales prices and gross profits for our products or services will decrease over product life cycles. We cannot ensure that we will be successful in developing and introducing new offerings with enhanced functionality on a timely basis, or that our product and service offerings, if introduced, will enable us to maintain our prices, gross profits and operating margin at levels that will allow us to maintain profitability. </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Actual, possible or perceived defects, errors or vulnerabilities in our products or services, the failure of our products or services to detect or prevent a security breach or the misuse of our products could harm our operational results and reputation.</w: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val="false"/>
          <w:color w:val="000000"/>
          <w:sz w:val="20"/>
        </w:rPr>
        <w:t>Our products and services are complex, and they have contained and may contain defects, errors or vulnerabilities that are not detected until after their commercial release and deployment by our customers. Defects, errors or vulnerabilities may impede or block network traffic, cause our products or services to be vulnerable to electronic break-ins, cause them to fail to help secure our customers or cause our products or services to allow unauthorized access to our customers’ networks. Our Product Security Incident Response Team publicly posts on our FortiGuard Labs website known product vulnerabilities, including critical vulnerabilities, and methods for customers to mitigate the risk of vulnerabilities. There can be no assurance, however, that such posts will be sufficiently timely or complete or those customers will take steps to mitigate the risk of vulnerabilities, and certain customers may be negatively impacted. Additionally, any perception that our products have vulnerabilities, whether or not accurate, and any actual vulnerabilities may harm our operational results and reputation, more significantly as compared to certain other companies in other industries because we are a security company. Our product</w:t>
      </w:r>
      <w:r>
        <w:rPr>
          <w:rFonts w:ascii="Times New Roman;sans-serif" w:hAnsi="Times New Roman;sans-serif"/>
          <w:b w:val="false"/>
          <w:color w:val="000000"/>
          <w:sz w:val="20"/>
          <w:highlight w:val="white"/>
        </w:rPr>
        <w:t>s are also susceptible to errors, defects, logic flaws, vulnerabilities and inserted vulnerabilities that may arise in, or be included in our products in, different stages of our supply chain, manufacturing and shipment processes, and a threat actor’s exploitation of these weaknesses may be difficult to anticipate, prevent, and detect. If we are unable to maintain an effective supply chain security risk management and products security program, then the security and integrity of our products and the updates to those products that our customers receive could be exploited by third parties or insiders. Different customers deploy and use our products in different ways, and certain deployments and usages may subject our products to adverse conditions that may negatively impact the effectiveness and useful lifetime of our products. Our networks and products, including cloud-based</w:t>
      </w:r>
      <w:r>
        <w:rPr>
          <w:color w:val="000000"/>
        </w:rPr>
        <w:t xml:space="preserve"> </w:t>
      </w:r>
      <w:r>
        <w:rPr>
          <w:rFonts w:ascii="Times New Roman;sans-serif" w:hAnsi="Times New Roman;sans-serif"/>
          <w:b w:val="false"/>
          <w:color w:val="000000"/>
          <w:sz w:val="20"/>
        </w:rPr>
        <w:t xml:space="preserve">technology, could be targeted by attacks specifically designed to disrupt our business and harm our operational results and reputation. We cannot ensure that our products will prevent all adverse security events. Because the techniques used by malicious adversaries to access or sabotage networks change frequently and generally are not recognized until launched against a target, we may be unable to anticipate these techniques. In addition, defects or errors in our FortiGuard and other security subscription or FortiCare updates or our Fortinet appliances and operating systems could result in a failure of our FortiGuard and other security subscription services to effectively update end-customers’ Fortinet appliances and cloud-based products and thereby leave customers vulnerable to attacks. Furthermore, our solutions may also fail to detect or prevent viruses, worms, ransomware attacks or similar threats due to a number of reasons such as the evolving nature of such threats and the continual emergence of new threats that we may fail to add to our FortiGuard databases in time to protect our end-customers’ networks. Our data centers and networks and those of our hosting vendors and cloud service providers, may also experience technical </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An actual, possible or perceived security breach or infection of the network of one of our end-customers, regardless of whether the breach is attributable to the failure of our products or services to prevent the security breach, or any actual or perceived security risk in our supply chain, could adversely affect the market’s perception of our security products and services, cause customers and customer prospects not to buy from us and, in some instances, subject us to potential liability that is not contractually limited. We may not be able to correct any security flaws or vulnerabilities promptly, or at all. Our products may also be misused or misconfigured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 party. Any actual, possible or perceived defects, errors or vulnerabilities in our products, or misuse of our products, could result in:</w:t>
      </w:r>
    </w:p>
    <w:p>
      <w:pPr>
        <w:pStyle w:val="TextBody"/>
        <w:spacing w:lineRule="auto" w:line="288" w:before="0" w:after="0"/>
        <w:ind w:left="0" w:right="0" w:firstLine="720"/>
        <w:rPr>
          <w:color w:val="000000"/>
        </w:rPr>
      </w:pPr>
      <w:r>
        <w:rPr>
          <w:color w:val="000000"/>
        </w:rPr>
        <w:t>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the expenditure of significant financial and product development resources in efforts to analyze, correct, eliminate or work around errors or defects or to address and eliminate vulnerabilities;</w:t>
      </w:r>
    </w:p>
    <w:p>
      <w:pPr>
        <w:pStyle w:val="TextBody"/>
        <w:spacing w:lineRule="auto" w:line="288" w:before="0" w:after="0"/>
        <w:ind w:left="0" w:right="0" w:hanging="720"/>
        <w:rPr>
          <w:color w:val="000000"/>
        </w:rPr>
      </w:pPr>
      <w:r>
        <w:rPr>
          <w:color w:val="000000"/>
        </w:rPr>
        <w:t>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the loss of existing or potential end-customers or channel partners;</w:t>
      </w:r>
    </w:p>
    <w:p>
      <w:pPr>
        <w:pStyle w:val="TextBody"/>
        <w:spacing w:lineRule="auto" w:line="288" w:before="0" w:after="0"/>
        <w:ind w:left="0" w:right="0" w:hanging="720"/>
        <w:rPr>
          <w:color w:val="000000"/>
        </w:rPr>
      </w:pPr>
      <w:r>
        <w:rPr>
          <w:color w:val="000000"/>
        </w:rPr>
        <w:t>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delayed or lost revenue;</w:t>
      </w:r>
    </w:p>
    <w:p>
      <w:pPr>
        <w:pStyle w:val="TextBody"/>
        <w:spacing w:lineRule="auto" w:line="288" w:before="0" w:after="0"/>
        <w:ind w:left="0" w:right="0" w:hanging="720"/>
        <w:rPr>
          <w:color w:val="000000"/>
        </w:rPr>
      </w:pPr>
      <w:r>
        <w:rPr>
          <w:color w:val="000000"/>
        </w:rPr>
        <w:t>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delay or failure to attain market acceptance;</w:t>
      </w:r>
    </w:p>
    <w:p>
      <w:pPr>
        <w:pStyle w:val="TextBody"/>
        <w:spacing w:lineRule="auto" w:line="288" w:before="0" w:after="0"/>
        <w:ind w:left="0" w:right="0" w:hanging="720"/>
        <w:rPr>
          <w:color w:val="000000"/>
        </w:rPr>
      </w:pPr>
      <w:r>
        <w:rPr>
          <w:color w:val="000000"/>
        </w:rPr>
        <w:t>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negative publicity and harm to our reputation; and</w:t>
      </w:r>
    </w:p>
    <w:p>
      <w:pPr>
        <w:pStyle w:val="TextBody"/>
        <w:spacing w:lineRule="auto" w:line="288" w:before="0" w:after="0"/>
        <w:ind w:left="0" w:right="0" w:hanging="720"/>
        <w:rPr>
          <w:color w:val="000000"/>
        </w:rPr>
      </w:pPr>
      <w:r>
        <w:rPr>
          <w:color w:val="000000"/>
        </w:rPr>
        <w:t>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litigation, regulatory inquiries or investigations that may be costly and harm our reputation and, in some instances, subject us to potential liability that is not contractually limited.</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may be harmed.</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time-consuming research and development processes. For example, we enter into development agreements with third parties. If our contract development projects are not successfully completed, or are not completed in a timely fashion, our product development could be delayed and our business generally could suffer. Costs for contract development can be substantial and our profitability may be harmed if we are unable to recover these costs.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releasing and making available on a timely basis new products and services or enhancements that can respond adequately to new security threats, our competitive position and business prospects may be harmed.</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business models based on a subscription software as a service (“SaaS”) cloud-based services have become increasingly in-demand by our end-customers and adopted by other providers, including our competitors. While we have introduced additional cloud-based products and services and will continue to do so, most of our platform is currently deployed on premise, and therefore, if customers demand that our platform be provided through a subscription SaaS business model, we would be required to make additional investments in our infrastructure and personnel to be able to more fully provide our platform through a subscription SaaS model in order to maintain the competitiveness of our platform. Such investments may </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68" w:before="0" w:after="0"/>
        <w:rPr/>
      </w:pPr>
      <w:r>
        <w:rPr>
          <w:rFonts w:ascii="Times New Roman;sans-serif" w:hAnsi="Times New Roman;sans-serif"/>
          <w:b w:val="false"/>
          <w:color w:val="000000"/>
          <w:sz w:val="20"/>
        </w:rPr>
        <w:t>involve expanding our data centers, servers and networks, and increasing our technical operations and engineering teams. These risks are compounded by the uncertainty concerning the future success of any of our particular subscription SaaS business models and the future demand for our subscription SaaS models by customers.</w:t>
      </w:r>
      <w:r>
        <w:rPr>
          <w:color w:val="000000"/>
        </w:rPr>
        <w:t xml:space="preserve"> </w:t>
      </w:r>
      <w:r>
        <w:rPr>
          <w:rFonts w:ascii="Times New Roman;sans-serif" w:hAnsi="Times New Roman;sans-serif"/>
          <w:b w:val="false"/>
          <w:color w:val="000000"/>
          <w:sz w:val="20"/>
        </w:rPr>
        <w:t xml:space="preserve">Additionally, if we are unable to meet the demand to provide our services through a subscription SaaS model, we may lose customers to competitors. </w:t>
      </w:r>
    </w:p>
    <w:p>
      <w:pPr>
        <w:pStyle w:val="TextBody"/>
        <w:spacing w:before="0" w:after="0"/>
        <w:ind w:left="0" w:right="0" w:firstLine="720"/>
        <w:rPr/>
      </w:pPr>
      <w:r>
        <w:rPr/>
      </w:r>
    </w:p>
    <w:p>
      <w:pPr>
        <w:pStyle w:val="TextBody"/>
        <w:spacing w:lineRule="auto" w:line="288" w:before="0" w:after="0"/>
        <w:rPr/>
      </w:pPr>
      <w:r>
        <w:rPr>
          <w:rFonts w:ascii="Times New Roman;sans-serif" w:hAnsi="Times New Roman;sans-serif"/>
          <w:b/>
          <w:i/>
          <w:color w:val="000000"/>
          <w:sz w:val="20"/>
        </w:rPr>
        <w:t>Our uniform resource locator (“URL”) database for our web filtering service may fail to keep pace with the rapid growth of URLs and may not categorize websites in accordance with our end-customers</w:t>
      </w:r>
      <w:r>
        <w:rPr>
          <w:color w:val="000000"/>
        </w:rPr>
        <w:t xml:space="preserve">’ </w:t>
      </w:r>
      <w:r>
        <w:rPr>
          <w:rFonts w:ascii="Times New Roman;sans-serif" w:hAnsi="Times New Roman;sans-serif"/>
          <w:b/>
          <w:i/>
          <w:color w:val="000000"/>
          <w:sz w:val="20"/>
        </w:rPr>
        <w:t>expectations.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False detection of vulnerabilities, viruses or security breaches or false identification of spam or spyware could adversely affect our business.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FortiGuard and other security subscription services may falsely detect, report and act on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FortiGuard and other security subscription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ability to sell our products is dependent on our quality control processes and the quality of our technical support services, and our failure to offer high-quality technical support services could have a material adverse effect on our sales and results of operations.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Once our products are deployed within our end-customers’ networks, our end-customers depend on our technical support services, as well as the support of our channel partners and other third parties, to resolve any issues relating to our products. If we, our channel partners or other third parties do not effectively assist our customers in planning, deploying and </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operational proficiency for our products, succeed in helping our customers quickly resolve post-deployment issues and provide effective ongoing support, our ability to sell additional products and services to existing customers could be adversely affected and our reputation with potential customers could be damaged. Many large end-customers, and service provider or government organization end-customers, require higher levels of support than smaller end-customers because of their more complex deployments and more demanding environments and business models. If we, our channel partners or other third parties fail to meet the requirements of our larger end-customers, it may be more difficult to execute on our strategy to increase our penetration with large businesses, service providers and government organizations. Our failure to maintain high-quality support services could have a material adverse effect on our business, financial condition and results of operations and may subject us to litigation, reputational damage, loss of customers and additional costs.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business is subject to the risks of warranty claims, product returns, product liability and product defects.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products are very complex and, despite testing prior to their release, have contained and may contain undetected defects or errors, especially when first introduced or when new versions are released. Product errors have affected the performance and effectiveness of our products and could delay the development or release of new products or new versions of products, adversely affect our reputation and our end-customers’ willingness to buy products from us, result in litigation and disputes with customers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litigation, litigation costs and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pStyle w:val="TextBody"/>
        <w:spacing w:lineRule="auto" w:line="288" w:before="0" w:after="0"/>
        <w:ind w:left="0" w:right="0" w:firstLine="72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Although we generally have limitation of liability provisions in our standard terms and conditions of sale, they may not fully or effectively protect us from claims if exceptions apply or if the provisions are deemed unenforceable, and in some circumstances, we may be required to indemnify a customer in full, without limitation, for certain liabilities, including liabilities that are not contractually limited. The sale and support of our products also entail the risk of product liability claims. We maintain insurance to protect against certain claims associated with the use of our products, but our insurance coverage may not adequately cover any claim asserted against us, if at all, and in some instances may subject us to potential liability that is not contractually limited. In addition, even claims that ultimately are unsuccessful could result in our expenditure of funds in litigation and divert management’s time and other resources.</w:t>
      </w:r>
    </w:p>
    <w:p>
      <w:pPr>
        <w:pStyle w:val="TextBody"/>
        <w:spacing w:before="0" w:after="0"/>
        <w:ind w:left="0" w:right="0" w:firstLine="720"/>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If the availability of our cloud-based subscription services does not meet our service-level commitments to our customers, our current and future revenue may be negatively impacted.</w:t>
      </w:r>
    </w:p>
    <w:p>
      <w:pPr>
        <w:pStyle w:val="TextBody"/>
        <w:spacing w:before="0" w:after="0"/>
        <w:jc w:val="both"/>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typically commit to our customers that our cloud-based subscription services will maintain a minimum service-level of availability. If we are unable to meet these commitments, this could negatively impact our business. We rely on public cloud providers, such as Amazon Web Services, Microsoft Azure and Google Cloud, and co-location providers, such as Equinix, and any availability interruption in the public cloud could result in us not meeting our service-level commitments to our customers. In some cases, we may not have a contractual right with our public cloud or co-location providers that compensates us for any losses due to availability interruptions in our cloud-based subscription services. Further, any failure to meet our service-level commitments could damage our reputation and adoption of our cloud-based subscription services, and we could face loss of revenue from reduced future subscriptions and reduced sales and face additional costs associated with any failure to meet service-level agreements. Any service-level failures could adversely affect our business, financial condition and results of operations.</w:t>
      </w: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Risks Related to our Systems and Technology</w:t>
      </w:r>
    </w:p>
    <w:p>
      <w:pPr>
        <w:pStyle w:val="TextBody"/>
        <w:spacing w:before="0" w:after="0"/>
        <w:rPr/>
      </w:pPr>
      <w:r>
        <w:rPr/>
      </w:r>
    </w:p>
    <w:p>
      <w:pPr>
        <w:pStyle w:val="TextBody"/>
        <w:spacing w:lineRule="auto" w:line="276" w:before="0" w:after="0"/>
        <w:rPr/>
      </w:pPr>
      <w:r>
        <w:rPr>
          <w:rFonts w:ascii="Times New Roman;sans-serif" w:hAnsi="Times New Roman;sans-serif"/>
          <w:b/>
          <w:i/>
          <w:color w:val="000000"/>
          <w:sz w:val="20"/>
        </w:rPr>
        <w:t>If our internal enterprise IT networks, on which we conduct internal business and interface externally, our operational networks, through which we connect to customers</w:t>
      </w:r>
      <w:r>
        <w:rPr>
          <w:rFonts w:ascii="Times New Roman;sans-serif" w:hAnsi="Times New Roman;sans-serif"/>
          <w:b/>
          <w:i/>
          <w:color w:val="000000"/>
          <w:sz w:val="24"/>
        </w:rPr>
        <w:t xml:space="preserve">, </w:t>
      </w:r>
      <w:r>
        <w:rPr>
          <w:rFonts w:ascii="Times New Roman;sans-serif" w:hAnsi="Times New Roman;sans-serif"/>
          <w:b/>
          <w:i/>
          <w:color w:val="000000"/>
          <w:sz w:val="20"/>
        </w:rPr>
        <w:t xml:space="preserve">vendors and partners systems and provide services, or our research and development networks, our back-end labs and cloud stacks hosted in our data centers, colocation vendors or public cloud providers, through which we research, develop and host products and services, are compromised, public perception of our </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76" w:before="0" w:after="0"/>
        <w:rPr>
          <w:rFonts w:ascii="Times New Roman;sans-serif" w:hAnsi="Times New Roman;sans-serif"/>
          <w:b/>
          <w:i/>
          <w:color w:val="000000"/>
          <w:sz w:val="20"/>
        </w:rPr>
      </w:pPr>
      <w:r>
        <w:rPr>
          <w:rFonts w:ascii="Times New Roman;sans-serif" w:hAnsi="Times New Roman;sans-serif"/>
          <w:b/>
          <w:i/>
          <w:color w:val="000000"/>
          <w:sz w:val="20"/>
        </w:rPr>
        <w:t>products and services may be harmed, our customers may be breached and harmed, we may become subject to liability, and our business, operating results and stock price may be adversely impacted.</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on the market’s confidence in our ability to provide effective network security protection. Despite our efforts and processes to prevent breaches of our internal networks, systems and websites, we are still vulnerable to computer viruses, break-ins, phishing attacks, ransomware attacks, attempts to overload our servers with denial-of-service, vulnerabilities in vendor hardware and software that we leverage, advanced persistent threats from sophisticated actors and other cyber-attacks and similar disruptions from unauthorized access to our internal networks, systems or websites. Our security measures may also be breached due to employee error, malfeasance or otherwise, which breaches may be more difficult to detect than outsider threats, and the existing programs and trainings we have in place to prevent such insider threats may not be effective or sufficient. Third parties may also attempt to fraudulently induce our employees to transfer funds or disclose information in order to gain access to our networks and confidential information. Third parties may also send our customers or others malware or malicious emails that falsely indicate that we are the source, potentially causing lost confidence in us and reputational harm. We cannot guarantee that the measures we have taken to protect our networks, systems and websites will provide adequate security. Moreover, because we provide network security products, we may be a more attractive target for attacks by computer hackers and any security breaches and other security incidents involving us may result in more harm to our reputation and brand than companies that do not sell network security solutions. Hackers and malicious parties may be able to develop and deploy viruses, worms, ransomware and other malicious software programs that attack our products and customers, that impersonate our update servers in an effort to access customer networks and negatively impact customers, or otherwise exploit any security vulnerabilities of our products, or attempt to fraudulently induce our employees, customers or others to disclose passwords or other sensitive information or unwittingly provide access to our internal networks, systems or data. </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example, from time to time, we have discovered that unauthorized parties have targeted us using sophisticated techniques, including by stealing technical data and attempting to steal private encryption keys, in an effort to both impersonate our products and threat intelligence update services and possibly attempt other attack methodologies. Using these techniques, these unauthorized parties have tried, and may in the future try, to gain access to certain of our and our customers’ systems. We have also, for example, discovered that unauthorized parties have targeted vulnerabilities in our product software and infrastructure in an effort to gain entry into our customers’ networks. In addition, in general threat actors use dark web forums to sell organizations’ stolen credentials. If threat actors sell valid credentials used by our customers to access our services, it is possible that unauthorized third parties may use such stolen credentials to try to gain access to our services. These and other hacking efforts against us and our customers may be ongoing and may happen in the future.</w:t>
      </w:r>
    </w:p>
    <w:p>
      <w:pPr>
        <w:pStyle w:val="TextBody"/>
        <w:spacing w:before="0" w:after="0"/>
        <w:ind w:left="0" w:right="0" w:firstLine="720"/>
        <w:rPr/>
      </w:pPr>
      <w:r>
        <w:rPr/>
      </w:r>
    </w:p>
    <w:p>
      <w:pPr>
        <w:pStyle w:val="TextBody"/>
        <w:spacing w:lineRule="auto" w:line="268" w:before="0" w:after="0"/>
        <w:ind w:left="0" w:right="0" w:firstLine="720"/>
        <w:rPr/>
      </w:pPr>
      <w:r>
        <w:rPr>
          <w:rFonts w:ascii="Times New Roman;sans-serif" w:hAnsi="Times New Roman;sans-serif"/>
          <w:b w:val="false"/>
          <w:color w:val="000000"/>
          <w:sz w:val="20"/>
          <w:highlight w:val="white"/>
        </w:rPr>
        <w:t>Although we take numerous measures and implement multiple layers of security to protect our networks, we cannot guarantee that our security products, processes and services will secure against all threats. F</w:t>
      </w:r>
      <w:r>
        <w:rPr>
          <w:rFonts w:ascii="Times New Roman;sans-serif" w:hAnsi="Times New Roman;sans-serif"/>
          <w:b w:val="false"/>
          <w:color w:val="000000"/>
          <w:sz w:val="20"/>
        </w:rPr>
        <w:t>urther, we cannot be sure that third parties have not been, or will not in the future be, successful in improperly accessing our systems and our customers’ systems, which could negatively impact us and our customers. An actual breach could significantly harm us and our customers, and an actual or perceived breach, or any other actual or perceived data security incident, threat or vulnerability, that involves our supply chains, networks, systems or websites and/or our customers’ supply chains, networks, systems or websites could adversely affect the market perception of our products and services and investor confidence in our company. Any breach of our networks, systems or websites could impair our ability to operate our business, including our ability to provide FortiGuard and other security subscription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networks, systems or websites could have an adverse effect on our business, operating results and stock price.</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addition, there has been a general increase in phishing attempts and spam emails as well as social engineering attempts from hackers, and many of our employees continue to work remotely which may pose additional data security risks in the event remote work environments are not as secure as office environments. Any security breach could negatively impact our reputation and results of operations.</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If we do not appropriately manage any future growth, including through the expansion of our real estate facilities, or are unable to improve our systems, processes and controls, our operating results will be negatively affected.</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0"/>
        </w:rPr>
        <w:t>We rely heavily on information technology to help manage critical functions such as order configuration, pricing and quoting, revenue recognition, financial forecasts, inventory and supply chain management and trade compliance reviews. In addition, we have been slow to adopt and implement certain automated functions, which could have a negative impact on our business. For example, a large part of our order processing relies on manual data entry</w:t>
      </w:r>
      <w:r>
        <w:rPr>
          <w:color w:val="1F497D"/>
        </w:rPr>
        <w:t xml:space="preserve"> </w:t>
      </w:r>
      <w:r>
        <w:rPr>
          <w:rFonts w:ascii="Times New Roman;sans-serif" w:hAnsi="Times New Roman;sans-serif"/>
          <w:b w:val="false"/>
          <w:color w:val="000000"/>
          <w:sz w:val="20"/>
        </w:rPr>
        <w:t xml:space="preserve">of customer purchase orders received through email and, to a lesser extent, through electronic data interchange from our customers. Due to the use of manual processes and the fact that we may receive a large amount of our orders in the last few weeks of any given quarter, an </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interruption in our email service or other systems could result in delayed order fulfillment and decreased billings and revenue for that quarter.</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To manage any future growth effectively, we must continue to improve and expand our information technology and financial, operating, security and administrative systems and controls, and our business continuity and disaster recovery plans and processes. We must also continue to manage headcount, capital and processes in an efficient manner. We may not be able to successfully implement requisite improvements to these systems, controls and processes, such as system capacity, access, security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systems, processes and controls may not prevent or detect all errors, omissions, malfeasance or fraud, such as corruption and improper “side agreements” that may impact revenue recognition or result in financial liability. 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ensure appropriate systems, processes and controls and to manage any future growth effectively could result in increased costs and harm our reputation and results of operations.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expanded our office real estate holdings to meet our projected growing need for office space. These plans will require significant capital expenditure over the next several years and involve certain risks, including impairment charges and acceleration of depreciation, changes in future business strategy that may decrease the need for expansion (such as a decrease in headcount or increase in work from home) and risks related to construction. Future changes in growth or fluctuations in cash flow may also negatively impact our ability to pay for these projects or free cash flow. Additionally, inaccuracies in our projected capital expenditures could negatively impact our business, operating results and financial condition.</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may experience difficulties maintaining and expanding our internal business management systems.</w:t>
      </w:r>
    </w:p>
    <w:p>
      <w:pPr>
        <w:pStyle w:val="TextBody"/>
        <w:spacing w:lineRule="auto" w:line="288" w:before="0" w:after="0"/>
        <w:rPr>
          <w:color w:val="000000"/>
        </w:rPr>
      </w:pPr>
      <w:r>
        <w:rPr>
          <w:color w:val="000000"/>
        </w:rPr>
        <w:t> </w:t>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maintenance of our internal business management systems, such as our Enterprise Resource Planning (“ERP”) and Customer Relationship Management (“CRM”) systems, has required, and will continue to require, the investment of significant financial and human resources. In addition, we may choose to upgrade or expand the functionality of our internal systems, leading to additional costs. Deficiencies in our design or maintenance of our internal systems may adversely affect our ability to sell products and services, forecast orders, process orders, ship products, provide services and customer support, send invoices and track payments, fulfill contractual obligations, accurately maintain books and records, provide accurate, timely and reliable reports on our financial and operating results or otherwise operate our business. Additionally, if any of our internal systems does not operate as intended, the effectiveness of our internal control over financial reporting could be adversely affected or our ability to assess it adequately could be delayed. Further, we may expand the scope of our ERP and CRM systems. Our operating results may be adversely affected if these upgrades or expansions are delayed or if the systems do not function as intended or are not sufficient to meet our operating requirements.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proprietary rights may be difficult to enforce and we may be subject to claims by others that we infringe their propriety technology.</w:t>
      </w:r>
    </w:p>
    <w:p>
      <w:pPr>
        <w:pStyle w:val="TextBody"/>
        <w:spacing w:lineRule="auto" w:line="288" w:before="0" w:after="0"/>
        <w:ind w:left="0" w:right="0" w:firstLine="72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question the validity of certain software patents and may make it more difficult and costly to prosecute patent applications. As a result, we may not be able to obtain adequate patent protection or effectively enforce our issued patents.</w:t>
      </w:r>
    </w:p>
    <w:p>
      <w:pPr>
        <w:pStyle w:val="TextBody"/>
        <w:spacing w:lineRule="auto" w:line="288" w:before="0" w:after="0"/>
        <w:ind w:left="0" w:right="0" w:firstLine="72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guarantee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IP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products contain third-party open-source software components, and failure to comply with the terms of the underlying open-source software licenses could restrict our ability to sell our products.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products contain software modules licensed to us by third-party authors under “open source” licenses, including but not limited to, the GNU Public License, the GNU Lesser Public License, the BSD License, the Apache License, the MIT X License and the Mozilla Public License. From time to time, there have been claims against companies that distribute or use open-source software in their products and services, asserting that open-source software infringes the claimants’ IP rights. We could be subject to suits by parties claiming infringement of IP rights in what we believe to be licensed open-source software. Use and distribution of open-source software may entail greater risks than use of third-party commercial software, as, for example, open-source licensors generally do not provide warranties or other contractual protections regarding infringement claims or the quality of the code. Some open-source licenses contain requirements that we make available source code for modifications or derivative works we create based upon the type of open-source software we use. If we combine our proprietary software with open-source software in a certain manner, we could, under certain open-source licenses, be required to release the source code of our proprietary software to the public. This would allow our competitors to create similar products with lower development effort and time and ultimately could result in a loss of product sales for us.</w:t>
      </w:r>
    </w:p>
    <w:p>
      <w:pPr>
        <w:pStyle w:val="TextBody"/>
        <w:spacing w:lineRule="auto" w:line="288" w:before="0" w:after="0"/>
        <w:ind w:left="0" w:right="0" w:firstLine="72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Although we monitor our use of open source software to avoid subjecting our products to conditions we do not intend, the terms of many open source licenses have not been interpreted by U.S. courts, and there is a risk that these licenses could be construed in a way that, for example,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 if re-engineering could not be accomplished on a timely basis, any of which requirements could adversely affect our business, operating results and financial condition.</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Claims by others that we infringe their proprietary technology or other litigation matters could harm our business.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Patent and other IP disputes are common in the network security industry. Third parties are currently asserting, have asserted and may in the future assert claims of infringement of IP rights against us. Third parties have also asserted such claims against our end-customers or channel partners whom we may indemnify against claims that our products infringe the IP rights of third parties. As the number of products and competitors in our market increases and overlaps occur, infringement claims may increase. Any claim of infringement by a third 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pStyle w:val="TextBody"/>
        <w:spacing w:lineRule="auto" w:line="288" w:before="0" w:after="0"/>
        <w:ind w:left="0" w:right="0" w:firstLine="72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pStyle w:val="TextBody"/>
        <w:spacing w:lineRule="auto" w:line="288" w:before="0" w:after="0"/>
        <w:ind w:left="0" w:right="0" w:firstLine="72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Alternatively, we may be required to develop non-infringing technology, which could require significant time, effort and expense, and may ultimately not be successful. Furthermore, a successful claimant could secure a judgment or we may </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are subject to lawsuits claiming patent infringement. We are also subject to other litigation in addition to patent infringement claims, such as employment-related litigation and disputes, as well as general commercial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several ongoing patent lawsuits, certain companies have sent us demand letters proposing that we license certain of their patents, and organizations have sent letters demanding that we provide indemnification for patent claims. Given this and the proliferation of lawsuits in our industry and other similar industries by both non-practicing entities and operating entities, and recent non-practicing entity and operating entity patent litigation against other companies in the security space, we expect that we will be sued for patent infringement in the future, regardless of the merits of any such lawsuits. The cost to defend such lawsuits and any settlement payment or adverse result in such lawsuits could have a material adverse effect on our results of operations and financial condition.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rely on the availability of third-party licenses.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Many of our products include software or other IP licensed from third parties. It may be necessary in the future to renew licenses relating to various aspects of these products or to seek new licenses for existing or new products. Licensors may claim we owe them additional license fees for past and future use of their software and other IP or that we cannot utilize such software or IP in our products going forward. There can be no assurance that the necessary licenses would be available on acceptable terms, if at all. The inability to obtain certain licenses or other rights or to obtain such licenses or rights on favorable terms or for reasonable pricing, or the need to engage in litigation regarding these matters, could result in delays in product releases until equivalent technology can be identified, licensed or developed, if at all, and integrated into our products and may result in significant license fees and have a material adverse effect on our business, operating results, and financial condition. Moreover, the inclusion in our products of software or other IP licensed from third parties on a non-exclusive basis could limit our ability to differentiate our products from those of our competitors.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also rely on technologies licensed from third parties in order to operate functions of our business. If any of these third parties allege that we have not properly paid for such licenses or that we have improperly used the technologies under such licenses, we may need to pay additional fees or obtain new licenses, and such licenses may not be available on terms acceptable to us or at all or may be costly. In any such case, or if we were required to redesign our internal operations to function with new technologies, our business, results of operations and financial condition could be harmed.</w:t>
      </w: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Other Risks Related to Our Business and Financial Position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inability to successfully acquire and integrate other businesses, products or technologies, or to successfully invest in and form successful strategic alliances with other businesses, could seriously harm our competitive position and could negatively affect our financial condition and results of operations.</w: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val="false"/>
          <w:color w:val="000000"/>
          <w:sz w:val="20"/>
          <w:highlight w:val="white"/>
        </w:rPr>
        <w:t>In order to remain competitive, we may seek to acquire additional businesses, products, technologies or IP, such as patents, and to make equity investments in businesses coupled with strate</w:t>
      </w:r>
      <w:r>
        <w:rPr>
          <w:rFonts w:ascii="Times New Roman;sans-serif" w:hAnsi="Times New Roman;sans-serif"/>
          <w:b w:val="false"/>
          <w:color w:val="000000"/>
          <w:sz w:val="20"/>
        </w:rPr>
        <w:t xml:space="preserve">gic alliances. For any possible future acquisitions or investments, we may not be successful in negotiating the terms of the acquisition or investment or financing the acquisition or investment. For both our prior and future acquisitions, we may not be successful in effectively integrating the acquired business, product, technology, IP or sales force into our existing business and operations, and the acquisitions may negatively impact our financial results. We may have difficulty incorporating acquired technologies, IP or products with our existing product lines, integrating reporting systems and procedures, and maintaining uniform standards, controls, procedures and policies. For example, we may experience difficulties integrating an acquired company’s ERP or CRM systems, sales support and other processes and systems, with our current systems and processes. The results of certain businesses that we invest in, such as Linksys Holdings, Inc. (“Linksys”), are, or may in the future, be reflected in our operating results, and we depend on these companies to provide us financial information in a timely manner in order to meet our financial reporting requirements. We may experience difficulty in timely obtaining financial information from the companies in which we have invested in order to meet our financial reporting requirements. Our due diligence for acquisitions and investments may fail to identify all of the problems, liabilities or other shortcomings or challenges of an acquired business, product or technology, including issues with IP, product quality or product architecture, regulatory compliance practices, environmental and sustainability compliance </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practices, revenue recognition or other accounting practices or employee or customer issues. We also may not accurately forecast the financial impact of an acquisition or an investment and alliance. In addition, any acquisitions and significant investments we are able to complete may be dilutive to revenue growth and earnings and may not result in any synergies or other benefits we had expected to achieve, which could negatively impact our operating results and result in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or investments during a quarter may result in increased operating expenses and adversely affect our cash flows or our results of operations for that period and future periods compared to the results that we have previously forecasted or achieved. Further, completing a potential acquisition or investment and alliance and integrating acquired businesses, products, technologies or IP are challenging to do successfully and could significantly divert management time and resources.</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Linksys sells predominantly into the consumer Wi-Fi market, and its sales have declined since our investment. Because we are accounting for our Linksys investment using the equity method of accounting, we are required to assess the investment for other-than-temporary impairment (“OTTI”) when events or circumstances suggest that the carrying amount of the investment may be impaired. We have analyzed whether there should be an OTTI of the value of our investment in Linksys and in fiscal 2022, we recorded an OTTI charge of $22.2 million. In evaluating OTTI, we considered factors such as Linksys’ financial results and operating history, our ability and intent to hold the investment until its fair value recovers, the implied revenue valuation multiples compared to guideline public companies, Linksys’ ability to achieve milestones and any notable operational and strategic changes. We intend to continue to analyze our investment in Linksys to determine whether any further impairment is appropriate. If any further decline in fair value is determined to be other-than-temporary, we will adjust the carrying value of the investment to its fair value and record the impairment expense in our consolidated statements of income. The cost basis of the investment is not adjusted for subsequent recoveries in fair value. We may experience additional volatility to our statements of operations due to the underlying operating results of Linksys or impairments of our Linksys investment. This volatility could be material to our results in any given quarter and may cause our stock price to decline.</w:t>
      </w:r>
    </w:p>
    <w:p>
      <w:pPr>
        <w:pStyle w:val="TextBody"/>
        <w:spacing w:before="0" w:after="0"/>
        <w:ind w:left="0" w:right="0" w:firstLine="72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Failure to comply with laws and regulations applicable to our business could subject us to fines and penalties and could also cause us to lose end-customers in the public sector or negatively impact our ability to contract with the public sector.</w:t>
      </w:r>
    </w:p>
    <w:p>
      <w:pPr>
        <w:pStyle w:val="TextBody"/>
        <w:spacing w:before="0" w:after="0"/>
        <w:ind w:left="0" w:right="0" w:firstLine="585"/>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regulation by various federal, state, regional, local and foreign governmental agencies, including agencies responsible for monitoring and enforcing employment and labor laws, workplace safety, product safety, product labeling, environmental laws, consumer protection laws, anti-bribery laws, data privacy laws, import and export controls, federal securities laws and tax laws and regulations. In certain jurisdictions, these regulatory requirements may be more stringent than in the United States. Non-compliance with applicable regulations or requirements could subject us to investigations, sanctions, enforcement actions, disgorgement of profits, fines, damages and civil and criminal penalties or injunctions. If any governmental sanctions are imposed, or if we do not prevail in any possible civil or criminal litigation, our business, operating results and financial condition could be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example, the GDPR imposes stringent data handling requirements on companies that receive or process personal data of residents of the EU. Non-compliance with the GDPR could result in significant penalties, including data protection audits and heavy fines. Compliance with, and the other burdens imposed by, the GDPR and local regulatory authorities may limit our ability to operate or expand our business in Europe and could adversely impact our operating results. In July 2020, the European Court of Justice issued a judgment declaring invalid the EU-U.S. Privacy Shield Framework (the “Privacy Shield”) as a mechanism for exportation of personal data from the European Economic Area to the United States. Though we are not participants of the Privacy Shield, and instead employ alternative mechanisms for personal data transfers, the ruling raises questions as to GDPR implications and adequate data protection in the United States, and may have an impact on our European customers and related business operations.</w:t>
      </w:r>
    </w:p>
    <w:p>
      <w:pPr>
        <w:pStyle w:val="TextBody"/>
        <w:spacing w:before="0" w:after="0"/>
        <w:ind w:left="0" w:right="0" w:firstLine="72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Additionally, we may be subject to other legal regimes throughout the world governing data handling, protection and privacy. For example, in June 2018, California passed the California Consumer Privacy Act (the “CCPA”), which provides new data privacy rights for consumers and new operational requirements for companies and became effective on January 1, 2020. The CCPA was expanded pursuant to the California Privacy Rights Act, which was passed in 2020 and became effective in 2023. Other states have since passed similar laws. The costs of compliance with and the penalties for violations of the GDPR, the CCPA and other similar state laws, along with other burdens imposed by these regulations, may limit the use and adoption of our products and services and could have an adverse impact on our business.</w:t>
      </w:r>
    </w:p>
    <w:p>
      <w:pPr>
        <w:pStyle w:val="TextBody"/>
        <w:spacing w:before="0" w:after="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our solutions to the U.S. government, whether directly or through channel partners, also subjects us to certain regulatory and contractual requirements, government permit and clearance requirements and other risks. Failure to comply with these requirements or to obtain and maintain government permits and clearances required to do certain business, by either us or our channel partners, could subject us to investigations, fines, suspension, limitations on business or debarment from doing </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76" w:before="0" w:after="0"/>
        <w:rPr/>
      </w:pPr>
      <w:r>
        <w:rPr>
          <w:rFonts w:ascii="Times New Roman;sans-serif" w:hAnsi="Times New Roman;sans-serif"/>
          <w:b w:val="false"/>
          <w:color w:val="000000"/>
          <w:sz w:val="20"/>
        </w:rPr>
        <w:t>business with the U.S. government or one of its divisions, as well as other penalties, damages and reputational harms, which could have an adverse effect on our business, operating results, financial condition and prospects. Any violations of regulatory and contractual requirements could result in us being suspended or debarred from</w:t>
      </w:r>
      <w:r>
        <w:rPr>
          <w:color w:val="000000"/>
        </w:rPr>
        <w:t xml:space="preserve"> </w:t>
      </w:r>
      <w:r>
        <w:rPr>
          <w:rFonts w:ascii="Times New Roman;sans-serif" w:hAnsi="Times New Roman;sans-serif"/>
          <w:b w:val="false"/>
          <w:color w:val="000000"/>
          <w:sz w:val="20"/>
        </w:rPr>
        <w:t>future government contracting. Any of these outcomes could have an adverse effect on our revenue, operating results, financial condition and prospects.</w:t>
      </w:r>
    </w:p>
    <w:p>
      <w:pPr>
        <w:pStyle w:val="TextBody"/>
        <w:spacing w:before="0" w:after="0"/>
        <w:ind w:left="0" w:right="0" w:firstLine="720"/>
        <w:rPr/>
      </w:pPr>
      <w:r>
        <w:rPr/>
      </w:r>
    </w:p>
    <w:p>
      <w:pPr>
        <w:pStyle w:val="TextBody"/>
        <w:spacing w:lineRule="auto" w:line="276" w:before="0" w:after="0"/>
        <w:ind w:left="0" w:right="0" w:firstLine="720"/>
        <w:rPr/>
      </w:pPr>
      <w:r>
        <w:rPr>
          <w:rFonts w:ascii="Times New Roman;sans-serif" w:hAnsi="Times New Roman;sans-serif"/>
          <w:b w:val="false"/>
          <w:color w:val="000000"/>
          <w:sz w:val="20"/>
        </w:rPr>
        <w:t>These laws, regulations and other requirements</w:t>
      </w:r>
      <w:r>
        <w:rPr>
          <w:color w:val="008080"/>
        </w:rPr>
        <w:t xml:space="preserve"> </w:t>
      </w:r>
      <w:r>
        <w:rPr>
          <w:rFonts w:ascii="Times New Roman;sans-serif" w:hAnsi="Times New Roman;sans-serif"/>
          <w:b w:val="false"/>
          <w:color w:val="000000"/>
          <w:sz w:val="20"/>
        </w:rPr>
        <w:t>impose added costs on our business, and failure to comply with these or other applicable regulations and requirements, including non-compliance in the past, could lead to claims for damages from our channel partners, penalties, termination of contracts, loss of exclusive rights in our IP and temporary suspension, permanent debarment from government contracting, or other limitations on doing business. Any such damages, penalties, disruptions or limitations in our ability to do business with the public sector could have an adverse effect on our business and operating results.</w:t>
      </w:r>
    </w:p>
    <w:p>
      <w:pPr>
        <w:pStyle w:val="TextBody"/>
        <w:spacing w:before="0" w:after="0"/>
        <w:rPr/>
      </w:pPr>
      <w:r>
        <w:rPr/>
      </w:r>
    </w:p>
    <w:p>
      <w:pPr>
        <w:pStyle w:val="TextBody"/>
        <w:spacing w:lineRule="auto" w:line="276" w:before="0" w:after="0"/>
        <w:rPr>
          <w:rFonts w:ascii="Times New Roman;sans-serif" w:hAnsi="Times New Roman;sans-serif"/>
          <w:b/>
          <w:i/>
          <w:color w:val="000000"/>
          <w:sz w:val="20"/>
        </w:rPr>
      </w:pPr>
      <w:r>
        <w:rPr>
          <w:rFonts w:ascii="Times New Roman;sans-serif" w:hAnsi="Times New Roman;sans-serif"/>
          <w:b/>
          <w:i/>
          <w:color w:val="000000"/>
          <w:sz w:val="20"/>
        </w:rPr>
        <w:t>We are subject to governmental export and import controls that could subject us to liability or restrictions on sales, and that could impair our ability to compete in international markets.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Because we incorporate encryption technology into our products, certain of our products are subject to U.S. export controls and may be exported outside the United States only with the required export license or through an export license exception, or may be prohibited altogether from export to certain countries.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(e.g., for stocking orders placed by our partners),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pStyle w:val="TextBody"/>
        <w:spacing w:before="0" w:after="0"/>
        <w:ind w:left="0" w:right="0" w:firstLine="54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Furthermore, U.S. export control laws and economic sanctions prohibit the shipment of certain products to U.S. embargoed or sanctioned countries, governments and persons, such as the sanctions and trade restrictions that have been implemented against Russia and Belarus.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Efforts to withdraw from or materially modify international trade agreements, to change tax provisions related to global manufacturing and sales or to impose new tariffs, economic sanctions or related legislation, any of which could adversely affect our financial condition and results of operations.</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benefits directly and indirectly from free trade agreements, and we also rely on various corporate tax provisions related to international commerce, as we develop, market and sell our products and services globally. Efforts to withdraw from or materially modify international trade agreements, or to change corporate tax policy related to international commerce, could adversely affect our financial condition and results of operations as could the continuing uncertainty regarding whether such actions will be taken. </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Moreover, efforts to implement changes related to export or import regulations (including the imposition of new border taxes or tariffs on foreign imports), trade barriers, economic sanctions and other related policies could harm our results of operations. For example, in recent years, the United States has imposed additional import tariffs on certain goods from different countries and on most goods imported from China. As a result, China and other countries imposed retaliatory tariffs on goods exported from the United States and both the United States and foreign countries have threatened to alter or leave current trade agreements. While we do not currently expect these tariffs to have a significant effect on our raw material and product import costs, if the United States expands increased tariffs, or retaliatory trade measures are taken by other countries in response to the tariffs, the cost of our products could increase, our operations could be disrupted or we could be required to raise our prices, which may result in the loss of customers and harm to our reputation and operating performance.</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Any modification in these areas, any shift in the enforcement or scope of existing regulations or any change in the countries, governments, persons or technologies targeted by such regulations, could result in decreased use of our products by, or in our decreased ability to export or sell our products to, existing or potential end-customers with international operations and could result in increased costs. Any decreased use of our products or limitation on our ability to export or sell our products would likely adversely affect our business, financial condition and results of operations.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If we fail to comply with environmental requirements, our business, financial condition, operating results and reputation could be adversely affected.</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various environmental laws and regulations, including laws governing the hazardous material content of our products, laws relating to our real property and future expansion plans and laws concerning the recycling of Electrical and Electronic Equipment (“EEE”). The laws and regulations to which we are subject include the EU RoHS Directive, EU Regulation 1907/2006 – Registration, Evaluation, Authorization and Restriction of Chemicals (the “REACH” Regulation) and the EU Waste Electrical and Electronic Equipment Directive (the “WEEE Directive”), as well as the implementing legislation of the EU member states. Similar laws and regulations have been passed or are pending in China, South Korea, Taiwan, Japan, Norway, Saudi Arabia and the UAE and may be enacted in other regions, including in the United States, and we are, or may in the future be, subject to these laws and regulations. These legal and regulatory regimes, including the laws, rules and regulations thereunder, evolve frequently and may be modified, interpreted and applied in an inconsistent manner from one jurisdiction to another, and may conflict with one another. Moreover, the timing and effect of these laws and regulations on our business may be uncertain. To the extent we have not complied with such laws, rules and regulations, we could be subject to significant fines, revocation of licenses, limitations on our products and services, reputational harm and other regulatory consequences, each of which may be significant and could adversely affect our business, operating results and financial condition. These laws and regulations may also impact our suppliers, which could have, among other things, an adverse impact on the costs of components in our products.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EU RoHS Directive and the similar laws of other jurisdictions ban or restrict the presence of certain hazardous substances such as lead, mercury, cadmium, hexavalent chromium and certain fire-retardant plastic additives in electrical equipment, including our products. We have incurred costs to comply with these laws, including research and development costs and costs associated with assuring the supply of compliant components. We expect to continue to incur costs related to environmental laws and regulations in the future. With respect to the EU RoHS, we and our competitors rely on exemptions for lead and other substances in network infrastructure equipment. It is possible one or more of these use exemptions will be revoked in the future. Additionally, although some of the EU RoHS exemptions have been extended, it is possible that some of these exemptions may expire in the future without being extended. If this exemption is revoked or expires without extension,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and/or disrupt our operations or logistics.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part of the Circular Economy Action Plan, the European Commission amended the EU Waste Framework Directive (“WFD”) to include a number of measures related to waste prevention and recycling, whereby we are responsible for submitting product data to a Substances of Concern In articles as such or in complex objects (Products) (“SCIP”) database containing information on Substances of Very High Concern (“SVHC”) in articles and in complex objects. The SCIP database is established under the WFD and managed by the European Chemicals Agency (“ECHA”). We have incurred costs in order to comply with this new requirement. Similar laws and regulations have been passed or are pending in the European Economic Area and the UK.</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EU’s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 including the United States.</w:t>
      </w:r>
    </w:p>
    <w:p>
      <w:pPr>
        <w:pStyle w:val="TextBody"/>
        <w:spacing w:before="0" w:after="0"/>
        <w:ind w:left="0" w:right="0" w:firstLine="720"/>
        <w:rPr/>
      </w:pPr>
      <w:r>
        <w:rPr/>
      </w:r>
    </w:p>
    <w:p>
      <w:pPr>
        <w:pStyle w:val="TextBody"/>
        <w:spacing w:lineRule="auto" w:line="25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failure to comply with these and future environmental rules and regulations could result in decreased demand for our products and services resulting in reduced sales of our products, increased demand for competitive products and services that result in lower emissions than our products, increased costs, substantial product inventory write-offs, reputational damage, penalties and other sanctions, any of which could harm our business and financial condition. To date, our expenditures for environmental compliance have not had a material impact on our operating results or cash flows, and, although we cannot predict the future impact of such laws or regulations, they will likely result in additional costs. New laws may result in increased penalties associated with violations or require us to change the content of our products or how they are manufactured, which could have a material adverse effect on our business, operating results and financial condition.</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before="0" w:after="0"/>
        <w:ind w:left="0" w:right="0" w:firstLine="720"/>
        <w:rPr/>
      </w:pPr>
      <w:r>
        <w:rPr/>
      </w:r>
    </w:p>
    <w:p>
      <w:pPr>
        <w:pStyle w:val="TextBody"/>
        <w:spacing w:lineRule="auto" w:line="276" w:before="0" w:after="0"/>
        <w:rPr>
          <w:rFonts w:ascii="Times New Roman;sans-serif" w:hAnsi="Times New Roman;sans-serif"/>
          <w:b/>
          <w:i/>
          <w:color w:val="000000"/>
          <w:sz w:val="20"/>
        </w:rPr>
      </w:pPr>
      <w:r>
        <w:rPr>
          <w:rFonts w:ascii="Times New Roman;sans-serif" w:hAnsi="Times New Roman;sans-serif"/>
          <w:b/>
          <w:i/>
          <w:color w:val="000000"/>
          <w:sz w:val="20"/>
        </w:rPr>
        <w:t>Investors’ expectations of our performance relating to environmental, social and governance factors may impose additional costs and expose us to new risks.</w:t>
      </w:r>
    </w:p>
    <w:p>
      <w:pPr>
        <w:pStyle w:val="TextBody"/>
        <w:spacing w:before="0" w:after="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There is an increasing focus from certain investors, employees, customers and other stakeholders concerning corporate responsibility, specifically related to ESG matters. Some investors may use these non-financial performance factors to guide their investment strategies and, in some cases, may choose not to invest in us if they believe our policies and actions relating to corporate responsibility are inadequate. The growing investor demand for measurement of non-financial performance is addressed by third-party providers of sustainability assessment and ratings on companies. The criteria by which our corporate responsibility practices are assessed may change due to the constant evolution of the sustainability landscape, which could result in greater expectations of us and cause us to undertake costly initiatives to satisfy such new criteria. If we elect not to or are unable to satisfy such new criteria, investors may conclude that our policies and/or actions with respect to corporate social responsibility are inadequate. We may face reputational damage in the event that we do not meet the ESG standards set by various constituencies.</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Furthermore, in the event that we communicate certain initiatives and goals regarding ESG matters, such as our commitment to target carbon neutrality on Scope 1 and Scope 2 emissions resulting from our owned facilities worldwide by 2030, we could fail, or be perceived to fail, in our achievement of such initiatives or goals, or we could be criticized for the scope, target and timelines of such initiatives or goals. If we fail to satisfy the expectations of investors, customers, employees, and other stakeholders or our initiatives are not executed as planned, our reputation and business, operating results and financial condition could be adversely impacted. In addition, the SEC has also proposed a draft rule that requires climate disclosures in financial filings. To the extent the SEC proposal becomes effective for our company, we will be required to establish additional internal controls, engage additional consultants and incur additional costs related to evaluating, managing and reporting on our environmental impact and climate-related risks and opportunities. If we fail to implement sufficient oversight or accurately capture and disclose on environmental matters, our reputation, business, operating results and financial condition may be materially adversely affected.</w:t>
      </w: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Risks Related to Finance, Accounting and Tax Matters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generally accepted accounting principles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Operations—Critical Accounting Policies and Estimates” in this Quarterly Report on Form 10-Q,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deferred contract costs and commission expense, accounting for business combinations, contingent liabilities and accounting for income taxes. </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are exposed to fluctuations in currency exchange rates, which could negatively affect our financial condition and results of operations.</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operating expenses are incurred outside the United States. These expenses are denominated in foreign currencies and are subject to fluctuations due to changes in foreign currency exchange rates, particularly changes in the Euro, Japanese yen, Canadian dollar and British pound. A weakening of the U.S. dollar compared to foreign currencies would negatively affect our expenses and operating results, which are expressed in U.S. dollars. Additionally, fluctuations in the exchange rate of the Canadian dollar may negatively impact our development plans in Burnaby, Canada. While we are not currently engaged in material hedging activities, we have been hedging currency exposures relating to certain balance sheet accounts through the use of forward exchange contracts. If we stop hedging against any of these risks or if our attempts to hedge against these currency exposures are not successful, our financial condition and results of operations could be adversely affected.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may increase the real cost of our products to our customers outside of the United States, which may also adversely affect our financial condition and results of operations.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We could be subject to changes in our tax rates, the adoption of new U.S. or international tax legislation or exposure to additional tax liabilities.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These include:</w:t>
      </w:r>
    </w:p>
    <w:p>
      <w:pPr>
        <w:pStyle w:val="TextBody"/>
        <w:spacing w:before="0" w:after="0"/>
        <w:rPr/>
      </w:pPr>
      <w:r>
        <w:rPr/>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the mix of earnings in countries with differing statutory tax rates or withholding taxes;</w:t>
      </w:r>
    </w:p>
    <w:p>
      <w:pPr>
        <w:pStyle w:val="TextBody"/>
        <w:spacing w:before="0" w:after="0"/>
        <w:ind w:left="0" w:right="0" w:hanging="720"/>
        <w:rPr/>
      </w:pPr>
      <w:r>
        <w:rPr/>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changes in the valuation of our deferred tax assets and liabilities;</w:t>
      </w:r>
    </w:p>
    <w:p>
      <w:pPr>
        <w:pStyle w:val="TextBody"/>
        <w:spacing w:before="0" w:after="0"/>
        <w:ind w:left="0" w:right="0" w:hanging="720"/>
        <w:rPr/>
      </w:pPr>
      <w:r>
        <w:rPr/>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transfer pricing adjustments;</w:t>
      </w:r>
    </w:p>
    <w:p>
      <w:pPr>
        <w:pStyle w:val="TextBody"/>
        <w:spacing w:before="0" w:after="0"/>
        <w:ind w:left="0" w:right="0" w:hanging="360"/>
        <w:rPr/>
      </w:pPr>
      <w:r>
        <w:rPr/>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increases to corporate tax rates;</w:t>
      </w:r>
    </w:p>
    <w:p>
      <w:pPr>
        <w:pStyle w:val="TextBody"/>
        <w:spacing w:before="0" w:after="0"/>
        <w:ind w:left="0" w:right="0" w:hanging="720"/>
        <w:rPr/>
      </w:pPr>
      <w:r>
        <w:rPr/>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an increase in non-deductible expenses for tax purposes, including certain stock-based compensation expense;</w:t>
      </w:r>
    </w:p>
    <w:p>
      <w:pPr>
        <w:pStyle w:val="TextBody"/>
        <w:spacing w:before="0" w:after="0"/>
        <w:ind w:left="0" w:right="0" w:hanging="360"/>
        <w:rPr/>
      </w:pPr>
      <w:r>
        <w:rPr/>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changes in availability of tax credits and/or tax deductions;</w:t>
      </w:r>
    </w:p>
    <w:p>
      <w:pPr>
        <w:pStyle w:val="TextBody"/>
        <w:spacing w:before="0" w:after="0"/>
        <w:ind w:left="0" w:right="0" w:hanging="720"/>
        <w:rPr/>
      </w:pPr>
      <w:r>
        <w:rPr/>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tax costs related to intercompany realignments;</w:t>
      </w:r>
    </w:p>
    <w:p>
      <w:pPr>
        <w:pStyle w:val="TextBody"/>
        <w:spacing w:before="0" w:after="0"/>
        <w:ind w:left="0" w:right="0" w:hanging="720"/>
        <w:rPr/>
      </w:pPr>
      <w:r>
        <w:rPr/>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tax assessments resulting from income tax audits or any related tax interest or penalties that could significantly affect our provision for income taxes for the period in which the settlement takes place; and</w:t>
      </w:r>
    </w:p>
    <w:p>
      <w:pPr>
        <w:pStyle w:val="TextBody"/>
        <w:spacing w:before="0" w:after="0"/>
        <w:rPr/>
      </w:pPr>
      <w:r>
        <w:rPr/>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changes in accounting principles, court decisions, tax rulings, and interpretations of or changes to tax laws, and regulations by international, federal or local governmental authorities.</w:t>
      </w:r>
    </w:p>
    <w:p>
      <w:pPr>
        <w:pStyle w:val="TextBody"/>
        <w:spacing w:before="0" w:after="0"/>
        <w:ind w:left="0" w:right="0" w:hanging="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open tax years that could be subject to the examination by the Internal Revenue Service (the “IRS”) and other tax authorities. We currently have ongoing tax audits in the United Kingdom, Canada, Germany and several other foreign jurisdictions. The focus of all of these audits is the allocation of profits among our legal entities. We regularly assess the likelihood of adverse outcomes resulting from such examinations to determine the adequacy of our provision for income taxes. Although we believe that our estimates are reasonable, the ultimate tax outcome may differ from the amounts recorded in our condensed consolidated financial statements and may materially affect our financial results.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we believe reasonably ensures that we are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Forecasting our estimated annual effective tax rate is complex and subject to uncertainty, and there may be material differences between our forecasted and actual tax rates.</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our effective tax rate in a given jurisdiction differs from our estimate, our actual tax rate could be materially different than forecasted, which could have a material impact on our </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results of business, financial condition and results of operations. Additionally, our actual tax rate may be subject to further uncertainty due to potential changes in U.S. and foreign tax rules.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 authorities may impose tax assessments or judgments against us that could materially impact our tax liability and/or our effective income tax rate.</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Organisation for Economic Co-operation and Development (the “OECD”), an international association comprised of 38 countries, including the United States, has issued and continues to issue guidelines and proposals that change various aspects of the existing framework under which our tax obligations are determined in many of the countries in which we do business. Due to our extensive international business activities, any changes in the taxation of such activities could increase our tax obligations in many countries and may increase our worldwide effective tax rate.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Risks Related to Ownership of Our Common Stock</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As a public company, we are subject to compliance initiatives that will require substantial time from our management and result in significantly increased costs that may adversely affect our operating results and financial condition.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Sarbanes-Oxley Act of 2002 (“Sarbanes-Oxley”), Dodd-Frank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Sarbanes-Oxley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2022, our internal controls over financial reporting were effective, we cannot predict the outcome of our testing in 2023 or future periods and there can be no assurance that, in the future, our internal controls over financial reporting will be effective or deemed effective. We may incur additional expenses and commitment of management’s time in connection with further evaluations, both of which could materially increase our operating expenses and accordingly reduce our operating results. </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If securities or industry analysts stop publishing research or publish inaccurate or unfavorable research about our business, our stock price and trading volume could decline.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trading market for our common stock will depend in part on the research and reports that securities or industry analysts publish about us or our business. If we do not maintain adequate research coverage, if one or more of the analysts who cover us downgrades our stock or publishes inaccurate or unfavorable research about our business or if our results or forecasts fail to meet the expectations of research analysts and investors, our stock price could decline. If one or more of these analysts ceases coverage of our company or fails to publish reports on us regularly, demand for our stock could decrease, which could cause our stock price and trading volume to decline. </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The trading price of our common stock may be volatile, which may be exacerbated by share repurchases under our Share Repurchase Program.</w:t>
      </w:r>
    </w:p>
    <w:p>
      <w:pPr>
        <w:pStyle w:val="TextBody"/>
        <w:spacing w:before="0" w:after="0"/>
        <w:rPr/>
      </w:pPr>
      <w:r>
        <w:rPr/>
      </w:r>
    </w:p>
    <w:p>
      <w:pPr>
        <w:pStyle w:val="TextBody"/>
        <w:spacing w:lineRule="auto" w:line="276" w:before="0" w:after="0"/>
        <w:ind w:left="0" w:right="0" w:firstLine="720"/>
        <w:rPr/>
      </w:pPr>
      <w:r>
        <w:rPr>
          <w:rFonts w:ascii="Times New Roman;sans-serif" w:hAnsi="Times New Roman;sans-serif"/>
          <w:b w:val="false"/>
          <w:color w:val="000000"/>
          <w:sz w:val="20"/>
        </w:rPr>
        <w:t>The market price of our common stock may be subject to wide fluctuations in response to, among other things, the risk factors described in this pe</w:t>
      </w:r>
      <w:r>
        <w:rPr>
          <w:rFonts w:ascii="Times New Roman;sans-serif" w:hAnsi="Times New Roman;sans-serif"/>
          <w:b w:val="false"/>
          <w:color w:val="000000"/>
          <w:sz w:val="20"/>
          <w:highlight w:val="white"/>
        </w:rPr>
        <w:t xml:space="preserve">riodic report, news about us and our financial results, the impact of the COVID-19 pandemic, news about our competitors and their results, and other factors such as rumors or fluctuations in the valuation of companies perceived by investors to be comparable to us. For example, during the </w:t>
      </w:r>
      <w:r>
        <w:rPr>
          <w:rFonts w:ascii="Times New Roman;sans-serif" w:hAnsi="Times New Roman;sans-serif"/>
          <w:b w:val="false"/>
          <w:color w:val="000000"/>
          <w:sz w:val="20"/>
        </w:rPr>
        <w:t>three</w:t>
      </w:r>
      <w:r>
        <w:rPr>
          <w:color w:val="000000"/>
          <w:highlight w:val="white"/>
        </w:rPr>
        <w:t xml:space="preserve"> </w:t>
      </w:r>
      <w:r>
        <w:rPr>
          <w:rFonts w:ascii="Times New Roman;sans-serif" w:hAnsi="Times New Roman;sans-serif"/>
          <w:b w:val="false"/>
          <w:color w:val="000000"/>
          <w:sz w:val="20"/>
          <w:highlight w:val="white"/>
        </w:rPr>
        <w:t xml:space="preserve">months ended March 31, 2023, the closing price of our common stock ranged from $47.45 to $66.46 per share. </w:t>
      </w:r>
    </w:p>
    <w:p>
      <w:pPr>
        <w:pStyle w:val="TextBody"/>
        <w:spacing w:before="0" w:after="0"/>
        <w:ind w:left="0" w:right="0" w:firstLine="720"/>
        <w:rPr/>
      </w:pPr>
      <w:r>
        <w:rPr/>
      </w:r>
    </w:p>
    <w:p>
      <w:pPr>
        <w:pStyle w:val="TextBody"/>
        <w:spacing w:lineRule="auto" w:line="288" w:before="0" w:after="0"/>
        <w:ind w:left="0" w:right="0" w:firstLine="720"/>
        <w:rPr>
          <w:color w:val="000000"/>
        </w:rPr>
      </w:pPr>
      <w:r>
        <w:rPr>
          <w:color w:val="000000"/>
        </w:rPr>
        <w:t> </w:t>
      </w:r>
      <w:r>
        <w:rPr>
          <w:rFonts w:ascii="Times New Roman;sans-serif" w:hAnsi="Times New Roman;sans-serif"/>
          <w:b w:val="false"/>
          <w:color w:val="000000"/>
          <w:sz w:val="20"/>
        </w:rPr>
        <w:t>Furthermore,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 In addition, the market price of our common stock and the market price of the common stock of many other companies have fallen significantly since the outbreak of the COVID-19 pandemic. The extent to which the COVID-19 pandemic may impact the market price of our common stock is unclear, and the market price of our common stock may fluctuate significantly as a result of the COVID-19 pandemic.</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Share repurchases under the Repurchase Program could increase the volatility of the trading price of our common stock, could diminish our cash reserves, could occur at non-optimal prices and may not result in the most effective use of our capital.</w: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val="false"/>
          <w:color w:val="000000"/>
          <w:sz w:val="20"/>
        </w:rPr>
        <w:t>In February 2023, our board of directors approved an extension of the Repurchase Program to February 29, 2024. In April 2023, our board of directors approved a $1.0 billion increase in the authorized stock repurchase amount under the Repurchase Program, bringing the remaining aggregate amount authorized to be repurchased to $1.53 billion as of May 8,2023</w:t>
      </w:r>
      <w:r>
        <w:rPr>
          <w:rFonts w:ascii="Times New Roman;sans-serif" w:hAnsi="Times New Roman;sans-serif"/>
          <w:b w:val="false"/>
          <w:color w:val="000000"/>
          <w:sz w:val="20"/>
          <w:highlight w:val="white"/>
        </w:rPr>
        <w:t xml:space="preserve">. Share repurchases under the Repurchase Program could affect the price of our common stock, increase stock price volatility and diminish our </w:t>
      </w:r>
      <w:r>
        <w:rPr>
          <w:rFonts w:ascii="Times New Roman;sans-serif" w:hAnsi="Times New Roman;sans-serif"/>
          <w:b w:val="false"/>
          <w:color w:val="000000"/>
          <w:sz w:val="20"/>
        </w:rPr>
        <w:t>cash reserves. In addition, an announcement of the reduction, suspension or termination of the Repurchase Program could result in a decrease in the trading price of our common stock. Moreover, our stock price could decline, resulting in repurchases made at non-optimal prices. Our failure to repurchase our stock at optimal prices may be perceived by investors as an inefficient use of our cash and cash equivalents, which could result in litigation that may have an adverse effect on our business, operating results and financial condition. In addition, while our board of directors carefully considers various alternative uses of our cash and cash equivalents in determining whether to authorize stock repurchases, there can be no assurance that the decision by our board of directors to repurchase stock would result in the most effective uses of our cash and cash equivalents, and there may be alternative uses of our cash and cash equivalents that would be more effective, such as investing in growing our business organically or through acquisitions.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Anti-takeover provisions contained in our certificate of incorporation and bylaws, as well as provisions of Delaware law, could impair a takeover attempt.</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pStyle w:val="TextBody"/>
        <w:spacing w:before="0" w:after="0"/>
        <w:rPr/>
      </w:pPr>
      <w:r>
        <w:rPr/>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authorizing “blank check” preferred stock, which could be issued by the board without stockholder approval and may contain voting, liquidation, dividend and other rights superior to our common stock;</w:t>
      </w:r>
    </w:p>
    <w:p>
      <w:pPr>
        <w:pStyle w:val="TextBody"/>
        <w:spacing w:lineRule="auto" w:line="288" w:before="0" w:after="0"/>
        <w:ind w:left="0" w:right="0" w:hanging="720"/>
        <w:rPr>
          <w:color w:val="000000"/>
        </w:rPr>
      </w:pPr>
      <w:r>
        <w:rPr>
          <w:color w:val="000000"/>
        </w:rPr>
        <w:t>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limiting the liability of, and providing indemnification to, our directors and officers;</w:t>
      </w:r>
    </w:p>
    <w:p>
      <w:pPr>
        <w:pStyle w:val="TextBody"/>
        <w:spacing w:lineRule="auto" w:line="288" w:before="0" w:after="0"/>
        <w:ind w:left="0" w:right="0" w:hanging="720"/>
        <w:rPr>
          <w:color w:val="000000"/>
        </w:rPr>
      </w:pPr>
      <w:r>
        <w:rPr>
          <w:color w:val="000000"/>
        </w:rPr>
        <w:t>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requiring advance notice of stockholder proposals for business to be conducted at meetings of our stockholders and for nominations of candidates for election to our board of directors;</w:t>
      </w:r>
    </w:p>
    <w:p>
      <w:pPr>
        <w:pStyle w:val="TextBody"/>
        <w:spacing w:before="0" w:after="0"/>
        <w:rPr/>
      </w:pPr>
      <w:r>
        <w:rPr/>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providing that certain litigation matters may only be brought against us in state or federal courts in the State of Delaware;</w:t>
      </w:r>
    </w:p>
    <w:p>
      <w:pPr>
        <w:pStyle w:val="TextBody"/>
        <w:spacing w:lineRule="auto" w:line="288" w:before="0" w:after="0"/>
        <w:ind w:left="0" w:right="0" w:hanging="720"/>
        <w:rPr>
          <w:color w:val="000000"/>
        </w:rPr>
      </w:pPr>
      <w:r>
        <w:rPr>
          <w:color w:val="000000"/>
        </w:rPr>
        <w:t>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controlling the procedures for the conduct and scheduling of board and stockholder meetings; and</w:t>
      </w:r>
    </w:p>
    <w:p>
      <w:pPr>
        <w:pStyle w:val="TextBody"/>
        <w:spacing w:lineRule="auto" w:line="288" w:before="0" w:after="0"/>
        <w:ind w:left="0" w:right="0" w:hanging="720"/>
        <w:rPr>
          <w:color w:val="000000"/>
        </w:rPr>
      </w:pPr>
      <w:r>
        <w:rPr>
          <w:color w:val="000000"/>
        </w:rPr>
        <w:t>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providing the board of directors with the express power to postpone previously scheduled annual meetings and to cancel previously scheduled special meetings.</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These provisions, alone or together, could delay or prevent hostile takeovers and changes in control or changes in our management.</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amended and restated bylaws provide that unless we consent in writing to the selection of an alternative forum, to the fullest extent permitted by law, the federal district courts of the United States shall be the exclusive forum for the resolution of any complaint asserting a cause of action arising under the Securities Act. Any person or entity purchasing or otherwise acquiring any interest in any of our securities shall be deemed to have notice of and consented to this provision. This provision, as well as provisions providing that certain litigation matters may only be brought against us in state or federal courts in the State of Delaware, may limit a stockholder’s ability to bring a claim in a judicial forum that it finds </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favorable for disputes with us or any of our directors, officers or other employees, which may discourage lawsuits against us and our directors, officers and other employees.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a Delaware corporation, we are also subject to provisions of Delaware law, including Section 203 of the Delaware General Corporation Law, which prevents stockholders holding more than 15% of our outstanding common stock from engaging in certain business combinations without approval of the holders of a substantial majority of all of our outstanding common stock.</w:t>
      </w:r>
    </w:p>
    <w:p>
      <w:pPr>
        <w:pStyle w:val="TextBody"/>
        <w:spacing w:lineRule="auto" w:line="288" w:before="0" w:after="0"/>
        <w:ind w:left="0" w:right="0" w:firstLine="72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However, these anti-takeover provisions will not have the effect of preventing activist stockholders from seeking to increase short-term stockholder value through actions such as nominating board candidates and requesting that we pursue strategic combinations or other transactions. These actions could disrupt our operations, be costly and time-consuming and divert the attention of our management and employees. In addition, perceived uncertainties as to our future direction as a result of activist stockholder actions could result in the loss of potential business opportunities, as well as other negative business consequences. Actions of an activist stockholder may also cause fluctuations in our stock price based on speculative market perceptions or other factors that do not necessarily reflect our business. Further, we may incur significant expenses in retaining professionals to advise and assist us on activist stockholder matters, including legal, financial, communications advisors and solicitation experts, which may negatively impact our future financial results.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General Risks</w:t>
      </w:r>
    </w:p>
    <w:p>
      <w:pPr>
        <w:pStyle w:val="TextBody"/>
        <w:spacing w:before="0" w:after="0"/>
        <w:rPr/>
      </w:pPr>
      <w:r>
        <w:rPr/>
      </w:r>
    </w:p>
    <w:p>
      <w:pPr>
        <w:pStyle w:val="TextBody"/>
        <w:spacing w:lineRule="auto" w:line="276" w:before="0" w:after="0"/>
        <w:rPr>
          <w:rFonts w:ascii="Times New Roman;sans-serif" w:hAnsi="Times New Roman;sans-serif"/>
          <w:b/>
          <w:i/>
          <w:color w:val="000000"/>
          <w:sz w:val="20"/>
        </w:rPr>
      </w:pPr>
      <w:r>
        <w:rPr>
          <w:rFonts w:ascii="Times New Roman;sans-serif" w:hAnsi="Times New Roman;sans-serif"/>
          <w:b/>
          <w:i/>
          <w:color w:val="000000"/>
          <w:sz w:val="20"/>
        </w:rPr>
        <w:t>Global economic uncertainty, an economic downturn, the possibility of a recession, inflation, rising interest rates, weakening product demand caused by political instability, changes in trade agreements and conflicts such as the war in Ukraine, could adversely affect our business and financial performance.</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Economic uncertainty in various global markets caused by political instability and conflict, such as the war in Ukraine, and economic challenges caused by the effects of the COVID-19 pandemic, the economic downturn, any resulting recession, inflation or rise in interest rates has resulted, and may continue to result, in weakened demand for our products and services and difficulty in forecasting our financial results and managing inventory levels. The current economic uncertainty, and possibility of a recession, has negatively impacted the stock prices of many companies in 2023, including many companies in the technology sector. Political developments impacting government spending and international trade, including potential government shutdowns and trade disputes and tariffs may negatively impact markets and cause weaker macroeconomic conditions. The effects of these events may continue due to potential U.S. government shutdowns and the transition in administrations, and the United States’ ongoing trade disputes with Russia, China and other countries. The continuing effect of any or all of these events could adversely impact demand for our products, harm our operations and weaken our financial results.</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addition, the U.S. capital markets have experienced and continue to experience extreme volatility and disruption. Inflation rates in the United States significantly increased in 2022 resulting in federal action to increase interest rates, adversely affecting capital markets activity. Further deterioration of the macroeconomic environment and regulatory action may adversely affect our business, operating results and financial condition. Moreover, there has been recent turmoil in the global banking system. For example, in March 2023, Silicon Valley Bank (“SVB”) was put into receivership by the Federal Deposit Insurance Corporation and subsequently sold. Other banks at risk of failure have been subsequently sold, including First Republic Bank in May 2023, and there is concern that more banks could be at risk of the same fate. Although we only had an immaterial amount of our cash directly at SVB, there is no guarantee that the federal government would guarantee all depositors as they did with SVB depositors in the event of further bank closures. Continued instability in the global banking system may negatively impact us or our customers, including our customers’ ability to pay for our platform, and adversely impact our business and financial condition. Moreover, events such as the closure of SVB, in addition to global macroeconomic conditions discussed above, may cause further turbulence and uncertainty in the capital markets and economy.</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business is subject to the risks of earthquakes, drought, fire, power outages, typhoon, floods, virus outbreaks and other broad health-related challenges, cyber events and other catastrophic events, and to interruption by manmade problems such as civil unrest, war, labor disruption, critical infrastructure attack and terrorism.</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 significant natural disaster, such as an earthquake, drought, fire, power outage, flood, viral outbreak or other catastrophic event, could have a material adverse impact on our business, operating results and financial condition. Our corporate headquarters are located in the San Francisco Bay Area, a region known for seismic activity, and our research and </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development and data center in Burnaby, Canada, from which we deliver to customers our FortiGuard and other security subscription updates, is subject to the risk of flooding and is also in a region known for seismic activity. Any earthquake in the Bay Area or Burnaby, or flooding in Burnaby, could materially negatively impact our ability to provide products and services, such as FortiCare support and FortiGuard subscription services and could otherwise materially negatively impact our business. In addition, natural disasters could affect our manufacturing vendors, suppliers or logistics providers’ ability to perform services, such as obtaining product components and manufacturing products, or performing or assisting with shipments, on a timely basis, as well as our customers’ ability to order from us and our employees’ ability to perform their duties. For example, a typhoon in Taiwan could materially negatively impact our ability to manufacture and ship products and could result in delays and reductions in billings and revenue, or the effects of the COVID-19 pandemic may negatively impact our ability to manufacture and ship products, possibly in a material way, and could result in delays and reductions in billings and revenue, also possibly in a material way. The impact of climate change could affect economies in ways that negatively impact us and our results of operations.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international disputes, wars, such as the war in Ukraine and any expansion thereof, and other acts of aggression, civil and political unrest, labor disruptions, rebellions, acts of terrorism and other geo-political unrest could cause disruptions in our business or the business of our manufacturers, suppliers, logistics providers, partners or end-customers, or of the economy as a whole. Given our typical concentration of sales at the end of each quarter, any disruption in the business of our manufacturers, logistics providers, partners or end-customers that impacts sales at the end of our quarter could have a significant adverse impact on our quarterly results. To the extent that any of the above results in security risks to our customers, delays or cancellations of customer orders, the delay of the manufacture, deployment or shipment of our products or interruption or downtime of our services, our business, financial condition and results of operations would be adversely affected.</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Changes in financial accounting standards may cause adverse unexpected fluctuations and affect our reported results of operations.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change in accounting standards or practices, and varying interpretations of existing or new accounting pronouncements, as well as significant costs incurred or that may be incurred to adopt and to comply with these new pronouncements,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could have an adverse effect on our business, our ability to meet our reporting obligations and compliance with internal control requirements.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Management will continue to make judgments and assumptions based on our interpretation of new standards. If our circumstances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 Further, marketable equity investments are required to be measured at fair value (with subsequent changes in fair value recognized in net income), which may increase the volatility of our earnings.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Purchases of Equity Securities by the Issuer and Affiliated Purchasers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Share Repurchase Program</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There were no shares repurchased under the Repurchase Program during the three months ended March 31, 2023. As of March 31, 2023, $529.6 million remained available for future share repurchases under the Repurchase Program.</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2023, our board of directors approved a $1.00 billion increase in the authorized stock repurchase amount under the Repurchase Program, bringing the aggregate amount authorized to be repurchased to $6.25 billion through February 29, 2024. As of May 8, 2023, approximately $1.53 billion remained available for future share repurchases. </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exhibits listed in the accompanying Exhibit Index are filed or incorporated by reference as part of this Quarterly Report on Form 10-Q.</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center"/>
        <w:tblInd w:w="0" w:type="dxa"/>
        <w:tblCellMar>
          <w:top w:w="28" w:type="dxa"/>
          <w:left w:w="28" w:type="dxa"/>
          <w:bottom w:w="28" w:type="dxa"/>
          <w:right w:w="28" w:type="dxa"/>
        </w:tblCellMar>
      </w:tblPr>
      <w:tblGrid>
        <w:gridCol w:w="215"/>
        <w:gridCol w:w="180"/>
        <w:gridCol w:w="184"/>
        <w:gridCol w:w="109"/>
        <w:gridCol w:w="109"/>
        <w:gridCol w:w="109"/>
        <w:gridCol w:w="1778"/>
        <w:gridCol w:w="1493"/>
        <w:gridCol w:w="1499"/>
        <w:gridCol w:w="109"/>
        <w:gridCol w:w="109"/>
        <w:gridCol w:w="109"/>
        <w:gridCol w:w="528"/>
        <w:gridCol w:w="528"/>
        <w:gridCol w:w="538"/>
        <w:gridCol w:w="126"/>
        <w:gridCol w:w="126"/>
        <w:gridCol w:w="126"/>
        <w:gridCol w:w="337"/>
        <w:gridCol w:w="337"/>
        <w:gridCol w:w="248"/>
        <w:gridCol w:w="126"/>
        <w:gridCol w:w="126"/>
        <w:gridCol w:w="126"/>
        <w:gridCol w:w="268"/>
        <w:gridCol w:w="268"/>
        <w:gridCol w:w="394"/>
      </w:tblGrid>
      <w:tr>
        <w:trPr/>
        <w:tc>
          <w:tcPr>
            <w:tcW w:w="21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8" w:type="dxa"/>
            <w:tcBorders/>
            <w:shd w:fill="auto" w:val="clear"/>
            <w:vAlign w:val="center"/>
          </w:tcPr>
          <w:p>
            <w:pPr>
              <w:pStyle w:val="TableContents"/>
              <w:spacing w:before="0" w:after="283"/>
              <w:rPr>
                <w:sz w:val="4"/>
                <w:szCs w:val="4"/>
              </w:rPr>
            </w:pPr>
            <w:r>
              <w:rPr>
                <w:sz w:val="4"/>
                <w:szCs w:val="4"/>
              </w:rPr>
            </w:r>
          </w:p>
        </w:tc>
        <w:tc>
          <w:tcPr>
            <w:tcW w:w="1493" w:type="dxa"/>
            <w:tcBorders/>
            <w:shd w:fill="auto" w:val="clear"/>
            <w:vAlign w:val="center"/>
          </w:tcPr>
          <w:p>
            <w:pPr>
              <w:pStyle w:val="TableContents"/>
              <w:spacing w:before="0" w:after="283"/>
              <w:rPr>
                <w:sz w:val="4"/>
                <w:szCs w:val="4"/>
              </w:rPr>
            </w:pPr>
            <w:r>
              <w:rPr>
                <w:sz w:val="4"/>
                <w:szCs w:val="4"/>
              </w:rPr>
            </w:r>
          </w:p>
        </w:tc>
        <w:tc>
          <w:tcPr>
            <w:tcW w:w="14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r>
      <w:tr>
        <w:trPr/>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2"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Incorporated by reference herein</w:t>
            </w:r>
          </w:p>
        </w:tc>
      </w:tr>
      <w:tr>
        <w:trPr/>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Form</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Date</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Number</w:t>
            </w:r>
          </w:p>
        </w:tc>
      </w:tr>
      <w:tr>
        <w:trPr/>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
              <w:r>
                <w:rPr>
                  <w:rStyle w:val="InternetLink"/>
                </w:rPr>
                <w:t>3.</w:t>
              </w:r>
            </w:hyperlink>
            <w:hyperlink r:id="rId3">
              <w:r>
                <w:rPr>
                  <w:rStyle w:val="InternetLink"/>
                </w:rPr>
                <w:t>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Amended and Restated Bylaws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Report on Form 8-K (File No. 001-34511)</w:t>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8, 2023</w:t>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3.1</w:t>
            </w:r>
          </w:p>
        </w:tc>
      </w:tr>
      <w:tr>
        <w:trPr/>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101-formofpsuawarda.htm">
              <w:r>
                <w:rPr>
                  <w:rStyle w:val="InternetLink"/>
                  <w:rFonts w:ascii="Times New Roman;sans-serif" w:hAnsi="Times New Roman;sans-serif"/>
                  <w:b w:val="false"/>
                  <w:color w:val="0000FF"/>
                  <w:sz w:val="16"/>
                  <w:u w:val="single"/>
                </w:rPr>
                <w:t>10.1</w:t>
              </w:r>
            </w:hyperlink>
            <w:r>
              <w:rPr>
                <w:rFonts w:ascii="Times New Roman;sans-serif" w:hAnsi="Times New Roman;sans-serif"/>
                <w:b w:val="false"/>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Form of performance stock unit award agreement under Amended and Restated 2009 Equity Incentive Plan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102-globalrsuagreem.htm">
              <w:r>
                <w:rPr>
                  <w:rStyle w:val="InternetLink"/>
                </w:rPr>
                <w:t>10.</w:t>
              </w:r>
            </w:hyperlink>
            <w:hyperlink w:anchor="exhibit102-globalrsuagreem.htm">
              <w:r>
                <w:rPr>
                  <w:rStyle w:val="InternetLink"/>
                </w:rPr>
                <w:t>2</w:t>
              </w:r>
            </w:hyperlink>
            <w:r>
              <w:rPr>
                <w:rFonts w:ascii="Times New Roman;sans-serif" w:hAnsi="Times New Roman;sans-serif"/>
                <w:b w:val="false"/>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Form of restricted stock unit award agreement under Amended and Restated 2009 Equity Incentive Plan (Additional Form)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ftnt-ex311_20230331x10q.htm">
              <w:r>
                <w:rPr>
                  <w:rStyle w:val="InternetLink"/>
                  <w:rFonts w:ascii="Times New Roman;sans-serif" w:hAnsi="Times New Roman;sans-serif"/>
                  <w:b w:val="false"/>
                  <w:color w:val="0000FF"/>
                  <w:sz w:val="16"/>
                  <w:u w:val="single"/>
                </w:rPr>
                <w:t>31.1</w:t>
              </w:r>
            </w:hyperlink>
            <w:r>
              <w:rPr>
                <w:rFonts w:ascii="Times New Roman;sans-serif" w:hAnsi="Times New Roman;sans-serif"/>
                <w:b w:val="false"/>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Certification of Chief Executive Officer pursuant to Exchange Act Rules 13a-14(a) and 15d-14(a), as adopted pursuant to Section 302 of the Sarbanes-Oxley Act of 2002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2" w:type="dxa"/>
            <w:gridSpan w:val="15"/>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2" w:type="dxa"/>
            <w:gridSpan w:val="15"/>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ftnt-ex312_20230331x10q.htm">
              <w:r>
                <w:rPr>
                  <w:rStyle w:val="InternetLink"/>
                  <w:rFonts w:ascii="Times New Roman;sans-serif" w:hAnsi="Times New Roman;sans-serif"/>
                  <w:b w:val="false"/>
                  <w:color w:val="0000FF"/>
                  <w:sz w:val="16"/>
                  <w:u w:val="single"/>
                </w:rPr>
                <w:t>31.2</w:t>
              </w:r>
            </w:hyperlink>
            <w:r>
              <w:rPr>
                <w:rFonts w:ascii="Times New Roman;sans-serif" w:hAnsi="Times New Roman;sans-serif"/>
                <w:b w:val="false"/>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Certification of Chief Financial Officer pursuant to Exchange Act Rules 13a-14(a) and 15d-14(a), as adopted pursuant to Section 302 of the Sarbanes-Oxley Act of 2002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2" w:type="dxa"/>
            <w:gridSpan w:val="15"/>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2" w:type="dxa"/>
            <w:gridSpan w:val="15"/>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ftnt-ex321_20230331x10q.htm">
              <w:r>
                <w:rPr>
                  <w:rStyle w:val="InternetLink"/>
                  <w:rFonts w:ascii="Times New Roman;sans-serif" w:hAnsi="Times New Roman;sans-serif"/>
                  <w:b w:val="false"/>
                  <w:color w:val="0000FF"/>
                  <w:sz w:val="16"/>
                  <w:u w:val="single"/>
                </w:rPr>
                <w:t>32.1</w:t>
              </w:r>
            </w:hyperlink>
            <w:r>
              <w:rPr>
                <w:rFonts w:ascii="Times New Roman;sans-serif" w:hAnsi="Times New Roman;sans-serif"/>
                <w:b w:val="false"/>
                <w:color w:val="000000"/>
                <w:sz w:val="1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Certifications of Chief Executive Officer and Chief Financial Officer pursuant to 18 U.S.C. Section 1350, as adopted pursuant to Section 906 of the Sarbanes-Oxley Act of 2002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2" w:type="dxa"/>
            <w:gridSpan w:val="15"/>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2" w:type="dxa"/>
            <w:gridSpan w:val="15"/>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Instance Document - the instance document does not appear in the interactive data file because its XBRL tags are embedded within the inline XBRL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2" w:type="dxa"/>
            <w:gridSpan w:val="15"/>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2" w:type="dxa"/>
            <w:gridSpan w:val="15"/>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Schema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2" w:type="dxa"/>
            <w:gridSpan w:val="15"/>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2" w:type="dxa"/>
            <w:gridSpan w:val="15"/>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Calculation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2" w:type="dxa"/>
            <w:gridSpan w:val="15"/>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2" w:type="dxa"/>
            <w:gridSpan w:val="15"/>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Definition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2" w:type="dxa"/>
            <w:gridSpan w:val="15"/>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2" w:type="dxa"/>
            <w:gridSpan w:val="15"/>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Label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2" w:type="dxa"/>
            <w:gridSpan w:val="15"/>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2" w:type="dxa"/>
            <w:gridSpan w:val="15"/>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Presentation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2" w:type="dxa"/>
            <w:gridSpan w:val="15"/>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2" w:type="dxa"/>
            <w:gridSpan w:val="15"/>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Cover Page Interactive Data File - the cover page from the Company’s Quarterly Report on Form 10-Q for the quarter ended March 31, 2023 is formatted in inline XBRL.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2" w:type="dxa"/>
            <w:gridSpan w:val="15"/>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 </w:t>
      </w:r>
      <w:r>
        <w:rPr>
          <w:rFonts w:ascii="Times New Roman;sans-serif" w:hAnsi="Times New Roman;sans-serif"/>
          <w:b w:val="false"/>
          <w:color w:val="000000"/>
          <w:sz w:val="16"/>
        </w:rPr>
        <w:t>Filed herewith.</w:t>
      </w:r>
    </w:p>
    <w:p>
      <w:pPr>
        <w:pStyle w:val="TextBody"/>
        <w:spacing w:lineRule="auto" w:line="288" w:before="0" w:after="0"/>
        <w:rPr/>
      </w:pP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16"/>
        </w:rPr>
        <w:t>Furnished herewith.</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lineRule="auto" w:line="288" w:before="180" w:after="283"/>
        <w:rPr/>
      </w:pPr>
      <w:hyperlink w:anchor="i7dc029bb3b82494a8136cb244d07aa3e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Pursuant to the Securities Exchange Act of 1934, the registrant has duly caused this report to be signed on its behalf by the undersigned, thereunto duly authorized.</w:t>
      </w:r>
    </w:p>
    <w:p>
      <w:pPr>
        <w:pStyle w:val="TextBody"/>
        <w:spacing w:before="0" w:after="0"/>
        <w:rPr/>
      </w:pPr>
      <w:r>
        <w:rPr/>
      </w:r>
    </w:p>
    <w:p>
      <w:pPr>
        <w:pStyle w:val="TextBody"/>
        <w:spacing w:before="0" w:after="0"/>
        <w:rPr/>
      </w:pPr>
      <w:r>
        <w:rPr/>
      </w:r>
    </w:p>
    <w:tbl>
      <w:tblPr>
        <w:tblW w:w="6597" w:type="dxa"/>
        <w:jc w:val="left"/>
        <w:tblInd w:w="0" w:type="dxa"/>
        <w:tblCellMar>
          <w:top w:w="28" w:type="dxa"/>
          <w:left w:w="28" w:type="dxa"/>
          <w:bottom w:w="28" w:type="dxa"/>
          <w:right w:w="28" w:type="dxa"/>
        </w:tblCellMar>
      </w:tblPr>
      <w:tblGrid>
        <w:gridCol w:w="591"/>
        <w:gridCol w:w="520"/>
        <w:gridCol w:w="523"/>
        <w:gridCol w:w="134"/>
        <w:gridCol w:w="134"/>
        <w:gridCol w:w="136"/>
        <w:gridCol w:w="1331"/>
        <w:gridCol w:w="1331"/>
        <w:gridCol w:w="1897"/>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31" w:type="dxa"/>
            <w:tcBorders/>
            <w:shd w:fill="auto" w:val="clear"/>
            <w:vAlign w:val="center"/>
          </w:tcPr>
          <w:p>
            <w:pPr>
              <w:pStyle w:val="TableContents"/>
              <w:spacing w:before="0" w:after="283"/>
              <w:rPr>
                <w:sz w:val="4"/>
                <w:szCs w:val="4"/>
              </w:rPr>
            </w:pPr>
            <w:r>
              <w:rPr>
                <w:sz w:val="4"/>
                <w:szCs w:val="4"/>
              </w:rPr>
            </w:r>
          </w:p>
        </w:tc>
        <w:tc>
          <w:tcPr>
            <w:tcW w:w="1331" w:type="dxa"/>
            <w:tcBorders/>
            <w:shd w:fill="auto" w:val="clear"/>
            <w:vAlign w:val="center"/>
          </w:tcPr>
          <w:p>
            <w:pPr>
              <w:pStyle w:val="TableContents"/>
              <w:spacing w:before="0" w:after="283"/>
              <w:rPr>
                <w:sz w:val="4"/>
                <w:szCs w:val="4"/>
              </w:rPr>
            </w:pPr>
            <w:r>
              <w:rPr>
                <w:sz w:val="4"/>
                <w:szCs w:val="4"/>
              </w:rPr>
            </w:r>
          </w:p>
        </w:tc>
        <w:tc>
          <w:tcPr>
            <w:tcW w:w="1897"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2023</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FORTINET, INC.</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Ken Xie</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Ken Xie, Chief Executive Officer and Chairman</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59" w:type="dxa"/>
            <w:gridSpan w:val="3"/>
            <w:tcBorders/>
            <w:shd w:fill="auto" w:val="clear"/>
            <w:tcMar>
              <w:top w:w="0" w:type="dxa"/>
              <w:left w:w="0" w:type="dxa"/>
              <w:bottom w:w="0" w:type="dxa"/>
              <w:right w:w="0" w:type="dxa"/>
            </w:tcMar>
            <w:vAlign w:val="center"/>
          </w:tcPr>
          <w:p>
            <w:pPr>
              <w:pStyle w:val="TableContents"/>
              <w:spacing w:lineRule="auto" w:line="240" w:before="100" w:after="100"/>
              <w:jc w:val="center"/>
              <w:rPr>
                <w:rFonts w:ascii="Times New Roman;sans-serif" w:hAnsi="Times New Roman;sans-serif"/>
                <w:b/>
                <w:color w:val="000000"/>
                <w:sz w:val="18"/>
              </w:rPr>
            </w:pPr>
            <w:r>
              <w:rPr>
                <w:rFonts w:ascii="Times New Roman;sans-serif" w:hAnsi="Times New Roman;sans-serif"/>
                <w:b/>
                <w:color w:val="000000"/>
                <w:sz w:val="18"/>
              </w:rPr>
              <w:t>(Duly Authorized Officer and Principal Executive Officer)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9148" w:type="dxa"/>
        <w:jc w:val="left"/>
        <w:tblInd w:w="0" w:type="dxa"/>
        <w:tblCellMar>
          <w:top w:w="28" w:type="dxa"/>
          <w:left w:w="28" w:type="dxa"/>
          <w:bottom w:w="28" w:type="dxa"/>
          <w:right w:w="28" w:type="dxa"/>
        </w:tblCellMar>
      </w:tblPr>
      <w:tblGrid>
        <w:gridCol w:w="591"/>
        <w:gridCol w:w="520"/>
        <w:gridCol w:w="523"/>
        <w:gridCol w:w="134"/>
        <w:gridCol w:w="134"/>
        <w:gridCol w:w="136"/>
        <w:gridCol w:w="2078"/>
        <w:gridCol w:w="2078"/>
        <w:gridCol w:w="2954"/>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078" w:type="dxa"/>
            <w:tcBorders/>
            <w:shd w:fill="auto" w:val="clear"/>
            <w:vAlign w:val="center"/>
          </w:tcPr>
          <w:p>
            <w:pPr>
              <w:pStyle w:val="TableContents"/>
              <w:spacing w:before="0" w:after="283"/>
              <w:rPr>
                <w:sz w:val="4"/>
                <w:szCs w:val="4"/>
              </w:rPr>
            </w:pPr>
            <w:r>
              <w:rPr>
                <w:sz w:val="4"/>
                <w:szCs w:val="4"/>
              </w:rPr>
            </w:r>
          </w:p>
        </w:tc>
        <w:tc>
          <w:tcPr>
            <w:tcW w:w="2078" w:type="dxa"/>
            <w:tcBorders/>
            <w:shd w:fill="auto" w:val="clear"/>
            <w:vAlign w:val="center"/>
          </w:tcPr>
          <w:p>
            <w:pPr>
              <w:pStyle w:val="TableContents"/>
              <w:spacing w:before="0" w:after="283"/>
              <w:rPr>
                <w:sz w:val="4"/>
                <w:szCs w:val="4"/>
              </w:rPr>
            </w:pPr>
            <w:r>
              <w:rPr>
                <w:sz w:val="4"/>
                <w:szCs w:val="4"/>
              </w:rPr>
            </w:r>
          </w:p>
        </w:tc>
        <w:tc>
          <w:tcPr>
            <w:tcW w:w="2954"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2023</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4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FORTINET, INC.</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1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Keith Jensen        </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Keith Jensen, Chief Financial Officer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0" w:type="dxa"/>
            <w:gridSpan w:val="3"/>
            <w:tcBorders/>
            <w:shd w:fill="auto" w:val="clear"/>
            <w:tcMar>
              <w:top w:w="0" w:type="dxa"/>
              <w:left w:w="0" w:type="dxa"/>
              <w:bottom w:w="0" w:type="dxa"/>
              <w:right w:w="0" w:type="dxa"/>
            </w:tcMar>
            <w:vAlign w:val="center"/>
          </w:tcPr>
          <w:p>
            <w:pPr>
              <w:pStyle w:val="TableContents"/>
              <w:spacing w:lineRule="auto" w:line="240" w:before="100" w:after="100"/>
              <w:jc w:val="center"/>
              <w:rPr>
                <w:rFonts w:ascii="Times New Roman;sans-serif" w:hAnsi="Times New Roman;sans-serif"/>
                <w:b/>
                <w:color w:val="000000"/>
                <w:sz w:val="18"/>
              </w:rPr>
            </w:pPr>
            <w:r>
              <w:rPr>
                <w:rFonts w:ascii="Times New Roman;sans-serif" w:hAnsi="Times New Roman;sans-serif"/>
                <w:b/>
                <w:color w:val="000000"/>
                <w:sz w:val="18"/>
              </w:rPr>
              <w:t>(Duly Authorized Officer and Principal Financial Officer and Principal Accounting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AMENDED AND RESTATED FORTINET, INC.</w:t>
      </w:r>
    </w:p>
    <w:p>
      <w:pPr>
        <w:pStyle w:val="TextBody"/>
        <w:spacing w:lineRule="auto" w:line="240" w:before="120" w:after="283"/>
        <w:jc w:val="center"/>
        <w:rPr>
          <w:rFonts w:ascii="Times New Roman;sans-serif" w:hAnsi="Times New Roman;sans-serif"/>
          <w:b/>
          <w:color w:val="000000"/>
          <w:sz w:val="24"/>
        </w:rPr>
      </w:pPr>
      <w:r>
        <w:rPr>
          <w:rFonts w:ascii="Times New Roman;sans-serif" w:hAnsi="Times New Roman;sans-serif"/>
          <w:b/>
          <w:color w:val="000000"/>
          <w:sz w:val="24"/>
        </w:rPr>
        <w:t>2009 EQUITY INCENTIVE PLAN</w:t>
      </w:r>
    </w:p>
    <w:p>
      <w:pPr>
        <w:pStyle w:val="TextBody"/>
        <w:spacing w:lineRule="auto" w:line="240" w:before="120" w:after="283"/>
        <w:jc w:val="center"/>
        <w:rPr>
          <w:rFonts w:ascii="Times New Roman;sans-serif" w:hAnsi="Times New Roman;sans-serif"/>
          <w:b/>
          <w:color w:val="000000"/>
          <w:sz w:val="24"/>
        </w:rPr>
      </w:pPr>
      <w:r>
        <w:rPr>
          <w:rFonts w:ascii="Times New Roman;sans-serif" w:hAnsi="Times New Roman;sans-serif"/>
          <w:b/>
          <w:color w:val="000000"/>
          <w:sz w:val="24"/>
        </w:rPr>
        <w:t>PERFORMANCE STOCK UNIT AWARD AGREEMENT</w:t>
      </w:r>
    </w:p>
    <w:p>
      <w:pPr>
        <w:pStyle w:val="TextBody"/>
        <w:spacing w:lineRule="auto" w:line="240" w:before="36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Unless otherwise defined herein, the terms defined in the Amended and Restated Fortinet, Inc. 2009 Equity Incentive Plan (the “Plan”) will have the same defined meanings in this Performance Stock Unit Award Agreement, including any country-specific terms and conditions set forth in the attached Addendum (collectively, the “Award Agreement”).</w:t>
      </w:r>
    </w:p>
    <w:p>
      <w:pPr>
        <w:pStyle w:val="TextBody"/>
        <w:spacing w:lineRule="auto" w:line="240" w:before="240" w:after="283"/>
        <w:rPr/>
      </w:pPr>
      <w:r>
        <w:rPr>
          <w:rFonts w:ascii="Times New Roman;sans-serif" w:hAnsi="Times New Roman;sans-serif"/>
          <w:b/>
          <w:color w:val="000000"/>
          <w:sz w:val="24"/>
        </w:rPr>
        <w:t>I.</w:t>
      </w:r>
      <w:r>
        <w:rPr>
          <w:rFonts w:ascii="Times New Roman;sans-serif" w:hAnsi="Times New Roman;sans-serif"/>
          <w:b/>
          <w:color w:val="000000"/>
          <w:sz w:val="24"/>
          <w:u w:val="single"/>
        </w:rPr>
        <w:t>NOTICE OF PERFORMANCE STOCK UNIT GRANT</w:t>
      </w:r>
    </w:p>
    <w:p>
      <w:pPr>
        <w:pStyle w:val="TextBody"/>
        <w:spacing w:lineRule="auto" w:line="240" w:before="240" w:after="283"/>
        <w:rPr/>
      </w:pPr>
      <w:r>
        <w:rPr>
          <w:rFonts w:ascii="Times New Roman;sans-serif" w:hAnsi="Times New Roman;sans-serif"/>
          <w:b/>
          <w:color w:val="000000"/>
          <w:sz w:val="24"/>
        </w:rPr>
        <w:t>Participant Name:</w:t>
      </w:r>
      <w:r>
        <w:rPr>
          <w:color w:val="000000"/>
        </w:rPr>
        <w:t>                    </w:t>
      </w:r>
    </w:p>
    <w:p>
      <w:pPr>
        <w:pStyle w:val="TextBody"/>
        <w:spacing w:lineRule="auto" w:line="240" w:before="240" w:after="283"/>
        <w:rPr/>
      </w:pPr>
      <w:r>
        <w:rPr>
          <w:rFonts w:ascii="Times New Roman;sans-serif" w:hAnsi="Times New Roman;sans-serif"/>
          <w:b/>
          <w:color w:val="000000"/>
          <w:sz w:val="24"/>
        </w:rPr>
        <w:t>Address:</w:t>
      </w:r>
      <w:r>
        <w:rPr>
          <w:color w:val="000000"/>
        </w:rPr>
        <w:t>                </w:t>
      </w:r>
    </w:p>
    <w:p>
      <w:pPr>
        <w:pStyle w:val="TextBody"/>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You have been granted the right to receive an Award of Performance Stock Units, the vesting of which is based on the attainment of performance goals related to the Total Shareholder Return of the Company (“PSUs”), subject to the terms and conditions of the Plan, this Award Agreement and the Performance Goal and Pay-Out Matrix (attached hereto as Exhibit B), as follows:</w:t>
      </w:r>
    </w:p>
    <w:tbl>
      <w:tblPr>
        <w:tblW w:w="3911" w:type="dxa"/>
        <w:jc w:val="left"/>
        <w:tblInd w:w="0" w:type="dxa"/>
        <w:tblCellMar>
          <w:top w:w="28" w:type="dxa"/>
          <w:left w:w="28" w:type="dxa"/>
          <w:bottom w:w="28" w:type="dxa"/>
          <w:right w:w="28" w:type="dxa"/>
        </w:tblCellMar>
      </w:tblPr>
      <w:tblGrid>
        <w:gridCol w:w="1282"/>
        <w:gridCol w:w="1127"/>
        <w:gridCol w:w="1130"/>
        <w:gridCol w:w="109"/>
        <w:gridCol w:w="109"/>
        <w:gridCol w:w="154"/>
      </w:tblGrid>
      <w:tr>
        <w:trPr/>
        <w:tc>
          <w:tcPr>
            <w:tcW w:w="1282"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Grant Number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of Grant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Performance Period Start Date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auto" w:val="clear"/>
            <w:tcMar>
              <w:top w:w="0" w:type="dxa"/>
              <w:left w:w="0" w:type="dxa"/>
              <w:bottom w:w="0" w:type="dxa"/>
              <w:right w:w="0" w:type="dxa"/>
            </w:tcMar>
            <w:vAlign w:val="center"/>
          </w:tcPr>
          <w:p>
            <w:pPr>
              <w:pStyle w:val="TableContents"/>
              <w:spacing w:lineRule="auto" w:line="288" w:before="1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Target Number of PSUs: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 One-Year Performance Period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 Two-Year Performance Period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 Three-Year Performance Period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 Four-Year Performance Period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Total Target Number</w:t>
            </w:r>
          </w:p>
        </w:tc>
        <w:tc>
          <w:tcPr>
            <w:tcW w:w="37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720"/>
        <w:rPr>
          <w:color w:val="000000"/>
        </w:rPr>
      </w:pPr>
      <w:r>
        <w:rPr>
          <w:color w:val="000000"/>
        </w:rPr>
        <w:t>        </w:t>
      </w:r>
    </w:p>
    <w:p>
      <w:pPr>
        <w:pStyle w:val="TextBody"/>
        <w:spacing w:lineRule="auto" w:line="240" w:before="240" w:after="283"/>
        <w:ind w:left="0" w:right="0" w:firstLine="720"/>
        <w:rPr/>
      </w:pPr>
      <w:r>
        <w:rPr>
          <w:rFonts w:ascii="Times New Roman;sans-serif" w:hAnsi="Times New Roman;sans-serif"/>
          <w:b w:val="false"/>
          <w:color w:val="000000"/>
          <w:sz w:val="24"/>
          <w:u w:val="single"/>
        </w:rPr>
        <w:t>Vesting Schedule</w:t>
      </w:r>
      <w:r>
        <w:rPr>
          <w:rFonts w:ascii="Times New Roman;sans-serif" w:hAnsi="Times New Roman;sans-serif"/>
          <w:b w:val="false"/>
          <w:color w:val="000000"/>
          <w:sz w:val="24"/>
        </w:rPr>
        <w:t>:</w:t>
      </w:r>
    </w:p>
    <w:p>
      <w:pPr>
        <w:pStyle w:val="TextBody"/>
        <w:spacing w:before="0" w:after="0"/>
        <w:ind w:left="0" w:right="0" w:firstLine="720"/>
        <w:jc w:val="both"/>
        <w:rPr/>
      </w:pPr>
      <w:r>
        <w:rPr/>
      </w:r>
    </w:p>
    <w:p>
      <w:pPr>
        <w:pStyle w:val="TextBody"/>
        <w:spacing w:lineRule="auto" w:line="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Subject to any acceleration provisions contained in the Plan or in this Award Agreement (including Exhibit B), any Earned PSUs (as defined in the Performance Goal and Pay-Out Matrix that is attached hereto as Exhibit B) for the One-Year Performance Period will vest on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93370"/>
                <wp:effectExtent l="0" t="0" r="0" b="0"/>
                <wp:wrapNone/>
                <wp:docPr id="78" name="Frame78"/>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407406303-v2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407406303-v2</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first day of February following the end of the One-Year Performance Period, for the Two-Year Performance Period will vest on the first day of February following the end of the Two-Year Performance Period, for the Three-Year Performance Period will vest on the first day of February following the end of the Three-Year Performance Period and any Earned PSUs for the Four-Year Performance Period will vest on the first day of February following the end of the Four-Year Performance Period, provided Participant remains a Service Provider from the Date of Grant through such vesting date.</w:t>
      </w:r>
    </w:p>
    <w:p>
      <w:pPr>
        <w:pStyle w:val="TextBody"/>
        <w:spacing w:lineRule="auto" w:line="240" w:before="1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soon as reasonably practicable after the completion of each Performance Period, the Administrator shall determine the actual level of attainment of the performance goal (the “Performance Goal”) which determines the number of Earned PSUs. On the basis of the determination or certified level of attainment of the Performance Goal, the number of PSUs that are eligible to vest shall be calculated. The Administrator retains the sole discretion to reduce the number of PSUs that would otherwise be eligible to vest based on the attainment level of the Performance Goal.</w:t>
      </w:r>
    </w:p>
    <w:p>
      <w:pPr>
        <w:pStyle w:val="TextBody"/>
        <w:spacing w:lineRule="auto" w:line="240" w:before="1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Except as otherwise provided in this Award Agreement, in the event Participant ceases to be a Service Provider for any or no reason before Participant vests in any Performance Stock Units, any such unvested Performance Stock Units and Participant’s right to acquire any Shares hereunder will immediately terminate.</w:t>
      </w:r>
    </w:p>
    <w:p>
      <w:pPr>
        <w:pStyle w:val="TextBody"/>
        <w:spacing w:before="0" w:after="0"/>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By Participant’s signature and the signature of the representative of Fortinet, Inc. (the “Company”) below, Participant and the Company agree that this Award of Performance Stock Units is granted under and governed by the terms and conditions of the Plan and this Award Agreement, including the Terms and Conditions of Performance Stock Unit Grant, attached hereto as Exhibit A and the Addendum with additional country-specific terms and conditions attached hereto, and the Performance Goal and Pay-Out Matrix attached hereto as Exhibit B all of which are made a part of this Award Agreement. Participant has reviewed the Plan and this Award</w:t>
      </w:r>
      <w:r>
        <w:rPr>
          <w:color w:val="000000"/>
        </w:rPr>
        <w:t xml:space="preserve"> </w:t>
      </w:r>
      <w:r>
        <w:rPr>
          <w:rFonts w:ascii="Times New Roman;sans-serif" w:hAnsi="Times New Roman;sans-serif"/>
          <w:b w:val="false"/>
          <w:color w:val="000000"/>
          <w:sz w:val="24"/>
        </w:rPr>
        <w:t>Agreement in their entirety, has had an opportunity to obtain the advice of counsel prior to accepting this Award Agreement and fully understands all provisions of the Plan and Award Agreement. Participant hereby agrees to accept as binding, conclusive and final all decisions or interpretations of the Administrator upon any questions relating to the Plan and Award</w:t>
      </w:r>
      <w:r>
        <w:rPr>
          <w:color w:val="000000"/>
        </w:rPr>
        <w:t xml:space="preserve"> </w:t>
      </w:r>
      <w:r>
        <w:rPr>
          <w:rFonts w:ascii="Times New Roman;sans-serif" w:hAnsi="Times New Roman;sans-serif"/>
          <w:b w:val="false"/>
          <w:color w:val="000000"/>
          <w:sz w:val="24"/>
        </w:rPr>
        <w:t>Agreement. Participant further agrees to notify the Company upon any change in the residence address indicated below.</w:t>
      </w:r>
    </w:p>
    <w:p>
      <w:pPr>
        <w:pStyle w:val="TextBody"/>
        <w:spacing w:lineRule="auto" w:line="240" w:before="0" w:after="0"/>
        <w:rPr>
          <w:color w:val="000000"/>
        </w:rPr>
      </w:pPr>
      <w:r>
        <w:rPr>
          <w:color w:val="000000"/>
        </w:rPr>
        <w:t>                                            </w:t>
      </w:r>
    </w:p>
    <w:tbl>
      <w:tblPr>
        <w:tblW w:w="4316" w:type="dxa"/>
        <w:jc w:val="left"/>
        <w:tblInd w:w="0" w:type="dxa"/>
        <w:tblCellMar>
          <w:top w:w="28" w:type="dxa"/>
          <w:left w:w="28" w:type="dxa"/>
          <w:bottom w:w="28" w:type="dxa"/>
          <w:right w:w="28" w:type="dxa"/>
        </w:tblCellMar>
      </w:tblPr>
      <w:tblGrid>
        <w:gridCol w:w="722"/>
        <w:gridCol w:w="636"/>
        <w:gridCol w:w="637"/>
        <w:gridCol w:w="109"/>
        <w:gridCol w:w="109"/>
        <w:gridCol w:w="109"/>
        <w:gridCol w:w="584"/>
        <w:gridCol w:w="584"/>
        <w:gridCol w:w="826"/>
      </w:tblGrid>
      <w:tr>
        <w:trPr/>
        <w:tc>
          <w:tcPr>
            <w:tcW w:w="722"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PARTICIPANT: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FORTINET, INC. </w:t>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Print 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Residence Address: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right"/>
        <w:rPr/>
      </w:pPr>
      <w:r>
        <w:br w:type="page"/>
      </w: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93370"/>
                <wp:effectExtent l="0" t="0" r="0" b="0"/>
                <wp:wrapNone/>
                <wp:docPr id="79" name="Frame79"/>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407406303-v2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407406303-v2</w:t>
                      </w:r>
                    </w:p>
                  </w:txbxContent>
                </v:textbox>
              </v:rect>
            </w:pict>
          </mc:Fallback>
        </mc:AlternateContent>
      </w:r>
    </w:p>
    <w:p>
      <w:pPr>
        <w:pStyle w:val="TextBody"/>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TERMS AND CONDITIONS OF PERFORMANCE STOCK UNIT GRANT</w:t>
      </w:r>
    </w:p>
    <w:p>
      <w:pPr>
        <w:pStyle w:val="TextBody"/>
        <w:spacing w:lineRule="auto" w:line="304" w:before="240" w:after="240"/>
        <w:ind w:left="0" w:right="0" w:firstLine="720"/>
        <w:jc w:val="both"/>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Grant</w:t>
      </w:r>
      <w:r>
        <w:rPr>
          <w:rFonts w:ascii="Times New Roman;sans-serif" w:hAnsi="Times New Roman;sans-serif"/>
          <w:b w:val="false"/>
          <w:color w:val="000000"/>
          <w:sz w:val="24"/>
        </w:rPr>
        <w:t>. The Company hereby grants to the individual named in the Notice of Grant</w:t>
      </w:r>
      <w:r>
        <w:rPr>
          <w:color w:val="000000"/>
        </w:rPr>
        <w:t xml:space="preserve"> </w:t>
      </w:r>
      <w:r>
        <w:rPr>
          <w:rFonts w:ascii="Times New Roman;sans-serif" w:hAnsi="Times New Roman;sans-serif"/>
          <w:b w:val="false"/>
          <w:color w:val="000000"/>
          <w:sz w:val="24"/>
        </w:rPr>
        <w:t>attached as Part I of this Award</w:t>
      </w:r>
      <w:r>
        <w:rPr>
          <w:color w:val="000000"/>
        </w:rPr>
        <w:t xml:space="preserve"> </w:t>
      </w:r>
      <w:r>
        <w:rPr>
          <w:rFonts w:ascii="Times New Roman;sans-serif" w:hAnsi="Times New Roman;sans-serif"/>
          <w:b w:val="false"/>
          <w:color w:val="000000"/>
          <w:sz w:val="24"/>
        </w:rPr>
        <w:t>Agreement (the “Participant”) under the Plan an Award of Performance Stock Units, the vesting of which is based on the attainment of the Performance Goal set forth in the Performance Goal and Pay-Out Matrix (attached as Exhibit B), subject to all of the terms and conditions in this Award</w:t>
      </w:r>
      <w:r>
        <w:rPr>
          <w:color w:val="000000"/>
        </w:rPr>
        <w:t xml:space="preserve"> </w:t>
      </w:r>
      <w:r>
        <w:rPr>
          <w:rFonts w:ascii="Times New Roman;sans-serif" w:hAnsi="Times New Roman;sans-serif"/>
          <w:b w:val="false"/>
          <w:color w:val="000000"/>
          <w:sz w:val="24"/>
        </w:rPr>
        <w:t>Agreement and the Plan, which is incorporated herein by reference. In the event of a conflict between the terms and conditions of the Plan and the terms and conditions of this Award</w:t>
      </w:r>
      <w:r>
        <w:rPr>
          <w:color w:val="000000"/>
        </w:rPr>
        <w:t xml:space="preserve"> </w:t>
      </w:r>
      <w:r>
        <w:rPr>
          <w:rFonts w:ascii="Times New Roman;sans-serif" w:hAnsi="Times New Roman;sans-serif"/>
          <w:b w:val="false"/>
          <w:color w:val="000000"/>
          <w:sz w:val="24"/>
        </w:rPr>
        <w:t>Agreement, the terms and conditions of the Plan will prevail.</w:t>
      </w:r>
    </w:p>
    <w:p>
      <w:pPr>
        <w:pStyle w:val="TextBody"/>
        <w:spacing w:lineRule="auto" w:line="288" w:before="0" w:after="0"/>
        <w:ind w:left="0" w:right="0" w:firstLine="720"/>
        <w:rPr/>
      </w:pPr>
      <w:r>
        <w:rPr>
          <w:rFonts w:ascii="Times New Roman;sans-serif" w:hAnsi="Times New Roman;sans-serif"/>
          <w:b w:val="false"/>
          <w:color w:val="000000"/>
          <w:sz w:val="24"/>
        </w:rPr>
        <w:t>2.    </w:t>
      </w:r>
      <w:r>
        <w:rPr>
          <w:rFonts w:ascii="Times New Roman;sans-serif" w:hAnsi="Times New Roman;sans-serif"/>
          <w:b w:val="false"/>
          <w:color w:val="000000"/>
          <w:sz w:val="24"/>
          <w:u w:val="single"/>
        </w:rPr>
        <w:t>Company’s Obligation to Pay</w:t>
      </w:r>
      <w:r>
        <w:rPr>
          <w:rFonts w:ascii="Times New Roman;sans-serif" w:hAnsi="Times New Roman;sans-serif"/>
          <w:b w:val="false"/>
          <w:color w:val="000000"/>
          <w:sz w:val="24"/>
        </w:rPr>
        <w:t>. Each Performance Stock Unit represents the right to receive a Share on the date it vests. Unless and until the Performance Stock Units will have vested in the manner set forth in Section 3, Participant will have no right to payment of any such Performance Stock Units. Prior to actual payment of any vested Performance Stock Units, such Performance Stock Unit will represent an unsecured obligation of the Company, payable (if at all) only from the general assets of the Company. Any Performance Stock Units that vest in accordance with Sections 3 or 4 will be paid to Participant (or in the event of Participant’s death, to his or her estate) in whole Shares, subject to Participant satisfying any Tax-Related Items as defined and as set forth in Section 6. The Company shall not be required to issue fractional Shares upon the vesting of a Performance Stock Unit. Vested Performance Stock Units will be paid in Shares as soon as practicable after vesting, but in each such case within the period ending no later than the date that is two and one-half (2½) months from the end of the Company’s tax year that includes the vesting date.</w:t>
      </w:r>
    </w:p>
    <w:p>
      <w:pPr>
        <w:pStyle w:val="TextBody"/>
        <w:spacing w:before="0" w:after="0"/>
        <w:rPr/>
      </w:pPr>
      <w:r>
        <w:rPr/>
      </w:r>
    </w:p>
    <w:p>
      <w:pPr>
        <w:pStyle w:val="TextBody"/>
        <w:spacing w:lineRule="auto" w:line="304" w:before="0" w:after="240"/>
        <w:ind w:left="0" w:right="0" w:firstLine="720"/>
        <w:jc w:val="both"/>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Vesting Schedule</w:t>
      </w:r>
      <w:r>
        <w:rPr>
          <w:rFonts w:ascii="Times New Roman;sans-serif" w:hAnsi="Times New Roman;sans-serif"/>
          <w:b w:val="false"/>
          <w:color w:val="000000"/>
          <w:sz w:val="24"/>
        </w:rPr>
        <w:t>. Except as provided in Section 4, and subject to Section 6, the Performance Stock Units awarded by this Award Agreement will vest in accordance with the vesting provisions set forth in the Notice of Grant. Performance Stock Units</w:t>
      </w:r>
      <w:r>
        <w:rPr>
          <w:color w:val="000000"/>
        </w:rPr>
        <w:t xml:space="preserve"> </w:t>
      </w:r>
      <w:r>
        <w:rPr>
          <w:rFonts w:ascii="Times New Roman;sans-serif" w:hAnsi="Times New Roman;sans-serif"/>
          <w:b w:val="false"/>
          <w:color w:val="000000"/>
          <w:sz w:val="24"/>
        </w:rPr>
        <w:t>scheduled to vest on a certain date or upon the occurrence of a certain condition will not vest in accordance with any of the provisions of this Award</w:t>
      </w:r>
      <w:r>
        <w:rPr>
          <w:color w:val="000000"/>
        </w:rPr>
        <w:t xml:space="preserve"> </w:t>
      </w:r>
      <w:r>
        <w:rPr>
          <w:rFonts w:ascii="Times New Roman;sans-serif" w:hAnsi="Times New Roman;sans-serif"/>
          <w:b w:val="false"/>
          <w:color w:val="000000"/>
          <w:sz w:val="24"/>
        </w:rPr>
        <w:t>Agreement, unless Participant will have been continuously a Service Provider from the Date of Grant until the date such vesting occurs as further described in Section 6.</w:t>
      </w:r>
    </w:p>
    <w:p>
      <w:pPr>
        <w:pStyle w:val="TextBody"/>
        <w:spacing w:lineRule="auto" w:line="276" w:before="0" w:after="240"/>
        <w:ind w:left="0" w:right="0" w:firstLine="720"/>
        <w:jc w:val="both"/>
        <w:rPr/>
      </w:pPr>
      <w:r>
        <w:rPr>
          <w:rFonts w:ascii="Times New Roman;sans-serif" w:hAnsi="Times New Roman;sans-serif"/>
          <w:b w:val="false"/>
          <w:color w:val="000000"/>
          <w:sz w:val="24"/>
        </w:rPr>
        <w:t>4.    </w:t>
      </w:r>
      <w:r>
        <w:rPr>
          <w:rFonts w:ascii="Times New Roman;sans-serif" w:hAnsi="Times New Roman;sans-serif"/>
          <w:b w:val="false"/>
          <w:color w:val="000000"/>
          <w:sz w:val="24"/>
          <w:u w:val="single"/>
        </w:rPr>
        <w:t>Administrator Discretion</w:t>
      </w:r>
      <w:r>
        <w:rPr>
          <w:rFonts w:ascii="Times New Roman;sans-serif" w:hAnsi="Times New Roman;sans-serif"/>
          <w:b w:val="false"/>
          <w:color w:val="000000"/>
          <w:sz w:val="24"/>
        </w:rPr>
        <w:t>. The Administrator, in its discretion, may accelerate the vesting of the balance, or some lesser portion of the balance, of the unvested Performance Stock Units at any time, subject to the terms of the Plan. If so accelerated, such Performance Stock Units will be considered as having vested as of the date specified by the Administrator.</w:t>
      </w:r>
    </w:p>
    <w:p>
      <w:pPr>
        <w:pStyle w:val="TextBody"/>
        <w:spacing w:lineRule="auto" w:line="276" w:before="0" w:after="240"/>
        <w:ind w:left="0" w:right="0" w:firstLine="720"/>
        <w:jc w:val="both"/>
        <w:rPr/>
      </w:pPr>
      <w:r>
        <w:rPr>
          <w:rFonts w:ascii="Times New Roman;sans-serif" w:hAnsi="Times New Roman;sans-serif"/>
          <w:b w:val="false"/>
          <w:color w:val="000000"/>
          <w:sz w:val="24"/>
        </w:rPr>
        <w:t>5.    </w:t>
      </w:r>
      <w:r>
        <w:rPr>
          <w:rFonts w:ascii="Times New Roman;sans-serif" w:hAnsi="Times New Roman;sans-serif"/>
          <w:b w:val="false"/>
          <w:color w:val="000000"/>
          <w:sz w:val="24"/>
          <w:u w:val="single"/>
        </w:rPr>
        <w:t>Dividend Equivalents</w:t>
      </w:r>
      <w:r>
        <w:rPr>
          <w:rFonts w:ascii="Times New Roman;sans-serif" w:hAnsi="Times New Roman;sans-serif"/>
          <w:b w:val="false"/>
          <w:color w:val="000000"/>
          <w:sz w:val="24"/>
        </w:rPr>
        <w:t>. Participant shall be entitled to receive the equivalent value (in cash or Shares or a combination thereof) of any dividends paid on each Share for each Earned PSU (a “Dividend Equivalent”). Dividend Equivalents will be subject to the same vesting and forfeitability restrictions to which the underlying Performance Stock Units are subject. Any Dividend Equivalent that becomes payable shall be paid at the same time that the underlying Performance Stock Unit is paid pursuant to Section 2.</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93370"/>
                <wp:effectExtent l="0" t="0" r="0" b="0"/>
                <wp:wrapNone/>
                <wp:docPr id="80" name="Frame80"/>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407406303-v2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407406303-v2</w:t>
                      </w:r>
                    </w:p>
                  </w:txbxContent>
                </v:textbox>
              </v:rect>
            </w:pict>
          </mc:Fallback>
        </mc:AlternateContent>
      </w:r>
    </w:p>
    <w:p>
      <w:pPr>
        <w:pStyle w:val="TextBody"/>
        <w:spacing w:lineRule="auto" w:line="276" w:before="0" w:after="240"/>
        <w:ind w:left="0" w:right="0" w:firstLine="720"/>
        <w:jc w:val="both"/>
        <w:rPr/>
      </w:pPr>
      <w:r>
        <w:rPr>
          <w:rFonts w:ascii="Times New Roman;sans-serif" w:hAnsi="Times New Roman;sans-serif"/>
          <w:b w:val="false"/>
          <w:color w:val="000000"/>
          <w:sz w:val="24"/>
        </w:rPr>
        <w:t>6.    </w:t>
      </w:r>
      <w:r>
        <w:rPr>
          <w:rFonts w:ascii="Times New Roman;sans-serif" w:hAnsi="Times New Roman;sans-serif"/>
          <w:b w:val="false"/>
          <w:color w:val="000000"/>
          <w:sz w:val="24"/>
          <w:u w:val="single"/>
        </w:rPr>
        <w:t>Forfeiture upon Termination of Status as a Service Provider</w:t>
      </w:r>
      <w:r>
        <w:rPr>
          <w:rFonts w:ascii="Times New Roman;sans-serif" w:hAnsi="Times New Roman;sans-serif"/>
          <w:b w:val="false"/>
          <w:color w:val="000000"/>
          <w:sz w:val="24"/>
        </w:rPr>
        <w:t>. Notwithstanding any contrary provision of this Award Agreement, the balance of the Performance Stock Units that have not vested as of the time of Participant’s termination as a Service Provider, for any or no reason and Participant’s right to acquire any Shares hereunder, will immediately terminate upon Participant’s termination as a Service Provider. For purposes of the Performance Stock Units, Participant's status as a Service Provider will be considered terminated as of the date Participant is no longer actively providing services to the Company or any Parent or Subsidiary (regardless of the reason for such termination and whether or not later to be found invalid or in breach of employment laws in the jurisdiction where Participant is employed or rendering services or the terms of Participant’s employment or service agreement, if any), and Participant’s right to vest in the Performance Stock Units under the Plan, if any, will terminate as of such date and will not be extended by any notice period (</w:t>
      </w:r>
      <w:r>
        <w:rPr>
          <w:rFonts w:ascii="Times New Roman;sans-serif" w:hAnsi="Times New Roman;sans-serif"/>
          <w:b w:val="false"/>
          <w:i/>
          <w:color w:val="000000"/>
          <w:sz w:val="24"/>
        </w:rPr>
        <w:t>e.g.</w:t>
      </w:r>
      <w:r>
        <w:rPr>
          <w:rFonts w:ascii="Times New Roman;sans-serif" w:hAnsi="Times New Roman;sans-serif"/>
          <w:b w:val="false"/>
          <w:color w:val="000000"/>
          <w:sz w:val="24"/>
        </w:rPr>
        <w:t>, Participant's period of service would not include any contractual notice period or any period of “garden leave” or similar period mandated under employment laws in the jurisdiction where Participant is employed or rendering services or the terms of Participant’s employment or service agreement, if any); the Administrator shall have the exclusive discretion to determine when Participant is no longer actively providing services for purposes of the Performance Stock Unit grant (including whether Participant may still be considered to be a Service Provider while on a leave of absence).</w:t>
      </w:r>
    </w:p>
    <w:p>
      <w:pPr>
        <w:pStyle w:val="TextBody"/>
        <w:spacing w:lineRule="auto" w:line="276" w:before="0" w:after="240"/>
        <w:ind w:left="0" w:right="0" w:firstLine="720"/>
        <w:jc w:val="both"/>
        <w:rPr/>
      </w:pPr>
      <w:r>
        <w:rPr>
          <w:rFonts w:ascii="Times New Roman;sans-serif" w:hAnsi="Times New Roman;sans-serif"/>
          <w:b w:val="false"/>
          <w:color w:val="000000"/>
          <w:sz w:val="24"/>
        </w:rPr>
        <w:t>7.    </w:t>
      </w:r>
      <w:r>
        <w:rPr>
          <w:rFonts w:ascii="Times New Roman;sans-serif" w:hAnsi="Times New Roman;sans-serif"/>
          <w:b w:val="false"/>
          <w:color w:val="000000"/>
          <w:sz w:val="24"/>
          <w:u w:val="single"/>
        </w:rPr>
        <w:t>Death of Participant</w:t>
      </w:r>
      <w:r>
        <w:rPr>
          <w:rFonts w:ascii="Times New Roman;sans-serif" w:hAnsi="Times New Roman;sans-serif"/>
          <w:b w:val="false"/>
          <w:color w:val="000000"/>
          <w:sz w:val="24"/>
        </w:rPr>
        <w:t>. Any distribution or delivery to be made to Participant under this Award Agreement will, if Participant was a U.S. resident and is then deceased, be made to Participant’s designated beneficiary, or if no beneficiary survives Participant, the administrator or executor of Participant’s estate. Any distribution or delivery to be made to Participant under this Award Agreement will, if Participant was not a U.S. resident and is then deceased, be made to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pStyle w:val="TextBody"/>
        <w:spacing w:lineRule="auto" w:line="276" w:before="0" w:after="240"/>
        <w:ind w:left="0" w:right="0" w:firstLine="720"/>
        <w:jc w:val="both"/>
        <w:rPr/>
      </w:pPr>
      <w:r>
        <w:rPr>
          <w:rFonts w:ascii="Times New Roman;sans-serif" w:hAnsi="Times New Roman;sans-serif"/>
          <w:b w:val="false"/>
          <w:color w:val="000000"/>
          <w:sz w:val="24"/>
        </w:rPr>
        <w:t>8.    </w:t>
      </w:r>
      <w:r>
        <w:rPr>
          <w:rFonts w:ascii="Times New Roman;sans-serif" w:hAnsi="Times New Roman;sans-serif"/>
          <w:b w:val="false"/>
          <w:color w:val="000000"/>
          <w:sz w:val="24"/>
          <w:u w:val="single"/>
        </w:rPr>
        <w:t>Responsibility for Taxes</w:t>
      </w:r>
      <w:r>
        <w:rPr>
          <w:rFonts w:ascii="Times New Roman;sans-serif" w:hAnsi="Times New Roman;sans-serif"/>
          <w:b w:val="false"/>
          <w:color w:val="000000"/>
          <w:sz w:val="24"/>
        </w:rPr>
        <w:t xml:space="preserve">. </w:t>
      </w:r>
    </w:p>
    <w:p>
      <w:pPr>
        <w:pStyle w:val="TextBody"/>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Participant acknowledges that, regardless of any action taken by the Company or, if different, the Parent or Subsidiary retaining or employing Participant (the “Employer”) the ultimate liability for all income tax, social insurance, payroll tax, fringe benefits tax, payment on account or other tax-related items related to Participant’s participation in the Plan and legally applicable to Participant (“Tax-Related Items”), is and remains Participant’s responsibility and may exceed the amount actually withheld by the Company or the Employer. Participant further acknowledges that the Company and/or the Employer (1) make no representations or undertakings regarding the treatment of any Tax-Related Items in connection with any aspect of the Performance Stock Units, including, but not limited to, the grant, vesting or settlement of the Performance Stock Units, the issuance of Shares upon settlement of the Performance Stock Units, the subsequent sale of Shares acquired pursuant to such settlement and the receipt of any dividends or dividend equivalents; and (2) do not commit to and are under no obligation to structure the terms of the grant or any aspect of the Performance Stock Units to reduce or eliminate Participant’s liability for Tax-Related Items or achieve any particular tax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93370"/>
                <wp:effectExtent l="0" t="0" r="0" b="0"/>
                <wp:wrapNone/>
                <wp:docPr id="81" name="Frame81"/>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407406303-v2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407406303-v2</w:t>
                      </w:r>
                    </w:p>
                  </w:txbxContent>
                </v:textbox>
              </v:rect>
            </w:pict>
          </mc:Fallback>
        </mc:AlternateContent>
      </w:r>
    </w:p>
    <w:p>
      <w:pPr>
        <w:pStyle w:val="TextBody"/>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pStyle w:val="TextBody"/>
        <w:spacing w:lineRule="auto" w:line="304" w:before="0" w:after="240"/>
        <w:ind w:left="0" w:right="0" w:firstLine="720"/>
        <w:jc w:val="both"/>
        <w:rPr/>
      </w:pPr>
      <w:r>
        <w:rPr>
          <w:rFonts w:ascii="Times New Roman;sans-serif" w:hAnsi="Times New Roman;sans-serif"/>
          <w:b w:val="false"/>
          <w:color w:val="000000"/>
          <w:sz w:val="24"/>
        </w:rPr>
        <w:t>(b)    Prior to any relevant taxable or tax withholding event, as applicable, Participant agrees to make adequate arrangements satisfactory to the Company and/or the Employer to satisfy all Tax-Related Items. In this regard, Participant authorizes the Company and/or the Employer, or their respective agents, at their discretion, to satisfy the Tax-Related Items by one or a combination of the following:</w:t>
      </w:r>
      <w:r>
        <w:rPr>
          <w:color w:val="000000"/>
        </w:rPr>
        <w:t xml:space="preserve"> </w:t>
      </w:r>
      <w:r>
        <w:rPr>
          <w:rFonts w:ascii="Times New Roman;sans-serif" w:hAnsi="Times New Roman;sans-serif"/>
          <w:b w:val="false"/>
          <w:color w:val="000000"/>
          <w:sz w:val="24"/>
        </w:rPr>
        <w:t>(i) paying cash, (ii) withholding from Participant’s wages or other cash compensation payable to Participant by the Company and/or any Parent or Subsidiary, (iii) withholding from the proceeds of a sale of Shares acquired pursuant to the Performance Stock Units, either through a voluntary sale or mandatory sale; or (iv) withholding in Shares to be issued upon vesting of the Performance Stock Units; provided, however, that if the Participant is a Section 16 officer of the Company under the Exchange Act, then the Company will withhold in Shares upon the relevant taxable or tax withholding event, as applicable, unless the use of such withholding method is not feasible under applicable tax or securities law or has materially adverse accounting consequences, in which case, any applicable obligations for Tax-Related Items may be satisfied by one or a combination of methods (i) through (iii) hereof, as determined by the Participant.</w:t>
      </w:r>
      <w:r>
        <w:rPr>
          <w:color w:val="000000"/>
        </w:rPr>
        <w:t xml:space="preserve"> </w:t>
      </w:r>
    </w:p>
    <w:p>
      <w:pPr>
        <w:pStyle w:val="TextBody"/>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Depending on the withholding method, the Company may withhold or account for Tax-Related Items by considering statutory withholding rates or other applicable withholding rates, including minimum and maximum applicable rates, in which case Participant may receive a refund of any over-withheld amount in cash and will have no entitlement to the Share equivalent. If the obligations for Tax-Related Items is satisfied by withholding in Shares, for tax purposes, Participant will be deemed to have been issued the full number of Shares subject to the vested Performance Stock Units, notwithstanding that a number of the Shares are held back solely for the purpose of paying the Tax-Related Items.</w:t>
      </w:r>
    </w:p>
    <w:p>
      <w:pPr>
        <w:pStyle w:val="TextBody"/>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Participant agrees to pay to the Company or the Employer any amount of Tax-Related Items that the Company or the Employer may be required to withhold or account for as a result of Participant’s participation in the Plan that cannot be satisfied by the means previously described. If Participant fails to make satisfactory arrangements for the payment of any required Tax-Related Items obligations hereunder, the Company may refuse to issue or deliver the Shares or the proceeds of the sale of Shares if Participant fails to comply with these obligations in connection with the Tax-Related Items.</w:t>
      </w:r>
    </w:p>
    <w:p>
      <w:pPr>
        <w:pStyle w:val="TextBody"/>
        <w:spacing w:lineRule="auto" w:line="276" w:before="0" w:after="240"/>
        <w:ind w:left="0" w:right="0" w:firstLine="720"/>
        <w:jc w:val="both"/>
        <w:rPr/>
      </w:pPr>
      <w:r>
        <w:rPr>
          <w:rFonts w:ascii="Times New Roman;sans-serif" w:hAnsi="Times New Roman;sans-serif"/>
          <w:b w:val="false"/>
          <w:color w:val="000000"/>
          <w:sz w:val="24"/>
        </w:rPr>
        <w:t>9.    </w:t>
      </w:r>
      <w:r>
        <w:rPr>
          <w:rFonts w:ascii="Times New Roman;sans-serif" w:hAnsi="Times New Roman;sans-serif"/>
          <w:b w:val="false"/>
          <w:color w:val="000000"/>
          <w:sz w:val="24"/>
          <w:u w:val="single"/>
        </w:rPr>
        <w:t>Rights as Stockholder</w:t>
      </w:r>
      <w:r>
        <w:rPr>
          <w:rFonts w:ascii="Times New Roman;sans-serif" w:hAnsi="Times New Roman;sans-serif"/>
          <w:b w:val="false"/>
          <w:color w:val="000000"/>
          <w:sz w:val="24"/>
        </w:rPr>
        <w:t xml:space="preserve">.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93370"/>
                <wp:effectExtent l="0" t="0" r="0" b="0"/>
                <wp:wrapNone/>
                <wp:docPr id="82" name="Frame82"/>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407406303-v2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407406303-v2</w:t>
                      </w:r>
                    </w:p>
                  </w:txbxContent>
                </v:textbox>
              </v:rect>
            </w:pict>
          </mc:Fallback>
        </mc:AlternateContent>
      </w:r>
    </w:p>
    <w:p>
      <w:pPr>
        <w:pStyle w:val="TextBody"/>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all the rights of a stockholder of the Company with respect to voting such Shares and receipt of dividends and distributions on such Shares.</w:t>
      </w:r>
    </w:p>
    <w:p>
      <w:pPr>
        <w:pStyle w:val="TextBody"/>
        <w:spacing w:lineRule="auto" w:line="276" w:before="0" w:after="240"/>
        <w:ind w:left="0" w:right="0" w:firstLine="720"/>
        <w:jc w:val="both"/>
        <w:rPr/>
      </w:pPr>
      <w:r>
        <w:rPr>
          <w:rFonts w:ascii="Times New Roman;sans-serif" w:hAnsi="Times New Roman;sans-serif"/>
          <w:b w:val="false"/>
          <w:color w:val="000000"/>
          <w:sz w:val="24"/>
        </w:rPr>
        <w:t>10.    </w:t>
      </w:r>
      <w:r>
        <w:rPr>
          <w:rFonts w:ascii="Times New Roman;sans-serif" w:hAnsi="Times New Roman;sans-serif"/>
          <w:b w:val="false"/>
          <w:color w:val="000000"/>
          <w:sz w:val="24"/>
          <w:u w:val="single"/>
        </w:rPr>
        <w:t>No Guarantee of Continued Service</w:t>
      </w:r>
      <w:r>
        <w:rPr>
          <w:rFonts w:ascii="Times New Roman;sans-serif" w:hAnsi="Times New Roman;sans-serif"/>
          <w:b w:val="false"/>
          <w:color w:val="000000"/>
          <w:sz w:val="24"/>
        </w:rPr>
        <w:t>. PARTICIPANT ACKNOWLEDGES AND AGREES THAT THE VESTING OF THE PERFORMANCE STOCK UNITS PUPSUANT TO THE VESTING SCHEDULE HEREOF IS EARNED ONLY BY CONTINUING AS AN ACTIVE SERVICE PROVIDER, AND NOT THROUGH THE ACT OF BEING HIRED, BEING GRANTED THIS AWARD OF PERFORMANCE STOCK UNITS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EMPLOYER) TO TERMINATE PARTICIPANT’S RELATIONSHIP AS A SERVICE PROVIDER AT ANY TIME, WITH OR WITHOUT CAUSE.</w:t>
      </w:r>
    </w:p>
    <w:p>
      <w:pPr>
        <w:pStyle w:val="TextBody"/>
        <w:spacing w:lineRule="auto" w:line="240" w:before="0" w:after="240"/>
        <w:ind w:left="0" w:right="0" w:firstLine="720"/>
        <w:jc w:val="both"/>
        <w:rPr/>
      </w:pPr>
      <w:r>
        <w:rPr>
          <w:rFonts w:ascii="Times New Roman;sans-serif" w:hAnsi="Times New Roman;sans-serif"/>
          <w:b w:val="false"/>
          <w:color w:val="000000"/>
          <w:sz w:val="24"/>
        </w:rPr>
        <w:t>11.    </w:t>
      </w:r>
      <w:r>
        <w:rPr>
          <w:rFonts w:ascii="Times New Roman;sans-serif" w:hAnsi="Times New Roman;sans-serif"/>
          <w:b w:val="false"/>
          <w:color w:val="000000"/>
          <w:sz w:val="24"/>
          <w:u w:val="single"/>
        </w:rPr>
        <w:t>Nature of Grant</w:t>
      </w:r>
      <w:r>
        <w:rPr>
          <w:rFonts w:ascii="Times New Roman;sans-serif" w:hAnsi="Times New Roman;sans-serif"/>
          <w:b w:val="false"/>
          <w:color w:val="000000"/>
          <w:sz w:val="24"/>
        </w:rPr>
        <w:t>. By accepting the Award, Participant acknowledges, understands and agrees that:</w:t>
      </w:r>
    </w:p>
    <w:p>
      <w:pPr>
        <w:pStyle w:val="TextBody"/>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a.the grant of the Performance Stock Units is exceptional, voluntary and occasional and does not create any contractual or other right to receive future grants of Performance Stock Units, or benefits in lieu of Performance Stock Units, even if Performance Stock Units have been granted in the past; </w:t>
      </w:r>
    </w:p>
    <w:p>
      <w:pPr>
        <w:pStyle w:val="TextBody"/>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b.all decisions with respect to future Performance Stock Units or other grants, if any, will be at the sole discretion of the Company; </w:t>
      </w:r>
    </w:p>
    <w:p>
      <w:pPr>
        <w:pStyle w:val="TextBody"/>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c.Participant is voluntarily participating in the Plan; </w:t>
      </w:r>
    </w:p>
    <w:p>
      <w:pPr>
        <w:pStyle w:val="TextBody"/>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d.the Performance Stock Units and the Shares subject to the Performance Stock Units, and the income and value of same, are not intended to replace any pension rights or compensation; </w:t>
      </w:r>
    </w:p>
    <w:p>
      <w:pPr>
        <w:pStyle w:val="TextBody"/>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e.the Performance Stock Units and the Shares subject to the Performance Stock Units, and the income and value of same, are not part of normal or expected compensation for purposes of calculating any severance, resignation, termination, redundancy, dismissal, end-of-service payments, bonuses, long-service awards, leave-related payments, holiday pay, pension or retirement or welfare benefits or similar mandatory payments, and in no event should be considered as compensation for, or relating in any way to, past services for the Company, the Employer, or any Parent, Subsidiary, or Affiliate; </w:t>
      </w:r>
    </w:p>
    <w:p>
      <w:pPr>
        <w:pStyle w:val="TextBody"/>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f.the future value of the underlying Shares is unknown, indeterminable and cannot be predicted with certainty; </w:t>
      </w:r>
    </w:p>
    <w:p>
      <w:pPr>
        <w:pStyle w:val="TextBody"/>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g.unless otherwise agreed with the Company, the Performance Stock Units and the Shares subject to the Performance Stock Units, and the income and value of same, are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93370"/>
                <wp:effectExtent l="0" t="0" r="0" b="0"/>
                <wp:wrapNone/>
                <wp:docPr id="83" name="Frame83"/>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407406303-v2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407406303-v2</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 granted as consideration for, or in connection with, the service Participant may provide as a director of any Parent or Subsidiary of the Company.</w:t>
      </w:r>
    </w:p>
    <w:p>
      <w:pPr>
        <w:pStyle w:val="TextBody"/>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h.no claim or entitlement to compensation or damages shall arise from forfeiture of the Performance Stock Units or the recoupment of any of any Shares acquired under the Plan resulting from (1) the termination of Participant's status as a Service Provider (regardless of the reason for the termination and whether or not later found to be invalid or in breach of employment laws in the jurisdiction where Participant is employed or rendering services or the terms of Participant’s employment or service agreement, if any); and /or (2) the application of any recoupment policy or any recovery or clawback policy otherwise required by law;</w:t>
      </w:r>
    </w:p>
    <w:p>
      <w:pPr>
        <w:pStyle w:val="TextBody"/>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i.unless otherwise provided in the Plan or by the Company in its discretion, the Performance Stock Units and the benefits evidenced by this Agreement do not create any entitlement to have the Performance Stock Units or any such benefits transferred to, or assumed by, another company nor be exchanged, cashed out or substituted for, in connection with any corporate transaction affecting the Shares; and</w:t>
      </w:r>
    </w:p>
    <w:p>
      <w:pPr>
        <w:pStyle w:val="TextBody"/>
        <w:spacing w:before="0" w:after="0"/>
        <w:jc w:val="both"/>
        <w:rPr/>
      </w:pPr>
      <w:r>
        <w:rPr/>
      </w:r>
    </w:p>
    <w:p>
      <w:pPr>
        <w:pStyle w:val="TextBody"/>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j.the following provisions apply only if Participant is providing services outside the United States:</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(i)    the Performance Stock Units and the Shares subject to the Performance Stock Units are not part of normal or expected compensation or salary for any purpose; and</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(ii)    Participant acknowledges and agrees that neither the Company, the Employer nor any Parent or Subsidiary shall be liable for any foreign exchange rate fluctuation between Participant’s local currency and the United States Dollar that may affect the value of the Performance Stock Units or of any amounts due to Participant pursuant to the settlement of the Performance Stock Units or the subsequent sale of any Shares acquired upon settlement.</w:t>
      </w:r>
    </w:p>
    <w:p>
      <w:pPr>
        <w:pStyle w:val="TextBody"/>
        <w:spacing w:before="0" w:after="0"/>
        <w:jc w:val="both"/>
        <w:rPr/>
      </w:pPr>
      <w:r>
        <w:rPr/>
      </w:r>
    </w:p>
    <w:p>
      <w:pPr>
        <w:pStyle w:val="TextBody"/>
        <w:spacing w:lineRule="auto" w:line="240" w:before="0" w:after="240"/>
        <w:ind w:left="0" w:right="0" w:firstLine="720"/>
        <w:jc w:val="both"/>
        <w:rPr/>
      </w:pPr>
      <w:r>
        <w:rPr>
          <w:rFonts w:ascii="Times New Roman;sans-serif" w:hAnsi="Times New Roman;sans-serif"/>
          <w:b w:val="false"/>
          <w:color w:val="000000"/>
          <w:sz w:val="24"/>
        </w:rPr>
        <w:t>12.    </w:t>
      </w:r>
      <w:r>
        <w:rPr>
          <w:rFonts w:ascii="Times New Roman;sans-serif" w:hAnsi="Times New Roman;sans-serif"/>
          <w:b w:val="false"/>
          <w:color w:val="000000"/>
          <w:sz w:val="24"/>
          <w:u w:val="single"/>
        </w:rPr>
        <w:t>No Advice Regarding Grant</w:t>
      </w:r>
      <w:r>
        <w:rPr>
          <w:rFonts w:ascii="Times New Roman;sans-serif" w:hAnsi="Times New Roman;sans-serif"/>
          <w:b w:val="false"/>
          <w:color w:val="000000"/>
          <w:sz w:val="24"/>
        </w:rPr>
        <w:t>. The Company is not providing any tax, legal or financial advice, nor is the Company making any recommendations regarding Participant’s participation in the Plan, or Participant’s acquisition or sale of the underlying Shares. Participant understands and agrees he or she should consult with his or her own personal tax, legal and financial advisors regarding his or her participation in the Plan before taking any action related to the Plan.</w:t>
      </w:r>
    </w:p>
    <w:p>
      <w:pPr>
        <w:pStyle w:val="TextBody"/>
        <w:spacing w:lineRule="auto" w:line="240" w:before="0" w:after="0"/>
        <w:ind w:left="0" w:right="0" w:firstLine="720"/>
        <w:jc w:val="both"/>
        <w:rPr/>
      </w:pPr>
      <w:r>
        <w:rPr>
          <w:rFonts w:ascii="Times New Roman;sans-serif" w:hAnsi="Times New Roman;sans-serif"/>
          <w:b w:val="false"/>
          <w:color w:val="000000"/>
          <w:sz w:val="24"/>
        </w:rPr>
        <w:t>13.</w:t>
      </w:r>
      <w:r>
        <w:rPr>
          <w:color w:val="000000"/>
        </w:rPr>
        <w:t xml:space="preserve">     </w:t>
      </w:r>
      <w:r>
        <w:rPr>
          <w:rFonts w:ascii="Times New Roman;sans-serif" w:hAnsi="Times New Roman;sans-serif"/>
          <w:b/>
          <w:i/>
          <w:color w:val="000000"/>
          <w:sz w:val="24"/>
          <w:u w:val="single"/>
        </w:rPr>
        <w:t>Data Privacy</w:t>
      </w:r>
      <w:r>
        <w:rPr>
          <w:rFonts w:ascii="Times New Roman;sans-serif" w:hAnsi="Times New Roman;sans-serif"/>
          <w:b w:val="false"/>
          <w:color w:val="000000"/>
          <w:sz w:val="24"/>
        </w:rPr>
        <w:t>.</w:t>
      </w:r>
      <w:r>
        <w:rPr>
          <w:color w:val="000000"/>
        </w:rPr>
        <w:t xml:space="preserve"> </w:t>
      </w:r>
      <w:r>
        <w:rPr>
          <w:rFonts w:ascii="Times New Roman;sans-serif" w:hAnsi="Times New Roman;sans-serif"/>
          <w:b/>
          <w:i/>
          <w:color w:val="000000"/>
          <w:sz w:val="24"/>
        </w:rPr>
        <w:t>Participant hereby explicitly and unambiguously consents to the collection, use and transfer, in electronic or other form, of Participant’s personal data as described in this Award Agreement and any other Performance Stock Unit grant materials by and among, as applicable, the Employer, the Company and any Parent or Subsidiary for the purpose of implementing, administering and managing Participant’s participation in the Plan.</w:t>
      </w:r>
    </w:p>
    <w:p>
      <w:pPr>
        <w:pStyle w:val="TextBody"/>
        <w:spacing w:before="0" w:after="0"/>
        <w:ind w:left="0" w:right="0" w:firstLine="720"/>
        <w:jc w:val="both"/>
        <w:rPr/>
      </w:pPr>
      <w:r>
        <w:rPr/>
      </w:r>
    </w:p>
    <w:p>
      <w:pPr>
        <w:pStyle w:val="TextBody"/>
        <w:spacing w:lineRule="auto" w:line="240"/>
        <w:ind w:left="0" w:right="0" w:firstLine="720"/>
        <w:jc w:val="both"/>
        <w:rPr>
          <w:rFonts w:ascii="Times New Roman;sans-serif" w:hAnsi="Times New Roman;sans-serif"/>
          <w:b/>
          <w:i/>
          <w:color w:val="000000"/>
          <w:sz w:val="24"/>
        </w:rPr>
      </w:pPr>
      <w:r>
        <w:rPr>
          <w:rFonts w:ascii="Times New Roman;sans-serif" w:hAnsi="Times New Roman;sans-serif"/>
          <w:b/>
          <w:i/>
          <w:color w:val="000000"/>
          <w:sz w:val="24"/>
        </w:rPr>
        <w:t xml:space="preserve">Participant understands that the Company and the Employer may hold certain personal information about Participant, including, but not limited to, Participant’s name, home address, email address and telephone number, date of birth, social insurance number, passport or other identification number, salary, nationality, job title, any shares of stock or directorships held in the Company, details of all Performance Stock Units or any other entitlement to shares of stock awarded, canceled, exercised, vested, unvested or outstanding in Participant’s favor (“Data”), for the exclusive purpose of implementing, administering and managing the Plan.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93370"/>
                <wp:effectExtent l="0" t="0" r="0" b="0"/>
                <wp:wrapNone/>
                <wp:docPr id="84" name="Frame84"/>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407406303-v2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407406303-v2</w:t>
                      </w:r>
                    </w:p>
                  </w:txbxContent>
                </v:textbox>
              </v:rect>
            </w:pict>
          </mc:Fallback>
        </mc:AlternateConten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i/>
          <w:color w:val="000000"/>
          <w:sz w:val="24"/>
        </w:rPr>
      </w:pPr>
      <w:r>
        <w:rPr>
          <w:rFonts w:ascii="Times New Roman;sans-serif" w:hAnsi="Times New Roman;sans-serif"/>
          <w:b/>
          <w:i/>
          <w:color w:val="000000"/>
          <w:sz w:val="24"/>
        </w:rPr>
        <w:t>Participant understands that Data will be transferred to Charles Schwab &amp; Co., Inc., or such other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its broker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employment or service and career with the Employer will not be affected; the only consequence of refusing or withdrawing Participant’s consent is that the Company would not be able to grant Participant Performance Stock Units or other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pStyle w:val="TextBody"/>
        <w:spacing w:before="0" w:after="0"/>
        <w:rPr/>
      </w:pPr>
      <w:r>
        <w:rPr/>
      </w:r>
    </w:p>
    <w:p>
      <w:pPr>
        <w:pStyle w:val="TextBody"/>
        <w:spacing w:lineRule="auto" w:line="240" w:before="0" w:after="240"/>
        <w:ind w:left="0" w:right="0" w:firstLine="720"/>
        <w:jc w:val="both"/>
        <w:rPr/>
      </w:pPr>
      <w:r>
        <w:rPr>
          <w:rFonts w:ascii="Times New Roman;sans-serif" w:hAnsi="Times New Roman;sans-serif"/>
          <w:b w:val="false"/>
          <w:color w:val="000000"/>
          <w:sz w:val="24"/>
        </w:rPr>
        <w:t xml:space="preserve">14. </w:t>
      </w:r>
      <w:r>
        <w:rPr>
          <w:rFonts w:ascii="Times New Roman;sans-serif" w:hAnsi="Times New Roman;sans-serif"/>
          <w:b w:val="false"/>
          <w:color w:val="000000"/>
          <w:sz w:val="24"/>
          <w:u w:val="single"/>
        </w:rPr>
        <w:t>Change in Control</w:t>
      </w:r>
      <w:r>
        <w:rPr>
          <w:rFonts w:ascii="Times New Roman;sans-serif" w:hAnsi="Times New Roman;sans-serif"/>
          <w:b w:val="false"/>
          <w:color w:val="000000"/>
          <w:sz w:val="24"/>
        </w:rPr>
        <w:t>. The Performance Stock Units are subject to the Change in Control provisions included in the Performance Goal and Pay-Out Matrix attached hereto as Exhibit B and any Change in Control agreement entered into between Participant, the Company or any Parent or Subsidiary.</w:t>
      </w:r>
    </w:p>
    <w:p>
      <w:pPr>
        <w:pStyle w:val="TextBody"/>
        <w:spacing w:lineRule="auto" w:line="276" w:before="0" w:after="240"/>
        <w:ind w:left="0" w:right="0" w:firstLine="720"/>
        <w:jc w:val="both"/>
        <w:rPr/>
      </w:pPr>
      <w:r>
        <w:rPr>
          <w:rFonts w:ascii="Times New Roman;sans-serif" w:hAnsi="Times New Roman;sans-serif"/>
          <w:b w:val="false"/>
          <w:color w:val="000000"/>
          <w:sz w:val="24"/>
        </w:rPr>
        <w:t>15.    </w:t>
      </w:r>
      <w:r>
        <w:rPr>
          <w:rFonts w:ascii="Times New Roman;sans-serif" w:hAnsi="Times New Roman;sans-serif"/>
          <w:b w:val="false"/>
          <w:color w:val="000000"/>
          <w:sz w:val="24"/>
          <w:u w:val="single"/>
        </w:rPr>
        <w:t>Address for Notices</w:t>
      </w:r>
      <w:r>
        <w:rPr>
          <w:rFonts w:ascii="Times New Roman;sans-serif" w:hAnsi="Times New Roman;sans-serif"/>
          <w:b w:val="false"/>
          <w:color w:val="000000"/>
          <w:sz w:val="24"/>
        </w:rPr>
        <w:t>. Any notice to be given to the Company under the terms of this Award Agreement will be addressed to the Company, in care of Stock Administration at Fortinet, Inc., at 899 Kifer Road, Sunnyvale, CA 94086, or at such other address as the Company may hereafter designate in writing.</w:t>
      </w:r>
    </w:p>
    <w:p>
      <w:pPr>
        <w:pStyle w:val="TextBody"/>
        <w:spacing w:lineRule="auto" w:line="276" w:before="0" w:after="240"/>
        <w:ind w:left="0" w:right="0" w:firstLine="720"/>
        <w:jc w:val="both"/>
        <w:rPr/>
      </w:pPr>
      <w:r>
        <w:rPr>
          <w:rFonts w:ascii="Times New Roman;sans-serif" w:hAnsi="Times New Roman;sans-serif"/>
          <w:b w:val="false"/>
          <w:color w:val="000000"/>
          <w:sz w:val="24"/>
        </w:rPr>
        <w:t>16.    </w:t>
      </w:r>
      <w:r>
        <w:rPr>
          <w:rFonts w:ascii="Times New Roman;sans-serif" w:hAnsi="Times New Roman;sans-serif"/>
          <w:b w:val="false"/>
          <w:color w:val="000000"/>
          <w:sz w:val="24"/>
          <w:u w:val="single"/>
        </w:rPr>
        <w:t>Grant is Not Transferable</w:t>
      </w:r>
      <w:r>
        <w:rPr>
          <w:rFonts w:ascii="Times New Roman;sans-serif" w:hAnsi="Times New Roman;sans-serif"/>
          <w:b w:val="false"/>
          <w:color w:val="000000"/>
          <w:sz w:val="24"/>
        </w:rPr>
        <w:t>. Except to the limited extent provided in Section 7,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pStyle w:val="TextBody"/>
        <w:spacing w:lineRule="auto" w:line="304" w:before="0" w:after="240"/>
        <w:ind w:left="0" w:right="0" w:firstLine="720"/>
        <w:jc w:val="both"/>
        <w:rPr/>
      </w:pPr>
      <w:r>
        <w:rPr>
          <w:rFonts w:ascii="Times New Roman;sans-serif" w:hAnsi="Times New Roman;sans-serif"/>
          <w:b w:val="false"/>
          <w:color w:val="000000"/>
          <w:sz w:val="24"/>
        </w:rPr>
        <w:t>17.    </w:t>
      </w:r>
      <w:r>
        <w:rPr>
          <w:rFonts w:ascii="Times New Roman;sans-serif" w:hAnsi="Times New Roman;sans-serif"/>
          <w:b w:val="false"/>
          <w:color w:val="000000"/>
          <w:sz w:val="24"/>
          <w:u w:val="single"/>
        </w:rPr>
        <w:t>Binding Agreement</w:t>
      </w:r>
      <w:r>
        <w:rPr>
          <w:rFonts w:ascii="Times New Roman;sans-serif" w:hAnsi="Times New Roman;sans-serif"/>
          <w:b w:val="false"/>
          <w:color w:val="000000"/>
          <w:sz w:val="24"/>
        </w:rPr>
        <w:t>. Subject to the limitation on the transferability of this grant contained herein, this Award</w:t>
      </w:r>
      <w:r>
        <w:rPr>
          <w:color w:val="000000"/>
        </w:rPr>
        <w:t xml:space="preserve"> </w:t>
      </w:r>
      <w:r>
        <w:rPr>
          <w:rFonts w:ascii="Times New Roman;sans-serif" w:hAnsi="Times New Roman;sans-serif"/>
          <w:b w:val="false"/>
          <w:color w:val="000000"/>
          <w:sz w:val="24"/>
        </w:rPr>
        <w:t>Agreement will be binding upon and inure to the benefit of the heirs, legatees, legal representatives, successors and assigns of the parties hereto.</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93370"/>
                <wp:effectExtent l="0" t="0" r="0" b="0"/>
                <wp:wrapNone/>
                <wp:docPr id="85" name="Frame85"/>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407406303-v2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407406303-v2</w:t>
                      </w:r>
                    </w:p>
                  </w:txbxContent>
                </v:textbox>
              </v:rect>
            </w:pict>
          </mc:Fallback>
        </mc:AlternateContent>
      </w:r>
    </w:p>
    <w:p>
      <w:pPr>
        <w:pStyle w:val="TextBody"/>
        <w:spacing w:lineRule="auto" w:line="276" w:before="0" w:after="240"/>
        <w:ind w:left="0" w:right="0" w:firstLine="720"/>
        <w:jc w:val="both"/>
        <w:rPr/>
      </w:pPr>
      <w:r>
        <w:rPr>
          <w:rFonts w:ascii="Times New Roman;sans-serif" w:hAnsi="Times New Roman;sans-serif"/>
          <w:b w:val="false"/>
          <w:color w:val="000000"/>
          <w:sz w:val="24"/>
        </w:rPr>
        <w:t>18.    </w:t>
      </w:r>
      <w:r>
        <w:rPr>
          <w:rFonts w:ascii="Times New Roman;sans-serif" w:hAnsi="Times New Roman;sans-serif"/>
          <w:b w:val="false"/>
          <w:color w:val="000000"/>
          <w:sz w:val="24"/>
          <w:u w:val="single"/>
        </w:rPr>
        <w:t>Additional Conditions to Issuance of Stock</w:t>
      </w:r>
      <w:r>
        <w:rPr>
          <w:rFonts w:ascii="Times New Roman;sans-serif" w:hAnsi="Times New Roman;sans-serif"/>
          <w:b w:val="false"/>
          <w:color w:val="000000"/>
          <w:sz w:val="24"/>
        </w:rPr>
        <w:t xml:space="preserve">. If at any time the Company will determine, in its discretion, that the listing, registration or qualification of the Shares upon any securities exchange or under any U.S. state or federal or foreign law, or the consent or approval of any governmental regulatory authority is necessary or desirable as a condition to the issuance of Shares to Participant (or his or her estate or beneficiary, if applicable), such issuance will not occur unless and until such listing, registration, qualification, consent or approval will have been effected or obtained free of any conditions not acceptable to the Company. Where the Company determines that the delivery of the payment of any Shares will violate U.S. federal securities laws or other Applicable Laws, the Company will defer delivery until the earliest date at which the Company reasonably anticipates that the delivery of Shares will no longer cause such violation. </w:t>
      </w:r>
    </w:p>
    <w:p>
      <w:pPr>
        <w:pStyle w:val="TextBody"/>
        <w:spacing w:lineRule="auto" w:line="276" w:before="0" w:after="240"/>
        <w:ind w:left="0" w:right="0" w:firstLine="720"/>
        <w:jc w:val="both"/>
        <w:rPr/>
      </w:pPr>
      <w:r>
        <w:rPr>
          <w:rFonts w:ascii="Times New Roman;sans-serif" w:hAnsi="Times New Roman;sans-serif"/>
          <w:b w:val="false"/>
          <w:color w:val="000000"/>
          <w:sz w:val="24"/>
        </w:rPr>
        <w:t>19.    </w:t>
      </w:r>
      <w:r>
        <w:rPr>
          <w:rFonts w:ascii="Times New Roman;sans-serif" w:hAnsi="Times New Roman;sans-serif"/>
          <w:b w:val="false"/>
          <w:color w:val="000000"/>
          <w:sz w:val="24"/>
          <w:u w:val="single"/>
        </w:rPr>
        <w:t>Plan Governs</w:t>
      </w:r>
      <w:r>
        <w:rPr>
          <w:rFonts w:ascii="Times New Roman;sans-serif" w:hAnsi="Times New Roman;sans-serif"/>
          <w:b w:val="false"/>
          <w:color w:val="000000"/>
          <w:sz w:val="24"/>
        </w:rPr>
        <w:t>. This Award Agreement is subject to all terms and provisions of the Plan. In the event of a conflict between one or more provisions of this Award Agreement and one or more provisions of the Plan, the provisions of the Plan will govern. Capitalized terms used and not defined in this Award Agreement will have the meaning set forth in the Plan.</w:t>
      </w:r>
    </w:p>
    <w:p>
      <w:pPr>
        <w:pStyle w:val="TextBody"/>
        <w:spacing w:lineRule="auto" w:line="280" w:before="0" w:after="240"/>
        <w:ind w:left="0" w:right="0" w:firstLine="720"/>
        <w:jc w:val="both"/>
        <w:rPr/>
      </w:pPr>
      <w:r>
        <w:rPr>
          <w:rFonts w:ascii="Times New Roman;sans-serif" w:hAnsi="Times New Roman;sans-serif"/>
          <w:b w:val="false"/>
          <w:color w:val="000000"/>
          <w:sz w:val="24"/>
        </w:rPr>
        <w:t>20.    </w:t>
      </w:r>
      <w:r>
        <w:rPr>
          <w:rFonts w:ascii="Times New Roman;sans-serif" w:hAnsi="Times New Roman;sans-serif"/>
          <w:b w:val="false"/>
          <w:color w:val="000000"/>
          <w:sz w:val="24"/>
          <w:u w:val="single"/>
        </w:rPr>
        <w:t>Administrator Authority</w:t>
      </w:r>
      <w:r>
        <w:rPr>
          <w:rFonts w:ascii="Times New Roman;sans-serif" w:hAnsi="Times New Roman;sans-serif"/>
          <w:b w:val="false"/>
          <w:color w:val="000000"/>
          <w:sz w:val="24"/>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Performance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w:t>
      </w:r>
      <w:r>
        <w:rPr>
          <w:color w:val="000000"/>
        </w:rPr>
        <w:t xml:space="preserve"> </w:t>
      </w:r>
      <w:r>
        <w:rPr>
          <w:rFonts w:ascii="Times New Roman;sans-serif" w:hAnsi="Times New Roman;sans-serif"/>
          <w:b w:val="false"/>
          <w:color w:val="000000"/>
          <w:sz w:val="24"/>
        </w:rPr>
        <w:t>Agreement.</w:t>
      </w:r>
    </w:p>
    <w:p>
      <w:pPr>
        <w:pStyle w:val="TextBody"/>
        <w:spacing w:lineRule="auto" w:line="276" w:before="0" w:after="240"/>
        <w:ind w:left="0" w:right="0" w:firstLine="720"/>
        <w:jc w:val="both"/>
        <w:rPr/>
      </w:pPr>
      <w:r>
        <w:rPr>
          <w:rFonts w:ascii="Times New Roman;sans-serif" w:hAnsi="Times New Roman;sans-serif"/>
          <w:b w:val="false"/>
          <w:color w:val="000000"/>
          <w:sz w:val="24"/>
        </w:rPr>
        <w:t>21.    </w:t>
      </w:r>
      <w:r>
        <w:rPr>
          <w:rFonts w:ascii="Times New Roman;sans-serif" w:hAnsi="Times New Roman;sans-serif"/>
          <w:b w:val="false"/>
          <w:color w:val="000000"/>
          <w:sz w:val="24"/>
          <w:u w:val="single"/>
        </w:rPr>
        <w:t>Electronic Delivery</w:t>
      </w:r>
      <w:r>
        <w:rPr>
          <w:rFonts w:ascii="Times New Roman;sans-serif" w:hAnsi="Times New Roman;sans-serif"/>
          <w:b w:val="false"/>
          <w:color w:val="000000"/>
          <w:sz w:val="24"/>
        </w:rPr>
        <w:t>. The Company may, in its sole discretion, decide to deliver any documents related to Performance Stock Units awarded under the Plan or future Performance Stock Units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pStyle w:val="TextBody"/>
        <w:spacing w:lineRule="auto" w:line="276" w:before="0" w:after="240"/>
        <w:ind w:left="0" w:right="0" w:firstLine="720"/>
        <w:jc w:val="both"/>
        <w:rPr/>
      </w:pPr>
      <w:r>
        <w:rPr>
          <w:rFonts w:ascii="Times New Roman;sans-serif" w:hAnsi="Times New Roman;sans-serif"/>
          <w:b w:val="false"/>
          <w:color w:val="000000"/>
          <w:sz w:val="24"/>
        </w:rPr>
        <w:t>22.    </w:t>
      </w:r>
      <w:r>
        <w:rPr>
          <w:rFonts w:ascii="Times New Roman;sans-serif" w:hAnsi="Times New Roman;sans-serif"/>
          <w:b w:val="false"/>
          <w:color w:val="000000"/>
          <w:sz w:val="24"/>
          <w:u w:val="single"/>
        </w:rPr>
        <w:t>Captions</w:t>
      </w:r>
      <w:r>
        <w:rPr>
          <w:rFonts w:ascii="Times New Roman;sans-serif" w:hAnsi="Times New Roman;sans-serif"/>
          <w:b w:val="false"/>
          <w:color w:val="000000"/>
          <w:sz w:val="24"/>
        </w:rPr>
        <w:t>. Captions provided herein are for convenience only and are not to serve as a basis for interpretation or construction of this Award Agreement.</w:t>
      </w:r>
    </w:p>
    <w:p>
      <w:pPr>
        <w:pStyle w:val="TextBody"/>
        <w:spacing w:lineRule="auto" w:line="304" w:before="0" w:after="240"/>
        <w:ind w:left="0" w:right="0" w:firstLine="720"/>
        <w:jc w:val="both"/>
        <w:rPr/>
      </w:pPr>
      <w:r>
        <w:rPr>
          <w:rFonts w:ascii="Times New Roman;sans-serif" w:hAnsi="Times New Roman;sans-serif"/>
          <w:b w:val="false"/>
          <w:color w:val="000000"/>
          <w:sz w:val="24"/>
        </w:rPr>
        <w:t>23.    </w:t>
      </w:r>
      <w:r>
        <w:rPr>
          <w:rFonts w:ascii="Times New Roman;sans-serif" w:hAnsi="Times New Roman;sans-serif"/>
          <w:b w:val="false"/>
          <w:color w:val="000000"/>
          <w:sz w:val="24"/>
          <w:u w:val="single"/>
        </w:rPr>
        <w:t>Agreement Severable</w:t>
      </w:r>
      <w:r>
        <w:rPr>
          <w:rFonts w:ascii="Times New Roman;sans-serif" w:hAnsi="Times New Roman;sans-serif"/>
          <w:b w:val="false"/>
          <w:color w:val="000000"/>
          <w:sz w:val="24"/>
        </w:rPr>
        <w:t>. In the event that any provision in this Award</w:t>
      </w:r>
      <w:r>
        <w:rPr>
          <w:color w:val="000000"/>
        </w:rPr>
        <w:t xml:space="preserve"> </w:t>
      </w:r>
      <w:r>
        <w:rPr>
          <w:rFonts w:ascii="Times New Roman;sans-serif" w:hAnsi="Times New Roman;sans-serif"/>
          <w:b w:val="false"/>
          <w:color w:val="000000"/>
          <w:sz w:val="24"/>
        </w:rPr>
        <w:t>Agreement will be held invalid or unenforceable, such provision will be severable from, and such invalidity or unenforceability will not be construed to have any effect on, the remaining provisions of this Award Agreement.</w:t>
      </w:r>
    </w:p>
    <w:p>
      <w:pPr>
        <w:pStyle w:val="TextBody"/>
        <w:spacing w:lineRule="auto" w:line="256" w:before="0" w:after="240"/>
        <w:ind w:left="0" w:right="0" w:firstLine="720"/>
        <w:jc w:val="both"/>
        <w:rPr/>
      </w:pPr>
      <w:r>
        <w:rPr>
          <w:rFonts w:ascii="Times New Roman;sans-serif" w:hAnsi="Times New Roman;sans-serif"/>
          <w:b w:val="false"/>
          <w:color w:val="000000"/>
          <w:sz w:val="24"/>
        </w:rPr>
        <w:t>24.    </w:t>
      </w:r>
      <w:r>
        <w:rPr>
          <w:rFonts w:ascii="Times New Roman;sans-serif" w:hAnsi="Times New Roman;sans-serif"/>
          <w:b w:val="false"/>
          <w:color w:val="000000"/>
          <w:sz w:val="24"/>
          <w:u w:val="single"/>
        </w:rPr>
        <w:t>Modifications to the Agreement</w:t>
      </w:r>
      <w:r>
        <w:rPr>
          <w:rFonts w:ascii="Times New Roman;sans-serif" w:hAnsi="Times New Roman;sans-serif"/>
          <w:b w:val="false"/>
          <w:color w:val="000000"/>
          <w:sz w:val="24"/>
        </w:rPr>
        <w:t>. This Award</w:t>
      </w:r>
      <w:r>
        <w:rPr>
          <w:color w:val="000000"/>
        </w:rPr>
        <w:t xml:space="preserve"> </w:t>
      </w:r>
      <w:r>
        <w:rPr>
          <w:rFonts w:ascii="Times New Roman;sans-serif" w:hAnsi="Times New Roman;sans-serif"/>
          <w:b w:val="false"/>
          <w:color w:val="000000"/>
          <w:sz w:val="24"/>
        </w:rPr>
        <w:t>Agreement constitutes the entire understanding of the parties on the subjects covered. Participant expressly warrants that he or she is not accepting this Award</w:t>
      </w:r>
      <w:r>
        <w:rPr>
          <w:color w:val="000000"/>
        </w:rPr>
        <w:t xml:space="preserve"> </w:t>
      </w:r>
      <w:r>
        <w:rPr>
          <w:rFonts w:ascii="Times New Roman;sans-serif" w:hAnsi="Times New Roman;sans-serif"/>
          <w:b w:val="false"/>
          <w:color w:val="000000"/>
          <w:sz w:val="24"/>
        </w:rPr>
        <w:t xml:space="preserve">Agreement in reliance on any promises, representations, or inducements other than those contained herein. The Company may amend the terms of this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93370"/>
                <wp:effectExtent l="0" t="0" r="0" b="0"/>
                <wp:wrapNone/>
                <wp:docPr id="86" name="Frame86"/>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407406303-v2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407406303-v2</w:t>
                      </w:r>
                    </w:p>
                  </w:txbxContent>
                </v:textbox>
              </v:rect>
            </w:pict>
          </mc:Fallback>
        </mc:AlternateContent>
      </w:r>
    </w:p>
    <w:p>
      <w:pPr>
        <w:pStyle w:val="TextBody"/>
        <w:spacing w:lineRule="auto" w:line="256" w:before="0" w:after="240"/>
        <w:jc w:val="both"/>
        <w:rPr/>
      </w:pPr>
      <w:r>
        <w:rPr>
          <w:rFonts w:ascii="Times New Roman;sans-serif" w:hAnsi="Times New Roman;sans-serif"/>
          <w:b w:val="false"/>
          <w:color w:val="000000"/>
          <w:sz w:val="24"/>
        </w:rPr>
        <w:t>Award Agreement, provided no amendment or modification that adversely affects the Participant’s rights under the Award in any material way may be made without the Participant’s written consent. Notwithstanding anything to the contrary in the Plan or this Award</w:t>
      </w:r>
      <w:r>
        <w:rPr>
          <w:color w:val="000000"/>
        </w:rPr>
        <w:t xml:space="preserve"> </w:t>
      </w:r>
      <w:r>
        <w:rPr>
          <w:rFonts w:ascii="Times New Roman;sans-serif" w:hAnsi="Times New Roman;sans-serif"/>
          <w:b w:val="false"/>
          <w:color w:val="000000"/>
          <w:sz w:val="24"/>
        </w:rPr>
        <w:t>Agreement, the Company reserves the right to revise this Award Agreement as it deems necessary or advisable, in its sole discretion and without the consent of Participant, to the extent necessary or desirable to facilitate compliance with Applicable Laws or to comply with Section 409A or to otherwise avoid imposition of any additional tax or income recognition under Section 409A in connection to this Award of Performance Stock Units, but the Company shall not be under any obligation to make any such revision. Furthermore, nothing in this Award Agreement or the Plan shall provide a basis for any person to take action against the Company or any Parent or Subsidiary based on matters covered by Section 409A, including the tax treatment of any Performance Stock Unit settled or amount paid or Performance Stock Units granted under this Award Agreement, and neither the Company nor any Parent or Subsidiary shall under any circumstances have any liability to Participant or his or her estate or any other party for any taxes, penalties or interest due on amounts paid or payable under this Award Agreement, including taxes, penalties or interest imposed under Section 409A.</w:t>
      </w:r>
    </w:p>
    <w:p>
      <w:pPr>
        <w:pStyle w:val="TextBody"/>
        <w:spacing w:lineRule="auto" w:line="240" w:before="0" w:after="240"/>
        <w:ind w:left="0" w:right="0" w:firstLine="720"/>
        <w:jc w:val="both"/>
        <w:rPr/>
      </w:pPr>
      <w:r>
        <w:rPr>
          <w:rFonts w:ascii="Times New Roman;sans-serif" w:hAnsi="Times New Roman;sans-serif"/>
          <w:b w:val="false"/>
          <w:color w:val="000000"/>
          <w:sz w:val="24"/>
        </w:rPr>
        <w:t>25.    </w:t>
      </w:r>
      <w:r>
        <w:rPr>
          <w:rFonts w:ascii="Times New Roman;sans-serif" w:hAnsi="Times New Roman;sans-serif"/>
          <w:b w:val="false"/>
          <w:color w:val="000000"/>
          <w:sz w:val="24"/>
          <w:u w:val="single"/>
        </w:rPr>
        <w:t>Amendment, Suspension or Termination of the Plan</w:t>
      </w:r>
      <w:r>
        <w:rPr>
          <w:rFonts w:ascii="Times New Roman;sans-serif" w:hAnsi="Times New Roman;sans-serif"/>
          <w:b w:val="false"/>
          <w:color w:val="000000"/>
          <w:sz w:val="24"/>
        </w:rPr>
        <w:t>. By accepting this Award, Participant expressly warrants that he or she has received an Award of Performance Stock Units under the Plan, and has received, read and understood a description of the Plan. Participant understands that the Plan is discretionary in nature and may be amended, suspended or terminated by the Company at any time.</w:t>
      </w:r>
    </w:p>
    <w:p>
      <w:pPr>
        <w:pStyle w:val="TextBody"/>
        <w:spacing w:lineRule="auto" w:line="240" w:before="0" w:after="240"/>
        <w:ind w:left="0" w:right="0" w:firstLine="720"/>
        <w:jc w:val="both"/>
        <w:rPr/>
      </w:pPr>
      <w:r>
        <w:rPr>
          <w:rFonts w:ascii="Times New Roman;sans-serif" w:hAnsi="Times New Roman;sans-serif"/>
          <w:b w:val="false"/>
          <w:color w:val="000000"/>
          <w:sz w:val="24"/>
        </w:rPr>
        <w:t>26.    </w:t>
      </w:r>
      <w:r>
        <w:rPr>
          <w:rFonts w:ascii="Times New Roman;sans-serif" w:hAnsi="Times New Roman;sans-serif"/>
          <w:b w:val="false"/>
          <w:color w:val="000000"/>
          <w:sz w:val="24"/>
          <w:u w:val="single"/>
        </w:rPr>
        <w:t>Governing Law and Venue</w:t>
      </w:r>
      <w:r>
        <w:rPr>
          <w:rFonts w:ascii="Times New Roman;sans-serif" w:hAnsi="Times New Roman;sans-serif"/>
          <w:b w:val="false"/>
          <w:color w:val="000000"/>
          <w:sz w:val="24"/>
        </w:rPr>
        <w:t>. This Award Agreement will be governed by the laws of the State of California, without giving effect to the conflict of law principles thereof. For purposes of litigating any dispute that arises under this Award of Restricted Stock or this Award Agreement, the parties hereby submit to and consent to the jurisdiction of the State of California</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and agree that such litigation will be conducted in the courts of Santa Clara County, California</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or the federal courts for the United States for the Northern District of California, and no other courts, where this Award of Restricted Stock is made and/or to be performed.</w:t>
      </w:r>
    </w:p>
    <w:p>
      <w:pPr>
        <w:pStyle w:val="TextBody"/>
        <w:spacing w:lineRule="auto" w:line="240" w:before="0" w:after="240"/>
        <w:ind w:left="0" w:right="0" w:firstLine="720"/>
        <w:jc w:val="both"/>
        <w:rPr/>
      </w:pPr>
      <w:r>
        <w:rPr>
          <w:rFonts w:ascii="Times New Roman;sans-serif" w:hAnsi="Times New Roman;sans-serif"/>
          <w:b w:val="false"/>
          <w:color w:val="000000"/>
          <w:sz w:val="24"/>
        </w:rPr>
        <w:t>27.    </w:t>
      </w:r>
      <w:r>
        <w:rPr>
          <w:rFonts w:ascii="Times New Roman;sans-serif" w:hAnsi="Times New Roman;sans-serif"/>
          <w:b w:val="false"/>
          <w:color w:val="000000"/>
          <w:sz w:val="24"/>
          <w:u w:val="single"/>
        </w:rPr>
        <w:t>Language</w:t>
      </w:r>
      <w:r>
        <w:rPr>
          <w:rFonts w:ascii="Times New Roman;sans-serif" w:hAnsi="Times New Roman;sans-serif"/>
          <w:b w:val="false"/>
          <w:color w:val="000000"/>
          <w:sz w:val="24"/>
        </w:rPr>
        <w:t>. Participant acknowledges that he or she is proficient in the English language, or has consulted with an advisor who is sufficiently proficient in English, so as to allow Participant to understand the terms and conditions of this Award Agreement. If Participant has received this Award Agreement or any other document related to the Plan translated into a language other than English and if the meaning of the translated version is different than the English version, the English version will control unless otherwise required by Applicable Laws.</w:t>
      </w:r>
    </w:p>
    <w:p>
      <w:pPr>
        <w:pStyle w:val="TextBody"/>
        <w:spacing w:lineRule="auto" w:line="240" w:before="0" w:after="240"/>
        <w:ind w:left="0" w:right="0" w:firstLine="720"/>
        <w:jc w:val="both"/>
        <w:rPr/>
      </w:pPr>
      <w:r>
        <w:rPr>
          <w:rFonts w:ascii="Times New Roman;sans-serif" w:hAnsi="Times New Roman;sans-serif"/>
          <w:b w:val="false"/>
          <w:color w:val="000000"/>
          <w:sz w:val="24"/>
        </w:rPr>
        <w:t>28.    </w:t>
      </w:r>
      <w:r>
        <w:rPr>
          <w:rFonts w:ascii="Times New Roman;sans-serif" w:hAnsi="Times New Roman;sans-serif"/>
          <w:b w:val="false"/>
          <w:color w:val="000000"/>
          <w:sz w:val="24"/>
          <w:u w:val="single"/>
        </w:rPr>
        <w:t>Addendum</w:t>
      </w:r>
      <w:r>
        <w:rPr>
          <w:rFonts w:ascii="Times New Roman;sans-serif" w:hAnsi="Times New Roman;sans-serif"/>
          <w:b w:val="false"/>
          <w:color w:val="000000"/>
          <w:sz w:val="24"/>
        </w:rPr>
        <w:t>. Notwithstanding any provisions in the Award Agreement, the Performance Stock Unit grant shall be subject to any additional terms and conditions set forth in the Addendum, attached hereto, for Participant’s country. Moreover, if Participant relocates to one of the countries included in the Addendum, the terms and conditions for such country, if any, will apply to Participant, to the extent the Company determines that the application of such terms and conditions is necessary or advisable for legal or administrative reasons. The Addendum constitutes part of the Award Agreement.</w:t>
      </w:r>
    </w:p>
    <w:p>
      <w:pPr>
        <w:pStyle w:val="TextBody"/>
        <w:spacing w:lineRule="auto" w:line="240"/>
        <w:ind w:left="0" w:right="0" w:firstLine="720"/>
        <w:jc w:val="both"/>
        <w:rPr/>
      </w:pPr>
      <w:r>
        <w:rPr>
          <w:rFonts w:ascii="Times New Roman;sans-serif" w:hAnsi="Times New Roman;sans-serif"/>
          <w:b w:val="false"/>
          <w:color w:val="000000"/>
          <w:sz w:val="24"/>
        </w:rPr>
        <w:t>29.    </w:t>
      </w:r>
      <w:r>
        <w:rPr>
          <w:rFonts w:ascii="Times New Roman;sans-serif" w:hAnsi="Times New Roman;sans-serif"/>
          <w:b w:val="false"/>
          <w:color w:val="000000"/>
          <w:sz w:val="24"/>
          <w:u w:val="single"/>
        </w:rPr>
        <w:t>Imposition of Other Requirements</w:t>
      </w:r>
      <w:r>
        <w:rPr>
          <w:rFonts w:ascii="Times New Roman;sans-serif" w:hAnsi="Times New Roman;sans-serif"/>
          <w:b w:val="false"/>
          <w:color w:val="000000"/>
          <w:sz w:val="24"/>
        </w:rPr>
        <w:t>. The Company reserves the right to impose other requirements on Participant’s participation in the Plan, on the Performance Stock Unit and on any Shares acquired under the Plan, to the extent the Company determines it is necessary or advisable for legal or administrative reasons, and to require Participant</w:t>
      </w:r>
      <w:r>
        <w:rPr>
          <w:color w:val="000000"/>
        </w:rPr>
        <w:t xml:space="preserve"> </w:t>
      </w:r>
      <w:r>
        <w:rPr>
          <w:rFonts w:ascii="Times New Roman;sans-serif" w:hAnsi="Times New Roman;sans-serif"/>
          <w:b w:val="false"/>
          <w:color w:val="000000"/>
          <w:sz w:val="24"/>
        </w:rPr>
        <w:t>to sign any additional agreements or undertakings that may be necessary to accomplish the foregoing.</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93370"/>
                <wp:effectExtent l="0" t="0" r="0" b="0"/>
                <wp:wrapNone/>
                <wp:docPr id="87" name="Frame87"/>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407406303-v2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407406303-v2</w:t>
                      </w:r>
                    </w:p>
                  </w:txbxContent>
                </v:textbox>
              </v:rect>
            </w:pict>
          </mc:Fallback>
        </mc:AlternateConten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30.    </w:t>
      </w:r>
      <w:r>
        <w:rPr>
          <w:rFonts w:ascii="Times New Roman;sans-serif" w:hAnsi="Times New Roman;sans-serif"/>
          <w:b w:val="false"/>
          <w:color w:val="000000"/>
          <w:sz w:val="24"/>
          <w:u w:val="single"/>
        </w:rPr>
        <w:t>Insider Trading / Market Abuse Restrictions</w:t>
      </w:r>
      <w:r>
        <w:rPr>
          <w:rFonts w:ascii="Times New Roman;sans-serif" w:hAnsi="Times New Roman;sans-serif"/>
          <w:b w:val="false"/>
          <w:color w:val="000000"/>
          <w:sz w:val="24"/>
        </w:rPr>
        <w:t>. Depending on Participant’s country of residence or the designated broker's country or the country where the Shares are listed, Participant may be subject to insider trading restrictions and/or market abuse laws in applicable jurisdictions, which may affect Participant’s ability to, directly or indirectly, accept, acquire, sell, attempt to sell or otherwise dispose of Shares or rights to Shares (</w:t>
      </w:r>
      <w:r>
        <w:rPr>
          <w:rFonts w:ascii="Times New Roman;sans-serif" w:hAnsi="Times New Roman;sans-serif"/>
          <w:b w:val="false"/>
          <w:i/>
          <w:color w:val="000000"/>
          <w:sz w:val="24"/>
        </w:rPr>
        <w:t>e.g.</w:t>
      </w:r>
      <w:r>
        <w:rPr>
          <w:rFonts w:ascii="Times New Roman;sans-serif" w:hAnsi="Times New Roman;sans-serif"/>
          <w:b w:val="false"/>
          <w:color w:val="000000"/>
          <w:sz w:val="24"/>
        </w:rPr>
        <w:t>, the Performance Stock Units) under the Plan during such times as Participant is considered to have “inside information” regarding the Company (as defined by the laws in the applicable jurisdictions or Participant’s country). Local insider trading laws and regulations may prohibit the cancellation or amendment of orders Participant placed before Participant possessed inside information. Furthermore, Participant could be prohibited from (i) disclosing the inside information to any third party and (ii) “tipping” third parties or causing them otherwise to buy or sell securities (third parties may include fellow employees). Any restrictions under these laws or regulations are separate from and in addition to any restrictions that may be imposed under any applicable Company insider trading policy. Participant is responsible for ensuring Participant’s compliance with any applicable restrictions and is advised to speak with his or her personal legal advisor on this matter.</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31.    </w:t>
      </w:r>
      <w:r>
        <w:rPr>
          <w:rFonts w:ascii="Times New Roman;sans-serif" w:hAnsi="Times New Roman;sans-serif"/>
          <w:b w:val="false"/>
          <w:color w:val="000000"/>
          <w:sz w:val="24"/>
          <w:u w:val="single"/>
        </w:rPr>
        <w:t>Foreign Asset/Account, Exchange Control, and Tax Reporting</w:t>
      </w:r>
      <w:r>
        <w:rPr>
          <w:rFonts w:ascii="Times New Roman;sans-serif" w:hAnsi="Times New Roman;sans-serif"/>
          <w:b w:val="false"/>
          <w:color w:val="000000"/>
          <w:sz w:val="24"/>
        </w:rPr>
        <w:t>. Depending on Participant’s country, Participant may be subject to foreign asset/account, exchange control and/or tax reporting requirements as a result of the vesting of the Performance Stock Units, the acquisition, holding, and/or transfer of Shares or cash resulting from participation in the Plan and/or the opening and maintenance of a brokerage or bank account in connection with the Plan. Participant may be required to report such assets, accounts, account balances and values and/or related transactions to the applicable authorities in his or her country. Participant also may be required to repatriate sale proceeds from the sale of Shares or other funds received as a result of participation in the Plan to Participant’s country through a designated bank or broker within a certain time after receipt. In addition, Participant agrees to take any and all actions required by the Company or any Parent or Subsidiary or the local laws, rules and regulations in the Participant’s country of residence (and country of employment, if different) that may be required to comply with such laws, rules and regulations. Participant acknowledges that he or she is responsible for ensuring compliance with any applicable foreign asset/account, exchange control and tax reporting requirements. Participant further understands that he or she should consult Participant’s personal legal advisor on these matters.</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32.    </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Participant acknowledges that a waiver by the Company of breach of any provision of this Award Agreement shall not operate or be construed as a waiver of any other provision of this Award Agreement, or of any subsequent breach by Participant or any other Participant.</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33.    </w:t>
      </w:r>
      <w:r>
        <w:rPr>
          <w:rFonts w:ascii="Times New Roman;sans-serif" w:hAnsi="Times New Roman;sans-serif"/>
          <w:b w:val="false"/>
          <w:color w:val="000000"/>
          <w:sz w:val="24"/>
          <w:u w:val="single"/>
        </w:rPr>
        <w:t>Recovery of Erroneously Awarded Compensation</w:t>
      </w:r>
      <w:r>
        <w:rPr>
          <w:rFonts w:ascii="Times New Roman;sans-serif" w:hAnsi="Times New Roman;sans-serif"/>
          <w:b w:val="false"/>
          <w:color w:val="000000"/>
          <w:sz w:val="24"/>
        </w:rPr>
        <w:t xml:space="preserve">. As an additional condition of receiving this Award, Participant agrees that the Performance Stock Unit and any proceeds or other benefits Participant may receive hereunder shall be subject to clawback, recovery or recoupment provisions by the Company to the extent and in the manner required (i) under the terms of any clawback policy adopted by the Company, as may be amended from time to time, pursuant to the listing standards and/or the rules and regulations of any national securities exchange or association on which the Shares are listed, or (ii) to comply with any requirements imposed under Applicable Laws including, without limitation, the Dodd-Frank Wall Street Reform and Consumer Protection Act. Further, as the Committee determines necessary or appropriate, the Committee may impose a reacquisition right with respect to previously-acquired Shares or other cash or property upon the occurrence of cause (as determined by the Committee). </w:t>
      </w:r>
    </w:p>
    <w:p>
      <w:pPr>
        <w:pStyle w:val="TextBody"/>
        <w:spacing w:before="0" w:after="0"/>
        <w:jc w:val="both"/>
        <w:rPr/>
      </w:pPr>
      <w:r>
        <w:rPr/>
      </w:r>
    </w:p>
    <w:p>
      <w:pPr>
        <w:pStyle w:val="TextBody"/>
        <w:spacing w:lineRule="auto" w:line="240"/>
        <w:jc w:val="center"/>
        <w:rPr>
          <w:rFonts w:ascii="Times New Roman;sans-serif" w:hAnsi="Times New Roman;sans-serif"/>
          <w:b/>
          <w:color w:val="000000"/>
          <w:sz w:val="20"/>
        </w:rPr>
      </w:pPr>
      <w:r>
        <w:rPr>
          <w:rFonts w:ascii="Times New Roman;sans-serif" w:hAnsi="Times New Roman;sans-serif"/>
          <w:b/>
          <w:color w:val="000000"/>
          <w:sz w:val="20"/>
        </w:rPr>
        <w:t>* *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93370"/>
                <wp:effectExtent l="0" t="0" r="0" b="0"/>
                <wp:wrapNone/>
                <wp:docPr id="88" name="Frame88"/>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407406303-v2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407406303-v2</w:t>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B</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PERFORMANCE GOAL AND PAY-OUT MATRIX</w:t>
        <w:br/>
        <w:t>PERFORMANCE STOCK UNIT AWARD AGREEMENT</w:t>
      </w:r>
    </w:p>
    <w:p>
      <w:pPr>
        <w:pStyle w:val="TextBody"/>
        <w:spacing w:lineRule="auto" w:line="240" w:before="0" w:after="120"/>
        <w:jc w:val="both"/>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Performance Periods</w:t>
      </w:r>
      <w:r>
        <w:rPr>
          <w:color w:val="000000"/>
        </w:rPr>
        <w:t xml:space="preserve"> </w:t>
      </w:r>
      <w:r>
        <w:rPr>
          <w:rFonts w:ascii="Times New Roman;sans-serif" w:hAnsi="Times New Roman;sans-serif"/>
          <w:b w:val="false"/>
          <w:color w:val="000000"/>
          <w:sz w:val="24"/>
        </w:rPr>
        <w:t>- Each Tranche has a separate Performance Period:</w:t>
      </w:r>
    </w:p>
    <w:p>
      <w:pPr>
        <w:pStyle w:val="TextBody"/>
        <w:spacing w:lineRule="auto" w:line="240"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Tranche 1: One-Year Performance Period: January 1, 2023 – December 31, 2023</w:t>
      </w:r>
    </w:p>
    <w:p>
      <w:pPr>
        <w:pStyle w:val="TextBody"/>
        <w:spacing w:lineRule="auto" w:line="240"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Tranche 2: Two-Year Performance Period: January 1, 2023 – December 31, 2024</w:t>
      </w:r>
    </w:p>
    <w:p>
      <w:pPr>
        <w:pStyle w:val="TextBody"/>
        <w:spacing w:lineRule="auto" w:line="240"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Tranche 3: Three-Year Performance Period: January 1, 2023 – December 31, 2025</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Tranche 4: Four-Year Performance Period: January 1, 2023 – December 31, 2026</w:t>
      </w:r>
    </w:p>
    <w:p>
      <w:pPr>
        <w:pStyle w:val="TextBody"/>
        <w:spacing w:lineRule="auto" w:line="240" w:before="0" w:after="240"/>
        <w:jc w:val="both"/>
        <w:rPr/>
      </w:pPr>
      <w:r>
        <w:rPr>
          <w:rFonts w:ascii="Times New Roman;sans-serif" w:hAnsi="Times New Roman;sans-serif"/>
          <w:b w:val="false"/>
          <w:color w:val="000000"/>
          <w:sz w:val="24"/>
        </w:rPr>
        <w:t>2.    </w:t>
      </w:r>
      <w:r>
        <w:rPr>
          <w:rFonts w:ascii="Times New Roman;sans-serif" w:hAnsi="Times New Roman;sans-serif"/>
          <w:b w:val="false"/>
          <w:color w:val="000000"/>
          <w:sz w:val="24"/>
          <w:u w:val="single"/>
        </w:rPr>
        <w:t>Performance Goal/Calculation of Earned PSUs</w:t>
      </w:r>
      <w:r>
        <w:rPr>
          <w:rFonts w:ascii="Times New Roman;sans-serif" w:hAnsi="Times New Roman;sans-serif"/>
          <w:b w:val="false"/>
          <w:color w:val="000000"/>
          <w:sz w:val="24"/>
        </w:rPr>
        <w:t>. The PSUs will be earned based on the relative level of achievement of the Company’s total shareholder return (“TSR”) as compared to the TSR of the companies that comprise the S&amp;P 500 as of January 1, 2023 (the “Index Companies”), over the applicable Performance Period, expressed in terms of the Company’s percentile rank (“Percentile Rank”) among the Index Companies, with TSR calculated as follows:</w:t>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TSR = [(Ending Share Price – Beginning Share Price) + Dividends] / Beginning Share Price</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Beginning Share Price will be the average closing sale price of a Share as adjusted for dividends, for all trading days during a 30-consecutive trading day period ending on December 30, 2022, the trading day immediately prior to January 1, 2023, the first day of the total Performance Period.</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Ending Share Price will be the average closing sale price of common stock, as adjusted for dividends, for all trading days during a 30-consecutive trading day period ending on final trading day of the applicable Performance Period.</w:t>
      </w:r>
    </w:p>
    <w:p>
      <w:pPr>
        <w:pStyle w:val="TextBody"/>
        <w:spacing w:lineRule="auto" w:line="240" w:before="0" w:after="240"/>
        <w:jc w:val="both"/>
        <w:rPr/>
      </w:pPr>
      <w:r>
        <w:rPr>
          <w:rFonts w:ascii="Times New Roman;sans-serif" w:hAnsi="Times New Roman;sans-serif"/>
          <w:b w:val="false"/>
          <w:color w:val="000000"/>
          <w:sz w:val="24"/>
        </w:rPr>
        <w:t>If any of the Index Companies listed above no longer has a measurable TSR (</w:t>
      </w:r>
      <w:r>
        <w:rPr>
          <w:rFonts w:ascii="Times New Roman;sans-serif" w:hAnsi="Times New Roman;sans-serif"/>
          <w:b w:val="false"/>
          <w:i/>
          <w:color w:val="000000"/>
          <w:sz w:val="24"/>
        </w:rPr>
        <w:t>e.g</w:t>
      </w:r>
      <w:r>
        <w:rPr>
          <w:rFonts w:ascii="Times New Roman;sans-serif" w:hAnsi="Times New Roman;sans-serif"/>
          <w:b w:val="false"/>
          <w:color w:val="000000"/>
          <w:sz w:val="24"/>
        </w:rPr>
        <w:t>., delisted, acquired, or underwent a material spin-out or other disposition) as of the date of calculation of the achievement of TSR by the Company, such Index Company will be removed from the calculation.</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number of PSUs that vest shall be equal to the Target Number of PSUs subject to the applicable Performance Period, multiplied by the Award Multiplier for the applicable Performance Period (the “Earned PSUs”).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93370"/>
                <wp:effectExtent l="0" t="0" r="0" b="0"/>
                <wp:wrapNone/>
                <wp:docPr id="89" name="Frame89"/>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407406303-v2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407406303-v2</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2067"/>
        <w:gridCol w:w="1816"/>
        <w:gridCol w:w="1824"/>
        <w:gridCol w:w="1313"/>
        <w:gridCol w:w="1313"/>
        <w:gridCol w:w="1872"/>
      </w:tblGrid>
      <w:tr>
        <w:trPr/>
        <w:tc>
          <w:tcPr>
            <w:tcW w:w="2067" w:type="dxa"/>
            <w:tcBorders/>
            <w:shd w:fill="auto" w:val="clear"/>
            <w:vAlign w:val="center"/>
          </w:tcPr>
          <w:p>
            <w:pPr>
              <w:pStyle w:val="TableContents"/>
              <w:spacing w:before="0" w:after="283"/>
              <w:rPr>
                <w:sz w:val="4"/>
                <w:szCs w:val="4"/>
              </w:rPr>
            </w:pPr>
            <w:r>
              <w:rPr>
                <w:sz w:val="4"/>
                <w:szCs w:val="4"/>
              </w:rPr>
            </w:r>
          </w:p>
        </w:tc>
        <w:tc>
          <w:tcPr>
            <w:tcW w:w="1816" w:type="dxa"/>
            <w:tcBorders/>
            <w:shd w:fill="auto" w:val="clear"/>
            <w:vAlign w:val="center"/>
          </w:tcPr>
          <w:p>
            <w:pPr>
              <w:pStyle w:val="TableContents"/>
              <w:spacing w:before="0" w:after="283"/>
              <w:rPr>
                <w:sz w:val="4"/>
                <w:szCs w:val="4"/>
              </w:rPr>
            </w:pPr>
            <w:r>
              <w:rPr>
                <w:sz w:val="4"/>
                <w:szCs w:val="4"/>
              </w:rPr>
            </w:r>
          </w:p>
        </w:tc>
        <w:tc>
          <w:tcPr>
            <w:tcW w:w="1824" w:type="dxa"/>
            <w:tcBorders/>
            <w:shd w:fill="auto" w:val="clear"/>
            <w:vAlign w:val="center"/>
          </w:tcPr>
          <w:p>
            <w:pPr>
              <w:pStyle w:val="TableContents"/>
              <w:spacing w:before="0" w:after="283"/>
              <w:rPr>
                <w:sz w:val="4"/>
                <w:szCs w:val="4"/>
              </w:rPr>
            </w:pPr>
            <w:r>
              <w:rPr>
                <w:sz w:val="4"/>
                <w:szCs w:val="4"/>
              </w:rPr>
            </w:r>
          </w:p>
        </w:tc>
        <w:tc>
          <w:tcPr>
            <w:tcW w:w="1313" w:type="dxa"/>
            <w:tcBorders/>
            <w:shd w:fill="auto" w:val="clear"/>
            <w:vAlign w:val="center"/>
          </w:tcPr>
          <w:p>
            <w:pPr>
              <w:pStyle w:val="TableContents"/>
              <w:spacing w:before="0" w:after="283"/>
              <w:rPr>
                <w:sz w:val="4"/>
                <w:szCs w:val="4"/>
              </w:rPr>
            </w:pPr>
            <w:r>
              <w:rPr>
                <w:sz w:val="4"/>
                <w:szCs w:val="4"/>
              </w:rPr>
            </w:r>
          </w:p>
        </w:tc>
        <w:tc>
          <w:tcPr>
            <w:tcW w:w="1313" w:type="dxa"/>
            <w:tcBorders/>
            <w:shd w:fill="auto" w:val="clear"/>
            <w:vAlign w:val="center"/>
          </w:tcPr>
          <w:p>
            <w:pPr>
              <w:pStyle w:val="TableContents"/>
              <w:spacing w:before="0" w:after="283"/>
              <w:rPr>
                <w:sz w:val="4"/>
                <w:szCs w:val="4"/>
              </w:rPr>
            </w:pPr>
            <w:r>
              <w:rPr>
                <w:sz w:val="4"/>
                <w:szCs w:val="4"/>
              </w:rPr>
            </w:r>
          </w:p>
        </w:tc>
        <w:tc>
          <w:tcPr>
            <w:tcW w:w="1872" w:type="dxa"/>
            <w:tcBorders/>
            <w:shd w:fill="auto" w:val="clear"/>
            <w:vAlign w:val="center"/>
          </w:tcPr>
          <w:p>
            <w:pPr>
              <w:pStyle w:val="TableContents"/>
              <w:spacing w:before="0" w:after="283"/>
              <w:rPr>
                <w:sz w:val="4"/>
                <w:szCs w:val="4"/>
              </w:rPr>
            </w:pPr>
            <w:r>
              <w:rPr>
                <w:sz w:val="4"/>
                <w:szCs w:val="4"/>
              </w:rPr>
            </w:r>
          </w:p>
        </w:tc>
      </w:tr>
      <w:tr>
        <w:trPr/>
        <w:tc>
          <w:tcPr>
            <w:tcW w:w="5707"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2"/>
              </w:rPr>
            </w:pPr>
            <w:r>
              <w:rPr>
                <w:rFonts w:ascii="Times New Roman;sans-serif" w:hAnsi="Times New Roman;sans-serif"/>
                <w:b/>
                <w:color w:val="000000"/>
                <w:sz w:val="22"/>
              </w:rPr>
              <w:t>Percentile Rank vs S&amp;P 500 Companies</w:t>
            </w:r>
          </w:p>
        </w:tc>
        <w:tc>
          <w:tcPr>
            <w:tcW w:w="4498"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60" w:after="60"/>
              <w:jc w:val="center"/>
              <w:rPr>
                <w:rFonts w:ascii="Times New Roman;sans-serif" w:hAnsi="Times New Roman;sans-serif"/>
                <w:b/>
                <w:color w:val="000000"/>
                <w:sz w:val="22"/>
              </w:rPr>
            </w:pPr>
            <w:r>
              <w:rPr>
                <w:rFonts w:ascii="Times New Roman;sans-serif" w:hAnsi="Times New Roman;sans-serif"/>
                <w:b/>
                <w:color w:val="000000"/>
                <w:sz w:val="22"/>
              </w:rPr>
              <w:t>Award Multiplier</w:t>
              <w:br/>
              <w:t>(PSU Vesting as % of Target)</w:t>
            </w:r>
          </w:p>
        </w:tc>
      </w:tr>
      <w:tr>
        <w:trPr/>
        <w:tc>
          <w:tcPr>
            <w:tcW w:w="5707"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75th percentile or greater</w:t>
            </w:r>
          </w:p>
        </w:tc>
        <w:tc>
          <w:tcPr>
            <w:tcW w:w="4498"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200%</w:t>
            </w:r>
          </w:p>
        </w:tc>
      </w:tr>
      <w:tr>
        <w:trPr/>
        <w:tc>
          <w:tcPr>
            <w:tcW w:w="5707"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50th percentile to 75th percentile</w:t>
            </w:r>
          </w:p>
        </w:tc>
        <w:tc>
          <w:tcPr>
            <w:tcW w:w="4498"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tc>
      </w:tr>
      <w:tr>
        <w:trPr/>
        <w:tc>
          <w:tcPr>
            <w:tcW w:w="5707"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25th percentile to 50th percentile</w:t>
            </w:r>
          </w:p>
        </w:tc>
        <w:tc>
          <w:tcPr>
            <w:tcW w:w="4498"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50%</w:t>
            </w:r>
          </w:p>
        </w:tc>
      </w:tr>
      <w:tr>
        <w:trPr/>
        <w:tc>
          <w:tcPr>
            <w:tcW w:w="5707"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Less than 25th percentile</w:t>
            </w:r>
          </w:p>
        </w:tc>
        <w:tc>
          <w:tcPr>
            <w:tcW w:w="4498"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w:t>
            </w:r>
          </w:p>
        </w:tc>
      </w:tr>
      <w:tr>
        <w:trPr/>
        <w:tc>
          <w:tcPr>
            <w:tcW w:w="10205" w:type="dxa"/>
            <w:gridSpan w:val="6"/>
            <w:tcBorders>
              <w:top w:val="single" w:sz="4" w:space="0" w:color="000000"/>
              <w:left w:val="single" w:sz="4" w:space="0" w:color="000000"/>
              <w:bottom w:val="single" w:sz="4" w:space="0" w:color="000000"/>
              <w:right w:val="single" w:sz="4" w:space="0" w:color="000000"/>
            </w:tcBorders>
            <w:shd w:fill="auto" w:val="clear"/>
            <w:tcMar>
              <w:top w:w="30" w:type="dxa"/>
              <w:left w:w="75" w:type="dxa"/>
              <w:bottom w:w="3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Relative TSR ranking achievement between levels, each as set forth in the table above, will be measured on a straight-line interpolation basis, and the corresponding Award Multiplier will likewise be determined on a corresponding straight-line interpolation basis.</w:t>
            </w:r>
          </w:p>
        </w:tc>
      </w:tr>
    </w:tbl>
    <w:p>
      <w:pPr>
        <w:pStyle w:val="TextBody"/>
        <w:spacing w:lineRule="auto" w:line="240" w:before="240" w:after="240"/>
        <w:ind w:left="0" w:right="0" w:firstLine="720"/>
        <w:jc w:val="both"/>
        <w:rPr/>
      </w:pPr>
      <w:r>
        <w:rPr>
          <w:rFonts w:ascii="Times New Roman;sans-serif" w:hAnsi="Times New Roman;sans-serif"/>
          <w:b w:val="false"/>
          <w:color w:val="000000"/>
          <w:sz w:val="24"/>
        </w:rPr>
        <w:t xml:space="preserve">Each Tranche can only be achieved in its Performance Period. </w:t>
      </w:r>
      <w:r>
        <w:rPr>
          <w:rFonts w:ascii="Times New Roman;sans-serif" w:hAnsi="Times New Roman;sans-serif"/>
          <w:b w:val="false"/>
          <w:i/>
          <w:color w:val="000000"/>
          <w:sz w:val="24"/>
        </w:rPr>
        <w:t>E.g.</w:t>
      </w:r>
      <w:r>
        <w:rPr>
          <w:rFonts w:ascii="Times New Roman;sans-serif" w:hAnsi="Times New Roman;sans-serif"/>
          <w:b w:val="false"/>
          <w:color w:val="000000"/>
          <w:sz w:val="24"/>
        </w:rPr>
        <w:t>, if Tranche 1 is achieved at 50%, 50% of the Tranche 1 PSUs will vest and 50% of the Tranche 1 PSUs will forfeit, each at the end of the Tranche 1 Performance Period.</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Earned PSUs shall vest as set forth on the Notice of Grant attached as Part I of the Award Agreement, provided Participant will have been continuously a Service Provider from the Date of Grant until the date such vesting occurs. Notwithstanding the foregoing, in the event that a change in control agreement (a “Change in Control Agreement”) has been entered into between Participant and the Company or any Parent or Subsidiary, in the event of a termination without Cause or resignation for Good Reason (each as defined in such Change in Control Agreement, and such termination referred to herein as a “Qualifying Termination”) outside of a Change in Control, the Target Number of PSUs subject to the in-progress (i.e., next to expire) Performance Period during which Participant’s Qualifying Termination occurs shall accelerate and vest in full on the Participant’s termination date (the “Non-CIC Termination Acceleration”), and all other then-unachieved PSUs will forfeit. For the avoidance of doubt, the Non-CIC Termination Acceleration shall apply instead of the acceleration, if any, provided under the Change in Control Agreement upon a Qualifying Termination outside of a Change in Control. If Participant is not then party to a Change in Control Agreement, then in the event Participant ceases to be a Service Provider for any or no reason all then-unachieved PSUs will forfeit.</w:t>
      </w:r>
    </w:p>
    <w:p>
      <w:pPr>
        <w:pStyle w:val="TextBody"/>
        <w:spacing w:lineRule="auto" w:line="240" w:before="0" w:after="240"/>
        <w:jc w:val="both"/>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Adjustment to Performance Goal</w:t>
      </w:r>
      <w:r>
        <w:rPr>
          <w:rFonts w:ascii="Times New Roman;sans-serif" w:hAnsi="Times New Roman;sans-serif"/>
          <w:b w:val="false"/>
          <w:color w:val="000000"/>
          <w:sz w:val="24"/>
        </w:rPr>
        <w:t xml:space="preserve">. The Administrator shall specify the manner of adjustment of the Performance Goal to the extent necessary to prevent dilution or enlargement of any Award as a result of extraordinary events or circumstances, as determined by the Administrator, or to exclude the effects of extraordinary, unusual, or non-recurring items, changes in applicable laws, regulations, or accounting principles, currency fluctuations, discontinued operations, non-cash items, such as amortization, depreciation, or reserves, asset impairment or any recapitalization, restructuring, reorganization, merger, acquisition, divestiture, consolidation, spin-off, split-up, combination, liquidation, dissolution, sale of assets, or other similar corporate transaction. </w:t>
      </w:r>
    </w:p>
    <w:p>
      <w:pPr>
        <w:pStyle w:val="TextBody"/>
        <w:spacing w:lineRule="auto" w:line="240" w:before="0" w:after="240"/>
        <w:jc w:val="both"/>
        <w:rPr/>
      </w:pPr>
      <w:r>
        <w:rPr>
          <w:rFonts w:ascii="Times New Roman;sans-serif" w:hAnsi="Times New Roman;sans-serif"/>
          <w:b w:val="false"/>
          <w:color w:val="000000"/>
          <w:sz w:val="24"/>
        </w:rPr>
        <w:t>4.    </w:t>
      </w:r>
      <w:r>
        <w:rPr>
          <w:rFonts w:ascii="Times New Roman;sans-serif" w:hAnsi="Times New Roman;sans-serif"/>
          <w:b w:val="false"/>
          <w:color w:val="000000"/>
          <w:sz w:val="24"/>
          <w:u w:val="single"/>
        </w:rPr>
        <w:t>Change in Control</w:t>
      </w:r>
      <w:r>
        <w:rPr>
          <w:rFonts w:ascii="Times New Roman;sans-serif" w:hAnsi="Times New Roman;sans-serif"/>
          <w:b w:val="false"/>
          <w:color w:val="000000"/>
          <w:sz w:val="24"/>
        </w:rPr>
        <w:t>. Upon a Change in Control, the relative TSR will be measured using the deal price per share as of the date of the Change in Control. Any Earned PSUs based on the deal price per share will then be subject to time-based vesting (the “Time Vesting PSUs”):</w:t>
      </w:r>
    </w:p>
    <w:p>
      <w:pPr>
        <w:pStyle w:val="TextBody"/>
        <w:spacing w:lineRule="auto" w:line="240" w:before="0" w:after="60"/>
        <w:ind w:left="0" w:right="0" w:hanging="360"/>
        <w:jc w:val="both"/>
        <w:rPr/>
      </w:pPr>
      <w:r>
        <w:rPr>
          <w:color w:val="000000"/>
        </w:rPr>
        <w:t>•</w:t>
      </w:r>
      <w:r>
        <w:rPr>
          <w:rFonts w:ascii="Times New Roman;sans-serif" w:hAnsi="Times New Roman;sans-serif"/>
          <w:b w:val="false"/>
          <w:color w:val="000000"/>
          <w:sz w:val="24"/>
        </w:rPr>
        <w:t>Time-Vesting PSUs attributable to Tranche 1 will vest on December 31, 2023</w:t>
      </w:r>
    </w:p>
    <w:p>
      <w:pPr>
        <w:pStyle w:val="TextBody"/>
        <w:spacing w:lineRule="auto" w:line="240" w:before="0" w:after="60"/>
        <w:ind w:left="0" w:right="0" w:hanging="360"/>
        <w:jc w:val="both"/>
        <w:rPr/>
      </w:pPr>
      <w:r>
        <w:rPr>
          <w:color w:val="000000"/>
        </w:rPr>
        <w:t>•</w:t>
      </w:r>
      <w:r>
        <w:rPr>
          <w:rFonts w:ascii="Times New Roman;sans-serif" w:hAnsi="Times New Roman;sans-serif"/>
          <w:b w:val="false"/>
          <w:color w:val="000000"/>
          <w:sz w:val="24"/>
        </w:rPr>
        <w:t>Time-Vesting PSUs attributable to Tranche 2 will vest on December 31, 2024</w:t>
      </w:r>
    </w:p>
    <w:p>
      <w:pPr>
        <w:pStyle w:val="TextBody"/>
        <w:spacing w:lineRule="auto" w:line="240" w:before="0" w:after="60"/>
        <w:ind w:left="0" w:right="0" w:hanging="360"/>
        <w:jc w:val="both"/>
        <w:rPr/>
      </w:pPr>
      <w:r>
        <w:rPr>
          <w:color w:val="000000"/>
        </w:rPr>
        <w:t>•</w:t>
      </w:r>
      <w:r>
        <w:rPr>
          <w:rFonts w:ascii="Times New Roman;sans-serif" w:hAnsi="Times New Roman;sans-serif"/>
          <w:b w:val="false"/>
          <w:color w:val="000000"/>
          <w:sz w:val="24"/>
        </w:rPr>
        <w:t>Time-Vesting PSUs attributable to Tranche 3 will vest on December 31, 2025</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93370"/>
                <wp:effectExtent l="0" t="0" r="0" b="0"/>
                <wp:wrapNone/>
                <wp:docPr id="90" name="Frame90"/>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407406303-v2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407406303-v2</w:t>
                      </w:r>
                    </w:p>
                  </w:txbxContent>
                </v:textbox>
              </v:rect>
            </w:pict>
          </mc:Fallback>
        </mc:AlternateContent>
      </w:r>
    </w:p>
    <w:p>
      <w:pPr>
        <w:pStyle w:val="TextBody"/>
        <w:spacing w:lineRule="auto" w:line="240" w:before="0" w:after="240"/>
        <w:ind w:left="0" w:right="0" w:hanging="360"/>
        <w:jc w:val="both"/>
        <w:rPr/>
      </w:pPr>
      <w:r>
        <w:rPr>
          <w:color w:val="000000"/>
        </w:rPr>
        <w:t>•</w:t>
      </w:r>
      <w:r>
        <w:rPr>
          <w:rFonts w:ascii="Times New Roman;sans-serif" w:hAnsi="Times New Roman;sans-serif"/>
          <w:b w:val="false"/>
          <w:color w:val="000000"/>
          <w:sz w:val="24"/>
        </w:rPr>
        <w:t>Time-Vesting PSUs attributable to Tranche 4 will vest on December 31, 2026</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that a Change in Control Agreement has been entered into between Participant and the Company or any Parent or Subsidiary, the Time Vesting PSUs are subject to any terms and conditions included in the applicable Change in Control Agreement. Except as otherwise provided in the Award Agreement or applicable Change in Control Agreement, in the event Participant ceases to be a Service Provider for any or no reason before Participant vests in any Time Vesting PSUs, any such unvested Time Vesting PSUs and Participant’s right to acquire any Shares hereunder will immediately terminate.</w:t>
      </w:r>
    </w:p>
    <w:p>
      <w:pPr>
        <w:pStyle w:val="TextBody"/>
        <w:spacing w:before="0" w:after="240"/>
        <w:jc w:val="both"/>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93370"/>
                <wp:effectExtent l="0" t="0" r="0" b="0"/>
                <wp:wrapNone/>
                <wp:docPr id="91" name="Frame91"/>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407406303-v2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407406303-v2</w:t>
                      </w:r>
                    </w:p>
                  </w:txbxContent>
                </v:textbox>
              </v:rect>
            </w:pict>
          </mc:Fallback>
        </mc:AlternateConten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ADDENDUM TO</w:t>
        <w:br/>
        <w:t>RESTRICTED STOCK UNIT AWARD AGREEMENT</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AND</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PERFORMANCE STOCK UNIT AWARD AGREEMENT</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Capitalized terms used but not defined herein shall have the meanings set forth in the Plan, the Notice of Grant and/or the Restricted Stock Unit Award Agreement or Performance Stock Unit Award Agreement.</w:t>
      </w:r>
    </w:p>
    <w:p>
      <w:pPr>
        <w:pStyle w:val="TextBody"/>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Addendum includes additional terms and conditions that govern the Restricted Stock Units and Performance-Based Stock Units (collectively, the “Stock Units”) granted to Participant under the Plan if Participant resides and/or works in one of the countries listed below. This Addendum forms part of the Award Agreement. </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If Participant is a citizen or resident of a country other than the one in which Participant is currently working, is considered a resident of another country for local law purposes or transfers employment and/or residency between countries after the Date of Grant, the Company shall, in its sole discretion, determine to what extent the additional terms and conditions included herein will apply to Participant under these circumstances.</w:t>
      </w:r>
    </w:p>
    <w:p>
      <w:pPr>
        <w:pStyle w:val="TextBody"/>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This Addendum also includes notices regarding exchange controls and certain other issues of which Participant should be aware with respect to Participant’s participation in the Plan. The information is based on the securities, exchange control and other laws in effect in Participant’s country as of February 2023. Such laws are often complex and change frequently. As a result, the Company strongly recommends that Participant not rely on the information noted herein as the only source of information relating to the consequences of Participant’s participation in the Plan because the information may be out of date at the time Participant vests in the Stock Units or sells Shares acquired under the Plan.</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the information contained herein is general in nature and may not apply to Participant’s particular situation, and the Company is not in a position to assure Participant of any particular result. Accordingly, Participant should seek appropriate professional advice as to how the relevant laws in Participant’s country may apply to Participant’s situation.</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Finally, if Participant is a citizen or resident of a country other than the one in which Participant is currently working, is considered a resident of another country for local law purposes or transfers employment and/or residency between countries after the Date of Grant, the information contained herein may not be applicable in the same manner to Participant. </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93370"/>
                <wp:effectExtent l="0" t="0" r="0" b="0"/>
                <wp:wrapNone/>
                <wp:docPr id="92" name="Frame92"/>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EUROPEAN UNION / EUROPEAN ECONOMIC AREA INCLUDING THE UNITED KINGDOM</w:t>
      </w:r>
    </w:p>
    <w:p>
      <w:pPr>
        <w:pStyle w:val="TextBody"/>
        <w:spacing w:before="0" w:after="0"/>
        <w:rPr/>
      </w:pPr>
      <w:r>
        <w:rPr/>
      </w:r>
    </w:p>
    <w:p>
      <w:pPr>
        <w:pStyle w:val="TextBody"/>
        <w:spacing w:lineRule="auto" w:line="240" w:before="0" w:after="0"/>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spacing w:before="0" w:after="0"/>
        <w:rPr/>
      </w:pPr>
      <w:r>
        <w:rPr/>
      </w:r>
    </w:p>
    <w:p>
      <w:pPr>
        <w:pStyle w:val="TextBody"/>
        <w:spacing w:lineRule="auto" w:line="240" w:before="0" w:after="0"/>
        <w:rPr/>
      </w:pPr>
      <w:r>
        <w:rPr>
          <w:rFonts w:ascii="Times New Roman;sans-serif" w:hAnsi="Times New Roman;sans-serif"/>
          <w:b/>
          <w:color w:val="000000"/>
          <w:sz w:val="24"/>
        </w:rPr>
        <w:t>Authorization to Release and Transfer Necessary Personal Information</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This provision replaces in its entirety Section 13 (Data Privacy) of the Award Agreement:</w:t>
      </w:r>
    </w:p>
    <w:p>
      <w:pPr>
        <w:pStyle w:val="TextBody"/>
        <w:spacing w:before="0" w:after="0"/>
        <w:rPr/>
      </w:pPr>
      <w:r>
        <w:rPr/>
      </w:r>
    </w:p>
    <w:p>
      <w:pPr>
        <w:pStyle w:val="TextBody"/>
        <w:spacing w:lineRule="auto" w:line="240" w:before="0" w:after="0"/>
        <w:ind w:left="0" w:right="0" w:hanging="360"/>
        <w:jc w:val="both"/>
        <w:rPr/>
      </w:pPr>
      <w:r>
        <w:rPr>
          <w:rFonts w:ascii="Times New Roman;sans-serif" w:hAnsi="Times New Roman;sans-serif"/>
          <w:b w:val="false"/>
          <w:color w:val="000000"/>
          <w:sz w:val="22"/>
        </w:rPr>
        <w:t>(a)</w:t>
      </w:r>
      <w:r>
        <w:rPr>
          <w:rFonts w:ascii="Times New Roman;sans-serif" w:hAnsi="Times New Roman;sans-serif"/>
          <w:b w:val="false"/>
          <w:color w:val="000000"/>
          <w:sz w:val="24"/>
        </w:rPr>
        <w:t>Participant is hereby notified of the collection, use and transfer outside of the European Economic Area, as described in the Award Agreement, in electronic or other form, of Participant’s Data (defined below) by and among, as applicable, the Company and its Subsidiaries</w:t>
      </w:r>
      <w:r>
        <w:rPr>
          <w:color w:val="000000"/>
        </w:rPr>
        <w:t xml:space="preserve"> </w:t>
      </w:r>
      <w:r>
        <w:rPr>
          <w:rFonts w:ascii="Times New Roman;sans-serif" w:hAnsi="Times New Roman;sans-serif"/>
          <w:b w:val="false"/>
          <w:color w:val="000000"/>
          <w:sz w:val="24"/>
        </w:rPr>
        <w:t xml:space="preserve">for the exclusive and legitimate purpose of implementing, administering and managing Participant’s participation in the Plan. </w:t>
      </w:r>
    </w:p>
    <w:p>
      <w:pPr>
        <w:pStyle w:val="TextBody"/>
        <w:spacing w:before="0" w:after="0"/>
        <w:rPr/>
      </w:pPr>
      <w:r>
        <w:rPr/>
      </w:r>
    </w:p>
    <w:p>
      <w:pPr>
        <w:pStyle w:val="TextBody"/>
        <w:spacing w:lineRule="auto" w:line="240" w:before="0" w:after="0"/>
        <w:ind w:left="0" w:right="0" w:hanging="360"/>
        <w:jc w:val="both"/>
        <w:rPr/>
      </w:pPr>
      <w:r>
        <w:rPr>
          <w:rFonts w:ascii="Times New Roman;sans-serif" w:hAnsi="Times New Roman;sans-serif"/>
          <w:b w:val="false"/>
          <w:color w:val="000000"/>
          <w:sz w:val="22"/>
        </w:rPr>
        <w:t>(b)</w:t>
      </w:r>
      <w:r>
        <w:rPr>
          <w:rFonts w:ascii="Times New Roman;sans-serif" w:hAnsi="Times New Roman;sans-serif"/>
          <w:b w:val="false"/>
          <w:color w:val="000000"/>
          <w:sz w:val="24"/>
        </w:rPr>
        <w:t>Participant understands that the Company and its Subsidiaries may hold certain personal information about Participant, including, but not limited to, Participant’s name, home address and telephone number, email address, date of birth, social insurance, passport or other identification number, salary, nationality, job title, any shares of stock or directorships held in the Company, details of all entitlement to Shares awarded, canceled, vested, unvested, exercised or outstanding in Participant’s favor (“Data”), for the purpose of implementing, administering and managing the Plan.</w:t>
      </w:r>
    </w:p>
    <w:p>
      <w:pPr>
        <w:pStyle w:val="TextBody"/>
        <w:spacing w:before="0" w:after="0"/>
        <w:rPr/>
      </w:pPr>
      <w:r>
        <w:rPr/>
      </w:r>
    </w:p>
    <w:p>
      <w:pPr>
        <w:pStyle w:val="TextBody"/>
        <w:spacing w:lineRule="auto" w:line="240" w:before="0" w:after="0"/>
        <w:ind w:left="0" w:right="0" w:hanging="360"/>
        <w:jc w:val="both"/>
        <w:rPr/>
      </w:pPr>
      <w:r>
        <w:rPr>
          <w:rFonts w:ascii="Times New Roman;sans-serif" w:hAnsi="Times New Roman;sans-serif"/>
          <w:b w:val="false"/>
          <w:color w:val="000000"/>
          <w:sz w:val="22"/>
        </w:rPr>
        <w:t>(c)</w:t>
      </w:r>
      <w:r>
        <w:rPr>
          <w:rFonts w:ascii="Times New Roman;sans-serif" w:hAnsi="Times New Roman;sans-serif"/>
          <w:b w:val="false"/>
          <w:color w:val="000000"/>
          <w:sz w:val="24"/>
        </w:rPr>
        <w:t xml:space="preserve">Participant understands that providing the Company with this Data is necessary for the performance of the Award Agreement and that Participant’s refusal to provide the Data would make it impossible for the Company to perform its contractual obligations and may affect Participant’s ability to participate in the Plan. Participant’s Data will be accessible within the Company as described in the Fortinet Data Privacy Policy and only by the persons specifically charged with Data processing operations and by the persons that need to access the Data because of their duties and position in relation to the performance of the Award Agreement. </w:t>
      </w:r>
    </w:p>
    <w:p>
      <w:pPr>
        <w:pStyle w:val="TextBody"/>
        <w:spacing w:before="0" w:after="0"/>
        <w:rPr/>
      </w:pPr>
      <w:r>
        <w:rPr/>
      </w:r>
    </w:p>
    <w:p>
      <w:pPr>
        <w:pStyle w:val="TextBody"/>
        <w:spacing w:lineRule="auto" w:line="240" w:before="0" w:after="0"/>
        <w:ind w:left="0" w:right="0" w:hanging="360"/>
        <w:jc w:val="both"/>
        <w:rPr/>
      </w:pPr>
      <w:r>
        <w:rPr>
          <w:rFonts w:ascii="Times New Roman;sans-serif" w:hAnsi="Times New Roman;sans-serif"/>
          <w:b w:val="false"/>
          <w:color w:val="000000"/>
          <w:sz w:val="22"/>
        </w:rPr>
        <w:t>(d)</w:t>
      </w:r>
      <w:r>
        <w:rPr>
          <w:rFonts w:ascii="Times New Roman;sans-serif" w:hAnsi="Times New Roman;sans-serif"/>
          <w:b w:val="false"/>
          <w:color w:val="000000"/>
          <w:sz w:val="24"/>
        </w:rPr>
        <w:t>The Company will use Participant’s Data only as long as is necessary to implement, administer and manage Participant’s participation in the Plan or as required to comply with legal or regulatory obligations, including under tax and security laws. When the Company no longer needs Participant’s Data, it will remove it from it from its systems. If the Company keeps data longer, it would be to satisfy legal or regulatory obligations and the Company’s legal basis would be relevant laws or regulations. The collection, use and transfer of Data for the purpose of implementing, administering and managing Participant’s participation in the Plan is conducted in accordance with the Fortinet Data Privacy Policy.</w:t>
      </w:r>
    </w:p>
    <w:p>
      <w:pPr>
        <w:pStyle w:val="TextBody"/>
        <w:spacing w:before="0" w:after="0"/>
        <w:rPr/>
      </w:pPr>
      <w:r>
        <w:rPr/>
      </w:r>
    </w:p>
    <w:p>
      <w:pPr>
        <w:pStyle w:val="TextBody"/>
        <w:spacing w:lineRule="auto" w:line="240" w:before="0" w:after="0"/>
        <w:ind w:left="0" w:right="0" w:hanging="360"/>
        <w:jc w:val="both"/>
        <w:rPr/>
      </w:pPr>
      <w:r>
        <w:rPr>
          <w:rFonts w:ascii="Times New Roman;sans-serif" w:hAnsi="Times New Roman;sans-serif"/>
          <w:b w:val="false"/>
          <w:color w:val="000000"/>
          <w:sz w:val="22"/>
        </w:rPr>
        <w:t>(e)</w:t>
      </w:r>
      <w:r>
        <w:rPr>
          <w:rFonts w:ascii="Times New Roman;sans-serif" w:hAnsi="Times New Roman;sans-serif"/>
          <w:b w:val="false"/>
          <w:color w:val="000000"/>
          <w:sz w:val="24"/>
        </w:rPr>
        <w:t xml:space="preserve">Further, Participant understands that the Company will transfer Data to E*TRADE Financial Corporation (“E*TRADE”), and/or such other third parties as may be selected by the Company, which are assisting the Company with the implementation, administration and management of the Plan. The Company may select a different service provider or additional service providers and share Data with such other provider(s) serving in a similar manner. Participant may be asked to agree on separate terms and data processing practices with the service provider, with such agreement being a condition of the ability to participate in the Plan. </w:t>
      </w:r>
    </w:p>
    <w:p>
      <w:pPr>
        <w:pStyle w:val="TextBody"/>
        <w:spacing w:before="0" w:after="0"/>
        <w:rPr/>
      </w:pPr>
      <w:r>
        <w:rPr/>
      </w:r>
    </w:p>
    <w:p>
      <w:pPr>
        <w:pStyle w:val="TextBody"/>
        <w:spacing w:lineRule="auto" w:line="240"/>
        <w:ind w:left="0" w:right="0" w:hanging="360"/>
        <w:jc w:val="both"/>
        <w:rPr/>
      </w:pPr>
      <w:r>
        <w:rPr>
          <w:rFonts w:ascii="Times New Roman;sans-serif" w:hAnsi="Times New Roman;sans-serif"/>
          <w:b w:val="false"/>
          <w:color w:val="000000"/>
          <w:sz w:val="22"/>
        </w:rPr>
        <w:t>(f)</w:t>
      </w:r>
      <w:r>
        <w:rPr>
          <w:rFonts w:ascii="Times New Roman;sans-serif" w:hAnsi="Times New Roman;sans-serif"/>
          <w:b w:val="false"/>
          <w:color w:val="000000"/>
          <w:sz w:val="24"/>
        </w:rPr>
        <w:t xml:space="preserve">E*TRADE is based in the United States. If Participant is outside of the United States, Participant should note that his or her country has enacted data privacy laws that are different from the United States. When transferring Data to E*TRADE, the Company and its Subsidiaries provide appropriate safeguards described in the Fortinet Data Privacy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93370"/>
                <wp:effectExtent l="0" t="0" r="0" b="0"/>
                <wp:wrapNone/>
                <wp:docPr id="93" name="Frame93"/>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Policy. By participating in the Plan, Participant agrees to the transfer of his or her Data to E*TRADE for the exclusive purpose of administering participation in the Plan. </w:t>
      </w:r>
    </w:p>
    <w:p>
      <w:pPr>
        <w:pStyle w:val="TextBody"/>
        <w:spacing w:before="0" w:after="0"/>
        <w:rPr/>
      </w:pPr>
      <w:r>
        <w:rPr/>
      </w:r>
    </w:p>
    <w:p>
      <w:pPr>
        <w:pStyle w:val="TextBody"/>
        <w:spacing w:lineRule="auto" w:line="240" w:before="0" w:after="240"/>
        <w:jc w:val="both"/>
        <w:rPr/>
      </w:pPr>
      <w:r>
        <w:rPr>
          <w:rFonts w:ascii="Times New Roman;sans-serif" w:hAnsi="Times New Roman;sans-serif"/>
          <w:b w:val="false"/>
          <w:color w:val="000000"/>
          <w:sz w:val="24"/>
        </w:rPr>
        <w:t xml:space="preserve">Finally, Participant may choose to opt out of allowing the Company to share Data with E*TRADE and others as described above, although execution of such choice may mean the Company cannot grant awards under the Plan to Participant. For questions about this choice or to make this choice, you should refer to the Fortinet Data Privacy Policy or contact </w:t>
      </w:r>
      <w:r>
        <w:rPr>
          <w:rFonts w:ascii="Times New Roman;sans-serif" w:hAnsi="Times New Roman;sans-serif"/>
          <w:b w:val="false"/>
          <w:color w:val="0000FF"/>
          <w:sz w:val="24"/>
          <w:u w:val="single"/>
        </w:rPr>
        <w:t>privacy@fortinet.com</w:t>
      </w:r>
      <w:r>
        <w:rPr>
          <w:color w:val="000000"/>
        </w:rPr>
        <w:t xml:space="preserve"> </w:t>
      </w:r>
      <w:r>
        <w:rPr>
          <w:rFonts w:ascii="Times New Roman;sans-serif" w:hAnsi="Times New Roman;sans-serif"/>
          <w:b w:val="false"/>
          <w:color w:val="000000"/>
          <w:sz w:val="24"/>
        </w:rPr>
        <w:t>if there are additional questions.</w:t>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ALGERIA</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jc w:val="both"/>
        <w:rPr/>
      </w:pPr>
      <w:r>
        <w:rPr>
          <w:rFonts w:ascii="Times New Roman;sans-serif" w:hAnsi="Times New Roman;sans-serif"/>
          <w:b/>
          <w:color w:val="000000"/>
          <w:sz w:val="24"/>
        </w:rPr>
        <w:t>Stock Units Payable Only in Cash</w:t>
      </w:r>
      <w:r>
        <w:rPr>
          <w:rFonts w:ascii="Times New Roman;sans-serif" w:hAnsi="Times New Roman;sans-serif"/>
          <w:b w:val="false"/>
          <w:color w:val="000000"/>
          <w:sz w:val="24"/>
        </w:rPr>
        <w:t>. Notwithstanding Section 2 of the Award Agreement, the grant of Stock Units does not provide any right for Participant to receive Shares. Stock Units granted to Participants in Algeria shall be paid only in cash through local payroll in an amount equal to the value of the Shares on the vesting date less any Tax-Related Items. Participant agrees to bear any currency fluctuation risk between the time the Stock Units vest and the time the cash payment is distributed to Participant through local payroll.</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ARGENTINA</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 xml:space="preserve">Securities Law Information. </w:t>
      </w:r>
      <w:r>
        <w:rPr>
          <w:rFonts w:ascii="Times New Roman;sans-serif" w:hAnsi="Times New Roman;sans-serif"/>
          <w:b w:val="false"/>
          <w:color w:val="000000"/>
          <w:sz w:val="24"/>
        </w:rPr>
        <w:t xml:space="preserve">The offering of the Stock Units pursuant to the Award Agreement is a private transaction. Neither the Stock Units nor the underlying Shares are publicly offered or listed on any stock exchange in Argentina. </w:t>
      </w:r>
    </w:p>
    <w:p>
      <w:pPr>
        <w:pStyle w:val="TextBody"/>
        <w:spacing w:lineRule="auto" w:line="240" w:before="0" w:after="24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Following the sale of Shares and/or the receipt of dividends, Argentine residents may be subject to certain restrictions in bringing such funds back into Argentina. Argentine residents are solely responsible for complying with the exchange control rules that may apply in connection with participation in the Plan and/or the transfer of proceeds from the sale of Shares acquired under the Plan into Argentina. Prior to selling any Shares or transferring cash proceeds into Argentina, Argentine residents should consult their local bank and/or exchange control advisor to confirm the requirements as interpretations of the applicable Argentine Central Bank regulations</w:t>
      </w:r>
    </w:p>
    <w:p>
      <w:pPr>
        <w:pStyle w:val="TextBody"/>
        <w:spacing w:lineRule="auto" w:line="240" w:before="0" w:after="240"/>
        <w:jc w:val="both"/>
        <w:rPr/>
      </w:pPr>
      <w:r>
        <w:rPr>
          <w:rFonts w:ascii="Times New Roman;sans-serif" w:hAnsi="Times New Roman;sans-serif"/>
          <w:b/>
          <w:color w:val="000000"/>
          <w:sz w:val="24"/>
        </w:rPr>
        <w:t>Foreign Asset/Account Information.</w:t>
      </w:r>
      <w:r>
        <w:rPr>
          <w:color w:val="000000"/>
        </w:rPr>
        <w:t xml:space="preserve"> </w:t>
      </w:r>
      <w:r>
        <w:rPr>
          <w:rFonts w:ascii="Times New Roman;sans-serif" w:hAnsi="Times New Roman;sans-serif"/>
          <w:b w:val="false"/>
          <w:color w:val="000000"/>
          <w:sz w:val="24"/>
        </w:rPr>
        <w:t>If Participant holds Shares as of December 31 of any year, Participant is required to report the holding of the Shares on his or her personal tax return for the relevant year.</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AUSTRALIA</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jc w:val="both"/>
        <w:rPr/>
      </w:pPr>
      <w:r>
        <w:rPr>
          <w:rFonts w:ascii="Times New Roman;sans-serif" w:hAnsi="Times New Roman;sans-serif"/>
          <w:b/>
          <w:color w:val="000000"/>
          <w:sz w:val="24"/>
        </w:rPr>
        <w:t xml:space="preserve">Securities Law Information. </w:t>
      </w:r>
      <w:r>
        <w:rPr>
          <w:rFonts w:ascii="Times New Roman;sans-serif" w:hAnsi="Times New Roman;sans-serif"/>
          <w:b w:val="false"/>
          <w:color w:val="000000"/>
          <w:sz w:val="24"/>
        </w:rPr>
        <w:t>This offer of Stock Units is made under Division 1A Part 7.12 of the Corporations Act 2001 (Cth). If Participant offers Shares acquired under the Plan for sale to a person or entity resident in Australia, Participant’s offer may be subject to disclosure requirements under Australian law. Participant should obtain legal advice on any disclosure obligations prior to making any such offer.</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93370"/>
                <wp:effectExtent l="0" t="0" r="0" b="0"/>
                <wp:wrapNone/>
                <wp:docPr id="94" name="Frame94"/>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both"/>
        <w:rPr/>
      </w:pPr>
      <w:r>
        <w:rPr>
          <w:rFonts w:ascii="Times New Roman;sans-serif" w:hAnsi="Times New Roman;sans-serif"/>
          <w:b/>
          <w:color w:val="000000"/>
          <w:sz w:val="24"/>
        </w:rPr>
        <w:t>Tax Information.</w:t>
      </w:r>
      <w:r>
        <w:rPr>
          <w:color w:val="000000"/>
        </w:rPr>
        <w:t xml:space="preserve"> </w:t>
      </w:r>
      <w:r>
        <w:rPr>
          <w:rFonts w:ascii="Times New Roman;sans-serif" w:hAnsi="Times New Roman;sans-serif"/>
          <w:b w:val="false"/>
          <w:color w:val="000000"/>
          <w:sz w:val="24"/>
        </w:rPr>
        <w:t>The Plan is a plan to which subdivision 83A-C of the Income Tax Assessment Act 1997 (Cth) applies (subject to conditions in the Act).</w:t>
      </w:r>
    </w:p>
    <w:p>
      <w:pPr>
        <w:pStyle w:val="TextBody"/>
        <w:spacing w:lineRule="auto" w:line="240" w:before="0" w:after="240"/>
        <w:jc w:val="both"/>
        <w:rPr/>
      </w:pPr>
      <w:r>
        <w:rPr>
          <w:rFonts w:ascii="Times New Roman;sans-serif" w:hAnsi="Times New Roman;sans-serif"/>
          <w:b/>
          <w:color w:val="000000"/>
          <w:sz w:val="24"/>
        </w:rPr>
        <w:t>Exchange Control Information</w:t>
      </w:r>
      <w:r>
        <w:rPr>
          <w:rFonts w:ascii="Times New Roman;sans-serif" w:hAnsi="Times New Roman;sans-serif"/>
          <w:b w:val="false"/>
          <w:color w:val="000000"/>
          <w:sz w:val="24"/>
        </w:rPr>
        <w:t>. Exchange control reporting is required for cash transactions exceeding A$10,000 and international fund transfers. The Australian bank assisting with the transaction will file the report. If there is no Australian bank involved in the transfer, then Participant will be required to file the report.</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AUSTRIA</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If Participant holds Shares acquired under the Plan or cash (including proceeds from the sale of Shares) outside of Austria, Participant may be subject to reporting obligations to the Austrian National Bank.</w:t>
      </w:r>
    </w:p>
    <w:p>
      <w:pPr>
        <w:pStyle w:val="TextBody"/>
        <w:spacing w:lineRule="auto" w:line="240" w:before="0" w:after="24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If Participant holds securities (including Shares acquired under the Plan) or cash (including proceeds from the sale of Shares) outside of Austria, he or she may be subject to reporting obligations to the Austrian National Bank. If the value of the Shares meets or exceeds a certain threshold, Participant must report the securities held on a quarterly basis to the Austrian National Bank as of the last day of the quarter, on or before the 15th day of the month following the end of the calendar quarter. In all other cases, an annual reporting obligation applies and the report has to be filed as of December 31 on or before January 31 of the following year using the form P2. Where the cash amounts held outside of Austria meet or exceed a certain threshold, monthly reporting obligations apply as explained in the next paragraph.</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If Participant sells Shares, or receives any cash dividends, Participant may have exchange control obligations if Participant holds the cash proceeds outside Austria. If the transaction volume of all Participant’s accounts abroad meets or exceeds a certain threshold, Participant must report to the Austrian National Bank the movements and balances of all accounts on a monthly basis, as of the last day of the month, on or before the 15th day of the following month, on the prescribed form (Meldungen SI-Forderungen und/oder SI-Verpflichtungen).</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BELGIUM</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Foreign Asset/Account Information.</w:t>
      </w:r>
      <w:r>
        <w:rPr>
          <w:color w:val="000000"/>
        </w:rPr>
        <w:t xml:space="preserve"> </w:t>
      </w:r>
      <w:r>
        <w:rPr>
          <w:rFonts w:ascii="Times New Roman;sans-serif" w:hAnsi="Times New Roman;sans-serif"/>
          <w:b w:val="false"/>
          <w:color w:val="000000"/>
          <w:sz w:val="24"/>
        </w:rPr>
        <w:t>Belgian residents are required to report any security or bank accounts (including brokerage accounts) opened and maintained outside Belgium on his or her annual tax return. In a separate report, they must provide the National Bank of Belgium with certain details regarding such foreign accounts (including the account number, bank name, and country in which such account was opened). The forms to complete this report are available on the website of the National Bank of Belgium.</w:t>
      </w:r>
    </w:p>
    <w:p>
      <w:pPr>
        <w:pStyle w:val="TextBody"/>
        <w:spacing w:lineRule="auto" w:line="240" w:before="0" w:after="240"/>
        <w:jc w:val="both"/>
        <w:rPr/>
      </w:pPr>
      <w:r>
        <w:rPr>
          <w:rFonts w:ascii="Times New Roman;sans-serif" w:hAnsi="Times New Roman;sans-serif"/>
          <w:b/>
          <w:color w:val="000000"/>
          <w:sz w:val="24"/>
        </w:rPr>
        <w:t>Stock Exchange Tax.</w:t>
      </w:r>
      <w:r>
        <w:rPr>
          <w:color w:val="000000"/>
        </w:rPr>
        <w:t xml:space="preserve"> </w:t>
      </w:r>
      <w:r>
        <w:rPr>
          <w:rFonts w:ascii="Times New Roman;sans-serif" w:hAnsi="Times New Roman;sans-serif"/>
          <w:b w:val="false"/>
          <w:color w:val="000000"/>
          <w:sz w:val="24"/>
        </w:rPr>
        <w:t xml:space="preserve">A stock exchange tax applies to transactions executed by a Belgian resident through a non-Belgian financial intermediary, such as a U.S. broker. The stock exchange tax likely will apply when the Shares are sold. Participant should consult with his or her personal tax advisor for additional details on obligations with respect to the stock exchange tax. </w:t>
      </w:r>
    </w:p>
    <w:p>
      <w:pPr>
        <w:pStyle w:val="TextBody"/>
        <w:spacing w:lineRule="auto" w:line="240" w:before="0" w:after="240"/>
        <w:jc w:val="both"/>
        <w:rPr/>
      </w:pPr>
      <w:r>
        <w:rPr>
          <w:rFonts w:ascii="Times New Roman;sans-serif" w:hAnsi="Times New Roman;sans-serif"/>
          <w:b/>
          <w:color w:val="000000"/>
          <w:sz w:val="24"/>
        </w:rPr>
        <w:t>Annual Securities Accounts Tax Information.</w:t>
      </w:r>
      <w:r>
        <w:rPr>
          <w:color w:val="000000"/>
        </w:rPr>
        <w:t xml:space="preserve"> </w:t>
      </w:r>
      <w:r>
        <w:rPr>
          <w:rFonts w:ascii="Times New Roman;sans-serif" w:hAnsi="Times New Roman;sans-serif"/>
          <w:b w:val="false"/>
          <w:color w:val="000000"/>
          <w:sz w:val="24"/>
        </w:rPr>
        <w:t xml:space="preserve">If the total value of securities held in a Belgian or foreign securities account exceeds EUR 1 million on average on four reference dates within the relevant reporting period (i.e. December 31, March 31, June 30 and September 30), an “annual securities accounts tax” applies. Participant should consult with a professional tax or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93370"/>
                <wp:effectExtent l="0" t="0" r="0" b="0"/>
                <wp:wrapNone/>
                <wp:docPr id="95" name="Frame95"/>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financial advisor for more information regarding their annual securities accounts tax payment obligations.</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BRAZIL</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jc w:val="both"/>
        <w:rPr/>
      </w:pPr>
      <w:r>
        <w:rPr>
          <w:rFonts w:ascii="Times New Roman;sans-serif" w:hAnsi="Times New Roman;sans-serif"/>
          <w:b/>
          <w:color w:val="000000"/>
          <w:sz w:val="24"/>
        </w:rPr>
        <w:t xml:space="preserve">Compliance with Law. </w:t>
      </w:r>
      <w:r>
        <w:rPr>
          <w:rFonts w:ascii="Times New Roman;sans-serif" w:hAnsi="Times New Roman;sans-serif"/>
          <w:b w:val="false"/>
          <w:color w:val="000000"/>
          <w:sz w:val="24"/>
        </w:rPr>
        <w:t>By accepting the Stock Units, Participant acknowledges his or her agreement to comply with applicable Brazilian laws and to pay any and all applicable taxes associated with the vesting of the Stock Units, and the sale of Shares acquired under the Plan and the receipt of any dividends or Dividend Equivalents.</w:t>
      </w:r>
    </w:p>
    <w:p>
      <w:pPr>
        <w:pStyle w:val="TextBody"/>
        <w:spacing w:lineRule="auto" w:line="240" w:before="0" w:after="240"/>
        <w:jc w:val="both"/>
        <w:rPr/>
      </w:pPr>
      <w:r>
        <w:rPr>
          <w:rFonts w:ascii="Times New Roman;sans-serif" w:hAnsi="Times New Roman;sans-serif"/>
          <w:b/>
          <w:color w:val="000000"/>
          <w:sz w:val="24"/>
        </w:rPr>
        <w:t>Labor Law Acknowledgement</w:t>
      </w:r>
      <w:r>
        <w:rPr>
          <w:rFonts w:ascii="Times New Roman;sans-serif" w:hAnsi="Times New Roman;sans-serif"/>
          <w:b w:val="false"/>
          <w:color w:val="000000"/>
          <w:sz w:val="24"/>
        </w:rPr>
        <w:t>. By accepting the Stock Units, Participant agrees that Participant is (i) making an investment decision, (ii) Shares will be issued to Participant only if the vesting conditions are met and (iii) the value of the underlying Shares is not fixed and may increase or decrease in value over the vesting period without compensation to Participant.</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If Participant is resident or domiciled in Brazil, Participant will be required to submit annually a declaration of assets and rights held outside of Brazil to the Central Bank of Brazil if the aggregate value of such assets and rights is equal to or greater than US$100,000. Assets and rights that must be reported include Shares acquired under the Plan.</w:t>
      </w:r>
    </w:p>
    <w:p>
      <w:pPr>
        <w:pStyle w:val="TextBody"/>
        <w:spacing w:lineRule="auto" w:line="240" w:before="0" w:after="240"/>
        <w:jc w:val="both"/>
        <w:rPr/>
      </w:pPr>
      <w:r>
        <w:rPr>
          <w:rFonts w:ascii="Times New Roman;sans-serif" w:hAnsi="Times New Roman;sans-serif"/>
          <w:b/>
          <w:color w:val="000000"/>
          <w:sz w:val="24"/>
        </w:rPr>
        <w:t>Tax on Financial Transactions (IOF)</w:t>
      </w:r>
      <w:r>
        <w:rPr>
          <w:rFonts w:ascii="Times New Roman;sans-serif" w:hAnsi="Times New Roman;sans-serif"/>
          <w:b w:val="false"/>
          <w:color w:val="000000"/>
          <w:sz w:val="24"/>
        </w:rPr>
        <w:t>. Repatriation of funds into Brazil and the conversion between BRL and USD associated with such fund transfers may be subject to the Tax on Financial Transactions. It is Participant’s responsibility to comply with any applicable Tax on Financial Transactions arising from Participant’s participation in the Plan. Participant should consult with his or her personal tax advisor for additional details.</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 xml:space="preserve">CAMBODIA </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There are no country-specific provisions.</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CANADA</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jc w:val="both"/>
        <w:rPr/>
      </w:pPr>
      <w:r>
        <w:rPr>
          <w:rFonts w:ascii="Times New Roman;sans-serif" w:hAnsi="Times New Roman;sans-serif"/>
          <w:b/>
          <w:color w:val="000000"/>
          <w:sz w:val="24"/>
        </w:rPr>
        <w:t>Stock Units Payable Only in Shares.</w:t>
      </w:r>
      <w:r>
        <w:rPr>
          <w:color w:val="000000"/>
        </w:rPr>
        <w:t xml:space="preserve"> </w:t>
      </w:r>
      <w:r>
        <w:rPr>
          <w:rFonts w:ascii="Times New Roman;sans-serif" w:hAnsi="Times New Roman;sans-serif"/>
          <w:b w:val="false"/>
          <w:color w:val="000000"/>
          <w:sz w:val="24"/>
        </w:rPr>
        <w:t>Notwithstanding any discretion in the Plan or anything to the contrary in the Award Agreement, the grant of Stock Units does not provide any right for Participant to receive a cash payment, and the Stock Units are payable in Shares only.</w:t>
      </w:r>
    </w:p>
    <w:p>
      <w:pPr>
        <w:pStyle w:val="TextBody"/>
        <w:spacing w:lineRule="auto" w:line="240" w:before="0" w:after="240"/>
        <w:jc w:val="both"/>
        <w:rPr/>
      </w:pPr>
      <w:r>
        <w:rPr>
          <w:rFonts w:ascii="Times New Roman;sans-serif" w:hAnsi="Times New Roman;sans-serif"/>
          <w:b/>
          <w:color w:val="000000"/>
          <w:sz w:val="24"/>
        </w:rPr>
        <w:t>Forfeiture upon Termination of Status as a Service Provider</w:t>
      </w:r>
      <w:r>
        <w:rPr>
          <w:rFonts w:ascii="Times New Roman;sans-serif" w:hAnsi="Times New Roman;sans-serif"/>
          <w:b w:val="false"/>
          <w:color w:val="000000"/>
          <w:sz w:val="24"/>
        </w:rPr>
        <w:t>. The following provision replaces Section 6 of the Award Agreement:</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Notwithstanding any contrary provision of this Award Agreement, the balance of the Stock Units that have not vested as of the time of Participant’s termination as a Service Provider, for any or no reason and Participant’s right to acquire any Shares hereunder, will immediately terminate upon Participant’s termination as a Service Provider. For purposes of the Stock Units, Participant's status as a Service Provider will be considered terminated as of the date that is the earlier of (1) the date Participant’s service ends, no matter how the termination of service arises; or (2) the date Participant receives written notice of termination of the Service Provider from the Company or the Employer. In either case, the date shall exclude any period during which notice, pay in lieu of notice or related payments or damages are provided or required to be provided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93370"/>
                <wp:effectExtent l="0" t="0" r="0" b="0"/>
                <wp:wrapNone/>
                <wp:docPr id="96" name="Frame96"/>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under local law. For greater certainty, Participant will not earn or be entitled to any pro-rated vesting for that portion of time before the date on which Participant’s right to vest terminates, nor will Participant be entitled to any compensation for lost vesting. Notwithstanding the foregoing, if applicable employment standards legislation explicitly requires continued vesting during a statutory notice period, Participant’s right to vest in the Stock Units, if any, will terminate effective as of the last day of Participant’s minimum statutory notice period, but Participant will not earn or be entitled to pro-rated vesting if the vesting date falls after the end of Participant’s statutory notice period, nor will Participant be entitled to any compensation for lost vesting. The Administrator shall have the exclusive discretion to determine when Participant is no longer actively providing service for purposes of the Stock Units grant (including whether Participant may still be considered to be a Service Provider while on a leave of absence).</w:t>
      </w:r>
    </w:p>
    <w:p>
      <w:pPr>
        <w:pStyle w:val="TextBody"/>
        <w:spacing w:lineRule="auto" w:line="240" w:before="0" w:after="240"/>
        <w:rPr/>
      </w:pPr>
      <w:r>
        <w:rPr>
          <w:rFonts w:ascii="Times New Roman;sans-serif" w:hAnsi="Times New Roman;sans-serif"/>
          <w:b/>
          <w:color w:val="000000"/>
          <w:sz w:val="24"/>
          <w:u w:val="single"/>
        </w:rPr>
        <w:t>The following provisions will apply if Participant is a resident of Quebec</w:t>
      </w:r>
      <w:r>
        <w:rPr>
          <w:rFonts w:ascii="Times New Roman;sans-serif" w:hAnsi="Times New Roman;sans-serif"/>
          <w:b/>
          <w:color w:val="000000"/>
          <w:sz w:val="24"/>
        </w:rPr>
        <w:t>:</w:t>
      </w:r>
    </w:p>
    <w:p>
      <w:pPr>
        <w:pStyle w:val="TextBody"/>
        <w:spacing w:lineRule="auto" w:line="240" w:before="0" w:after="240"/>
        <w:jc w:val="both"/>
        <w:rPr/>
      </w:pPr>
      <w:r>
        <w:rPr>
          <w:rFonts w:ascii="Times New Roman;sans-serif" w:hAnsi="Times New Roman;sans-serif"/>
          <w:b/>
          <w:color w:val="000000"/>
          <w:sz w:val="24"/>
        </w:rPr>
        <w:t xml:space="preserve">Language Consent. </w:t>
      </w:r>
      <w:r>
        <w:rPr>
          <w:rFonts w:ascii="Times New Roman;sans-serif" w:hAnsi="Times New Roman;sans-serif"/>
          <w:b w:val="false"/>
          <w:color w:val="000000"/>
          <w:sz w:val="24"/>
        </w:rPr>
        <w:t>A French translation of the Plan and the Award Agreement can be made available as soon as reasonably practicable upon request. Participant understands that, from time to time, additional information related to the offering of the Plan might be provided in English and such information may not be immediately available in French. However, upon request, the Company will translate into French documents related to the offering of the Plan as soon as reasonably practicable.</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Une traduction française du Plan et de l'Accord de Récompense peuvent être disponible dès que raisonnablement possible sur demande. Participant comprend que, de temps à autre, des informations supplémentaires liées à l'offre du Plan peuvent être fournies en anglais et que ces informations peuvent ne pas être immédiatement disponibles en français. Cependant, sur demande, la Compagnie traduira en français les documents relatifs à l'offre du Plan dès que raisonnablement possible.</w:t>
      </w:r>
    </w:p>
    <w:p>
      <w:pPr>
        <w:pStyle w:val="TextBody"/>
        <w:spacing w:lineRule="auto" w:line="240" w:before="0" w:after="240"/>
        <w:jc w:val="both"/>
        <w:rPr/>
      </w:pPr>
      <w:r>
        <w:rPr>
          <w:rFonts w:ascii="Times New Roman;sans-serif" w:hAnsi="Times New Roman;sans-serif"/>
          <w:b/>
          <w:color w:val="000000"/>
          <w:sz w:val="24"/>
        </w:rPr>
        <w:t xml:space="preserve">Data Privacy Notice and Consent. </w:t>
      </w:r>
      <w:r>
        <w:rPr>
          <w:rFonts w:ascii="Times New Roman;sans-serif" w:hAnsi="Times New Roman;sans-serif"/>
          <w:b w:val="false"/>
          <w:color w:val="000000"/>
          <w:sz w:val="24"/>
        </w:rPr>
        <w:t xml:space="preserve">This provision supplements Section 13 of the Award Agreement: </w:t>
      </w:r>
    </w:p>
    <w:p>
      <w:pPr>
        <w:pStyle w:val="TextBody"/>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Participant hereby authorizes the Company and the Company’s representatives to discuss with and obtain all relevant information from all personnel, professional or not, involved in the administration and operation of the Plan. Participant acknowledges that their Data, including and sensitive personal information, may be transferred or disclosed outside of the province of Quebec, including to the United States. Participant further authorizes the Company and/or any Parent or Subsidiary to record such information in his or her employee file. If applicable, Participant also acknowledges that the Company, E*TRADE Financial Corporation and/or any Parent or Subsidiary may use technology for profiling purposes and make automated decisions that may have an impact on Participant’s participation in the Plan or the administration of the Plan.</w:t>
      </w:r>
    </w:p>
    <w:p>
      <w:pPr>
        <w:pStyle w:val="TextBody"/>
        <w:spacing w:lineRule="auto" w:line="276"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76" w:before="0" w:after="240"/>
        <w:jc w:val="both"/>
        <w:rPr/>
      </w:pPr>
      <w:r>
        <w:rPr>
          <w:rFonts w:ascii="Times New Roman;sans-serif" w:hAnsi="Times New Roman;sans-serif"/>
          <w:b/>
          <w:color w:val="000000"/>
          <w:sz w:val="24"/>
        </w:rPr>
        <w:t xml:space="preserve">Securities Law Information. </w:t>
      </w:r>
      <w:r>
        <w:rPr>
          <w:rFonts w:ascii="Times New Roman;sans-serif" w:hAnsi="Times New Roman;sans-serif"/>
          <w:b w:val="false"/>
          <w:color w:val="000000"/>
          <w:sz w:val="24"/>
        </w:rPr>
        <w:t>Participant is permitted to sell Shares acquired under the Plan through the designated broker appointed under the Plan, if any, provided the resale of Shares acquired under the Plan takes place outside of Canada through the facilities of a stock exchange on which the Shares are listed. The Shares are currently listed on the Nasdaq.</w:t>
      </w:r>
    </w:p>
    <w:p>
      <w:pPr>
        <w:pStyle w:val="TextBody"/>
        <w:spacing w:lineRule="auto" w:line="276" w:before="0" w:after="24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 xml:space="preserve">Foreign specified property (including shares of Common Stock acquired under the Plan) of a non-Canadian company held by a Canadian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93370"/>
                <wp:effectExtent l="0" t="0" r="0" b="0"/>
                <wp:wrapNone/>
                <wp:docPr id="97" name="Frame97"/>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resident must be reported annually on form T1135 (Foreign Income Verification Statement) if the total cost of the foreign specified property exceeds C$100,000 at any time in the year. The option to purchase Shares must be reported (generally at nil cost) if the C$100,000 threshold is exceeded because of other foreign specified property held. Foreign specified property also includes Shares acquired under the Plan and their cost is generally the adjusted cost base (“ACB”) of the Shares. The ACB ordinarily would equal the fair market value of the Shares at acquisition, but if a participant owns other Shares, this ACB may have to be averaged with the ACB of the other shares. The form must be filed by April 30 of the following year. Participant should consult his or her personal legal advisor to ensure compliance with applicable reporting obligations.</w:t>
      </w:r>
    </w:p>
    <w:p>
      <w:pPr>
        <w:pStyle w:val="TextBody"/>
        <w:spacing w:lineRule="auto" w:line="276" w:before="0" w:after="240"/>
        <w:jc w:val="center"/>
        <w:rPr>
          <w:rFonts w:ascii="Times New Roman;sans-serif" w:hAnsi="Times New Roman;sans-serif"/>
          <w:b/>
          <w:color w:val="000000"/>
          <w:sz w:val="24"/>
        </w:rPr>
      </w:pPr>
      <w:r>
        <w:rPr>
          <w:rFonts w:ascii="Times New Roman;sans-serif" w:hAnsi="Times New Roman;sans-serif"/>
          <w:b/>
          <w:color w:val="000000"/>
          <w:sz w:val="24"/>
        </w:rPr>
        <w:t>CHILE</w:t>
      </w:r>
    </w:p>
    <w:p>
      <w:pPr>
        <w:pStyle w:val="TextBody"/>
        <w:spacing w:lineRule="auto" w:line="276" w:before="0" w:after="240"/>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20"/>
        <w:jc w:val="both"/>
        <w:rPr/>
      </w:pPr>
      <w:r>
        <w:rPr>
          <w:rFonts w:ascii="Times New Roman;sans-serif" w:hAnsi="Times New Roman;sans-serif"/>
          <w:b/>
          <w:color w:val="000000"/>
          <w:sz w:val="24"/>
        </w:rPr>
        <w:t>Securities Law Information.</w:t>
      </w:r>
      <w:r>
        <w:rPr>
          <w:color w:val="000000"/>
        </w:rPr>
        <w:t xml:space="preserve"> </w:t>
      </w:r>
      <w:r>
        <w:rPr>
          <w:rFonts w:ascii="Times New Roman;sans-serif" w:hAnsi="Times New Roman;sans-serif"/>
          <w:b w:val="false"/>
          <w:color w:val="000000"/>
          <w:sz w:val="24"/>
        </w:rPr>
        <w:t>This grant of Stock Units constitutes a private offering of securities in Chile effective as of the grant date. This offer of Stock Units is made subject to general ruling n° 336 of the Chilean Commission for the Financial Market (“CMF”). The offer refers to securities not registered at the securities registry or at the foreign securities registry of the CMF, and, therefore, such securities are not subject to oversight of the CMF. Given that the Stock Units are not registered in Chile, the Company is not required to provide public information about the Stock Units or the Shares in Chile. Unless the Stock Units and/or the Shares are registered with the CMF, a public offering of such securities cannot be made in Chile.</w:t>
      </w:r>
    </w:p>
    <w:p>
      <w:pPr>
        <w:pStyle w:val="TextBody"/>
        <w:spacing w:lineRule="auto" w:line="276"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Esta Oferta de Unidades de Acciones Restringidas constituye una oferta privada de valores en Chile y se inicia en la fecha de la oferta. Esta oferta de Unidades de Acciones Restringidas se acoge a las disposiciones de la Norma de Carácter General Nº 336 (“NCG 336”) de la Comision para el Mercado Financiero de Chile (“CMF”).  Esta oferta versa sobre valores no inscritos en el Registro de Valores o en el Registro de Valores Extranjeros que lleva la CMF, por lo que tales valores no están sujetos a la fiscalización de ésta. Por tratarse de valores no inscritos en Chile no existe la obligación por parte de la Compañía de entregar en Chile información pública respecto de los mismos. Estos valores no podrán ser objeto de oferta pública en Chile mientras no sean inscritos en el Registro de Valores correspondiente.</w:t>
      </w:r>
    </w:p>
    <w:p>
      <w:pPr>
        <w:pStyle w:val="TextBody"/>
        <w:spacing w:lineRule="auto" w:line="276" w:before="0" w:after="240"/>
        <w:jc w:val="both"/>
        <w:rPr/>
      </w:pPr>
      <w:r>
        <w:rPr>
          <w:rFonts w:ascii="Times New Roman;sans-serif" w:hAnsi="Times New Roman;sans-serif"/>
          <w:b/>
          <w:color w:val="000000"/>
          <w:sz w:val="24"/>
        </w:rPr>
        <w:t>Exchange Control and Tax Information.</w:t>
      </w:r>
      <w:r>
        <w:rPr>
          <w:color w:val="000000"/>
        </w:rPr>
        <w:t xml:space="preserve"> </w:t>
      </w:r>
      <w:r>
        <w:rPr>
          <w:rFonts w:ascii="Times New Roman;sans-serif" w:hAnsi="Times New Roman;sans-serif"/>
          <w:b w:val="false"/>
          <w:color w:val="000000"/>
          <w:sz w:val="24"/>
        </w:rPr>
        <w:t>Chilean residents are not required to repatriate funds obtained from the sale of Shares or the receipt of any dividends. However, if Chilean residents decide to repatriate such funds, they must do so through the Formal Exchange Market if the amount of the funds exceeds US$10,000. In such case, Chilean residents must report the payment to a commercial bank or registered foreign exchange office receiving the funds.</w:t>
      </w:r>
    </w:p>
    <w:p>
      <w:pPr>
        <w:pStyle w:val="TextBody"/>
        <w:spacing w:lineRule="auto" w:line="276" w:before="0" w:after="24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The Chilean Internal Revenue Service (the “CIRS”) requires all taxpayers to provide information annually regarding (i) the results of investments held abroad and (ii) any taxes paid abroad which the taxpayers will use as a credit against Chilean income tax. The Form 1929 disclosing this information (or Formularios) must be submitted electronically through the CIRS website in accordance with applicable deadlines: www.sii.cl. In addition, shares of Common Stock acquired upon settlement of the Units must be registered with the CIRS’s Foreign Investment Registry. Chilean taxpayers who fail to meet these requirements may be ineligible to receive certain foreign tax credits.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93370"/>
                <wp:effectExtent l="0" t="0" r="0" b="0"/>
                <wp:wrapNone/>
                <wp:docPr id="98" name="Frame98"/>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CHINA</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jc w:val="both"/>
        <w:rPr/>
      </w:pPr>
      <w:r>
        <w:rPr>
          <w:rFonts w:ascii="Times New Roman;sans-serif" w:hAnsi="Times New Roman;sans-serif"/>
          <w:b/>
          <w:color w:val="000000"/>
          <w:sz w:val="24"/>
          <w:u w:val="single"/>
        </w:rPr>
        <w:t>The following provisions will apply to Participants who are subject to PRC exchange control restrictions, as determined by the Company in its sole discretion</w:t>
      </w:r>
      <w:r>
        <w:rPr>
          <w:rFonts w:ascii="Times New Roman;sans-serif" w:hAnsi="Times New Roman;sans-serif"/>
          <w:b/>
          <w:color w:val="000000"/>
          <w:sz w:val="24"/>
        </w:rPr>
        <w:t>:</w:t>
      </w:r>
    </w:p>
    <w:p>
      <w:pPr>
        <w:pStyle w:val="TextBody"/>
        <w:spacing w:lineRule="auto" w:line="240" w:before="0" w:after="240"/>
        <w:jc w:val="both"/>
        <w:rPr/>
      </w:pPr>
      <w:r>
        <w:rPr>
          <w:rFonts w:ascii="Times New Roman;sans-serif" w:hAnsi="Times New Roman;sans-serif"/>
          <w:b/>
          <w:color w:val="000000"/>
          <w:sz w:val="24"/>
        </w:rPr>
        <w:t xml:space="preserve">Immediate Sale Restriction. </w:t>
      </w:r>
      <w:r>
        <w:rPr>
          <w:rFonts w:ascii="Times New Roman;sans-serif" w:hAnsi="Times New Roman;sans-serif"/>
          <w:b w:val="false"/>
          <w:color w:val="000000"/>
          <w:sz w:val="24"/>
        </w:rPr>
        <w:t xml:space="preserve">Notwithstanding anything to the contrary in the Plan or Award Agreement, due to exchange control laws in China, Participant agrees that any Shares acquired at vesting of the Stock Units may be immediately sold at vesting or, at the Company’s discretion, at a later time (including when Participant’s status as a Service Provider terminates). If, however, the sale of the Shares is not permissible under the Company’s insider trading policy, or if any requisite exchange control approval for the Plan in China has not been obtained, the Company retains the discretion to postpone the issuance of the Shares subject to Participant’s vested Stock Units until such time that the sale is again permissible and to then immediately sell the Shares subject to the Stock Units. Participant further agrees that the Company is authorized to instruct its designated broker to assist with the mandatory sale of the Shares (on Participant’s behalf pursuant to this authorization), and Participant expressly authorizes such broker to complete the sale of such Shares. Participant acknowledges that the Company’s designated broker is under no obligation to arrange for the sale of the Shares at any particular price. Upon the sale of the Shares, the Company agrees to pay the cash proceeds from the sale, less any brokerage fees or commissions, to Participant in accordance with applicable exchange control laws and regulations and provided any liability for Tax-Related Items resulting from the vesting of the Stock Units has been satisfied. Due to fluctuations in the Share price and/or the US dollar exchange rate between the vesting date and (if later) the date on which the Shares are sold, the sale proceeds may be more or less than the market value of the Shares on the vesting date (which is the amount relevant to determining Participant’s tax liability). Participant understands and agrees that the Company is not responsible for the amount of any loss Participant may incur and that the Company assumes no liability for any fluctuations in the Share price and/or US dollar exchange rate. In the event Participant is allowed to hold Shares, Participant must maintain Shares acquired under the Plan in an account maintained by the Company’s designated broker or such other stock plan provider as may be selected by the Company. </w:t>
      </w:r>
    </w:p>
    <w:p>
      <w:pPr>
        <w:pStyle w:val="TextBody"/>
        <w:spacing w:lineRule="auto" w:line="240" w:before="0" w:after="24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 xml:space="preserve">Participant understands and agrees that, to facilitate compliance with exchange control laws in China, Participant may be required to immediately repatriate to China the cash proceeds from the sale of any Shares acquired at vesting of the Stock Units and any dividends or Dividend Equivalents received in relation to the Shares. Participant further understands that, under local law, such repatriation of the cash proceeds may need to be effectuated through a special exchange control account established by the Company or any Parent or Subsidiary, and Participant hereby consents and agrees that the proceeds from the sale of Shares acquired under the Plan and any dividends received in relation to the Shares may be transferred to such special account prior to being delivered to Participant. </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proceeds may be paid to Participant in U.S. dollars or local currency at the Company’s discretion. In the event the proceeds are paid to Participant in U.S. dollars, Participant understands that Participant will be required to set up a U.S. dollar bank account in China and provide the bank account details to the Employer and/or the Company so that the proceeds may be deposited into this account. </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Participant agrees to bear any currency fluctuation risk between the time the Shares are sold or dividends or Dividend Equivalents are paid and the time the proceeds are distributed to Participant through any such special account.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93370"/>
                <wp:effectExtent l="0" t="0" r="0" b="0"/>
                <wp:wrapNone/>
                <wp:docPr id="99" name="Frame99"/>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Participant further agrees to comply with any other requirements that may be imposed by the Company in the future in order to facilitate compliance with exchange control requirements in China. </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COLOMBIA</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jc w:val="both"/>
        <w:rPr/>
      </w:pPr>
      <w:r>
        <w:rPr>
          <w:rFonts w:ascii="Times New Roman;sans-serif" w:hAnsi="Times New Roman;sans-serif"/>
          <w:b/>
          <w:color w:val="000000"/>
          <w:sz w:val="24"/>
        </w:rPr>
        <w:t>Labor Laws Acknowledgement.</w:t>
      </w:r>
      <w:r>
        <w:rPr>
          <w:color w:val="000000"/>
        </w:rPr>
        <w:t xml:space="preserve"> </w:t>
      </w:r>
      <w:r>
        <w:rPr>
          <w:rFonts w:ascii="Times New Roman;sans-serif" w:hAnsi="Times New Roman;sans-serif"/>
          <w:b w:val="false"/>
          <w:color w:val="000000"/>
          <w:sz w:val="24"/>
        </w:rPr>
        <w:t>The following provision supplements Section 11 of the Award Agreement:</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Participants acknowledges that pursuant to Article 128 of the Colombian Labor Code, the Plan and related benefits do not constitute a component of “salary” for any purpose. </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0"/>
        <w:jc w:val="both"/>
        <w:rPr/>
      </w:pPr>
      <w:r>
        <w:rPr>
          <w:rFonts w:ascii="Times New Roman;sans-serif" w:hAnsi="Times New Roman;sans-serif"/>
          <w:b/>
          <w:color w:val="000000"/>
          <w:sz w:val="24"/>
        </w:rPr>
        <w:t>Securities Law Information</w:t>
      </w:r>
      <w:r>
        <w:rPr>
          <w:rFonts w:ascii="Times New Roman;sans-serif" w:hAnsi="Times New Roman;sans-serif"/>
          <w:b w:val="false"/>
          <w:color w:val="000000"/>
          <w:sz w:val="24"/>
        </w:rPr>
        <w:t>. The Shares subject to the Stock Units are not and will not be registered with the Colombian registry of publicly traded securities (Registro Nacional de Valores y Emisores) and therefore the Shares may not be offered to the public in Colombia. Nothing in this document should be construed as the making of a public offer of securities in Colombia. An offer of Shares to employees will not be considered a public offer provided that it meets the conditions set forth in Article 6.1.1.1.1 in Decree 2555, 2010.</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Participant is responsible for complying with any and all Colombian foreign exchange restrictions, approvals and reporting requirements in connection with the Stock Units and any Shares acquired or funds received under the Plan. This may include reporting obligations to the Central Bank (Banco de la República). If applicable, Participant will be required to register the investment in Shares with the Central Bank, regardless of the value of the investment. Participant should consult with his or her legal advisor regarding any obligations in connection with this reporting requirement.</w:t>
      </w:r>
    </w:p>
    <w:p>
      <w:pPr>
        <w:pStyle w:val="TextBody"/>
        <w:spacing w:before="0" w:after="0"/>
        <w:rPr/>
      </w:pPr>
      <w:r>
        <w:rPr/>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COSTA RICA</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There are no country-specific provisions.</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CZECH REPUBLIC</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The Czech National Bank may require residents of the Czech Republic to fulfill certain notification duties in relation to the opening and maintenance of a foreign account. In addition, Participant may need to report certain events even in the absence of a request from the Czech National Bank. Because exchange control regulations change frequently and without notice, residents of the Czech Republic should consult with their legal advisor prior to the sale of Shares to ensure compliance with current regulations. It is the Czech resident’s responsibility to comply with Czech exchange control laws, and neither the Company nor the Employer will be liable for any resulting fines or penalties.</w:t>
      </w:r>
    </w:p>
    <w:p>
      <w:pPr>
        <w:pStyle w:val="TextBody"/>
        <w:spacing w:before="0" w:after="240"/>
        <w:jc w:val="center"/>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93370"/>
                <wp:effectExtent l="0" t="0" r="0" b="0"/>
                <wp:wrapNone/>
                <wp:docPr id="100" name="Frame100"/>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DENMARK</w:t>
      </w:r>
    </w:p>
    <w:p>
      <w:pPr>
        <w:pStyle w:val="TextBody"/>
        <w:spacing w:lineRule="auto" w:line="240" w:before="0" w:after="0"/>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color w:val="000000"/>
          <w:sz w:val="24"/>
        </w:rPr>
        <w:t>Danish Stock Option Act</w:t>
      </w:r>
      <w:r>
        <w:rPr>
          <w:rFonts w:ascii="Times New Roman;sans-serif" w:hAnsi="Times New Roman;sans-serif"/>
          <w:b w:val="false"/>
          <w:color w:val="000000"/>
          <w:sz w:val="24"/>
        </w:rPr>
        <w:t xml:space="preserve">. By participating in the Plan, Participant acknowledges that he or she received an Employer Statement translated into Danish, which is being provided to comply with the Danish Stock Option Act to the extent the Danish Stock Option Act applies. </w:t>
      </w:r>
    </w:p>
    <w:p>
      <w:pPr>
        <w:pStyle w:val="TextBody"/>
        <w:spacing w:before="0" w:after="0"/>
        <w:rPr/>
      </w:pPr>
      <w:r>
        <w:rPr/>
      </w:r>
    </w:p>
    <w:p>
      <w:pPr>
        <w:pStyle w:val="TextBody"/>
        <w:spacing w:lineRule="auto" w:line="240" w:before="0" w:after="0"/>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before="0" w:after="0"/>
        <w:rPr/>
      </w:pPr>
      <w:r>
        <w:rPr/>
      </w:r>
    </w:p>
    <w:p>
      <w:pPr>
        <w:pStyle w:val="TextBody"/>
        <w:spacing w:lineRule="auto" w:line="240" w:before="0" w:after="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The establishment of an account holding Shares or an account holding cash outside Denmark must be reported to the Danish Tax Administration. The form which should be used in this respect may be obtained from a local bank. (Please note that these obligations are separate from and in addition to the securities/tax reporting obligations described below.)</w:t>
      </w:r>
    </w:p>
    <w:p>
      <w:pPr>
        <w:pStyle w:val="TextBody"/>
        <w:spacing w:before="0" w:after="0"/>
        <w:rPr/>
      </w:pPr>
      <w:r>
        <w:rPr/>
      </w:r>
    </w:p>
    <w:p>
      <w:pPr>
        <w:pStyle w:val="TextBody"/>
        <w:spacing w:before="0" w:after="0"/>
        <w:rPr/>
      </w:pPr>
      <w:r>
        <w:rPr/>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DOMINICAN REPUBLIC</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There are no country-specific provisions.</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 xml:space="preserve">EGYPT </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If Participant transfers funds into Egypt in connection with the sale of Shares or the receipt of Dividend Equivalents, Participant may be required to do so through a registered bank in Egypt.</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FINLAND</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There are no country-specific provisions.</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FRANCE</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jc w:val="both"/>
        <w:rPr/>
      </w:pPr>
      <w:r>
        <w:rPr>
          <w:rFonts w:ascii="Times New Roman;sans-serif" w:hAnsi="Times New Roman;sans-serif"/>
          <w:b/>
          <w:color w:val="000000"/>
          <w:sz w:val="24"/>
        </w:rPr>
        <w:t>French Language Provision.</w:t>
      </w:r>
      <w:r>
        <w:rPr>
          <w:color w:val="000000"/>
        </w:rPr>
        <w:t xml:space="preserve"> </w:t>
      </w:r>
      <w:r>
        <w:rPr>
          <w:rFonts w:ascii="Times New Roman;sans-serif" w:hAnsi="Times New Roman;sans-serif"/>
          <w:b w:val="false"/>
          <w:color w:val="000000"/>
          <w:sz w:val="24"/>
        </w:rPr>
        <w:t>By accepting the Award Agreement providing for the terms and conditions of Participant’s grant, Participant confirms having read and understood the documents relating to this grant (the Plan and the Award Agreement) which were provided in English language. Participant accepts the terms of those documents accordingly.</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En acceptant le Contrat d’Attribution décrivant les termes et conditions de l’attribution, le participant confirme ainsi avoir lu et compris les documents relatifs à cette attribution (le Plan U.S. et le Contrat d’Attribution) qui ont été communiqués en langue anglaise. Le participant accepte les termes en connaissance de cause.</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Tax Information.</w:t>
      </w:r>
      <w:r>
        <w:rPr>
          <w:color w:val="000000"/>
        </w:rPr>
        <w:t xml:space="preserve"> </w:t>
      </w:r>
      <w:r>
        <w:rPr>
          <w:rFonts w:ascii="Times New Roman;sans-serif" w:hAnsi="Times New Roman;sans-serif"/>
          <w:b w:val="false"/>
          <w:color w:val="000000"/>
          <w:sz w:val="24"/>
        </w:rPr>
        <w:t>The Stock Units are not intended to be French tax-qualified Awards.</w:t>
      </w:r>
    </w:p>
    <w:p>
      <w:pPr>
        <w:pStyle w:val="TextBody"/>
        <w:spacing w:lineRule="auto" w:line="240" w:before="0" w:after="24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 xml:space="preserve">If Participant retains Shares acquired under the Plan outside of France or maintains a foreign bank account, Participant is required to report such to the French tax authorities when filing Participant’s annual tax return. Additional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93370"/>
                <wp:effectExtent l="0" t="0" r="0" b="0"/>
                <wp:wrapNone/>
                <wp:docPr id="101" name="Frame101"/>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monthly reporting obligations may apply if Participant’s foreign account balances exceed €1,000,000.</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GERMANY</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Cross-border payments in excess of €12,500 in connection with the sale of securities (including Shares acquired under the Plan) or the receipt of any dividends must be reported monthly to the German Federal Bank. The report must be made by the 5th day of the month following the month in which the payment was received and must be filed electronically. The form of report (“</w:t>
      </w:r>
      <w:r>
        <w:rPr>
          <w:rFonts w:ascii="Times New Roman;sans-serif" w:hAnsi="Times New Roman;sans-serif"/>
          <w:b w:val="false"/>
          <w:i/>
          <w:color w:val="000000"/>
          <w:sz w:val="24"/>
        </w:rPr>
        <w:t>Allgemeine Meldeportal Statistik</w:t>
      </w:r>
      <w:r>
        <w:rPr>
          <w:color w:val="000000"/>
        </w:rPr>
        <w:t>”</w:t>
      </w:r>
      <w:r>
        <w:rPr>
          <w:rFonts w:ascii="Times New Roman;sans-serif" w:hAnsi="Times New Roman;sans-serif"/>
          <w:b w:val="false"/>
          <w:color w:val="000000"/>
          <w:sz w:val="24"/>
        </w:rPr>
        <w:t xml:space="preserve">) can be accessed via the </w:t>
      </w:r>
      <w:r>
        <w:rPr>
          <w:rFonts w:ascii="Times New Roman;sans-serif" w:hAnsi="Times New Roman;sans-serif"/>
          <w:b w:val="false"/>
          <w:i/>
          <w:color w:val="000000"/>
          <w:sz w:val="24"/>
        </w:rPr>
        <w:t>Bundesbank’s</w:t>
      </w:r>
      <w:r>
        <w:rPr>
          <w:color w:val="000000"/>
        </w:rPr>
        <w:t xml:space="preserve"> </w:t>
      </w:r>
      <w:r>
        <w:rPr>
          <w:rFonts w:ascii="Times New Roman;sans-serif" w:hAnsi="Times New Roman;sans-serif"/>
          <w:b w:val="false"/>
          <w:color w:val="000000"/>
          <w:sz w:val="24"/>
        </w:rPr>
        <w:t>website (</w:t>
      </w:r>
      <w:r>
        <w:rPr>
          <w:rFonts w:ascii="Times New Roman;sans-serif" w:hAnsi="Times New Roman;sans-serif"/>
          <w:b w:val="false"/>
          <w:color w:val="0000FF"/>
          <w:sz w:val="24"/>
          <w:u w:val="single"/>
        </w:rPr>
        <w:t>www.bundesbank.de</w:t>
      </w:r>
      <w:r>
        <w:rPr>
          <w:rFonts w:ascii="Times New Roman;sans-serif" w:hAnsi="Times New Roman;sans-serif"/>
          <w:b w:val="false"/>
          <w:color w:val="000000"/>
          <w:sz w:val="24"/>
        </w:rPr>
        <w:t>) and is available in both German and English. Participant is responsible for satisfying the reporting obligation.</w:t>
      </w:r>
    </w:p>
    <w:p>
      <w:pPr>
        <w:pStyle w:val="TextBody"/>
        <w:spacing w:lineRule="auto" w:line="240" w:before="0" w:after="240"/>
        <w:jc w:val="both"/>
        <w:rPr/>
      </w:pPr>
      <w:r>
        <w:rPr>
          <w:rFonts w:ascii="Times New Roman;sans-serif" w:hAnsi="Times New Roman;sans-serif"/>
          <w:b/>
          <w:color w:val="000000"/>
          <w:sz w:val="24"/>
        </w:rPr>
        <w:t>Foreign Asset / Account Reporting</w:t>
      </w:r>
      <w:r>
        <w:rPr>
          <w:rFonts w:ascii="Times New Roman;sans-serif" w:hAnsi="Times New Roman;sans-serif"/>
          <w:b w:val="false"/>
          <w:color w:val="000000"/>
          <w:sz w:val="24"/>
        </w:rPr>
        <w:t>. German residents holding Shares exceeding 1% of the Company’s total share capital, must notify their local tax office of the acquisition of Shares if the acquisition costs for all Shares held exceeds €150,000 or if the resident holds 10% or more in the Company’s total shares of common stock.</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HONG KONG</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jc w:val="both"/>
        <w:rPr/>
      </w:pPr>
      <w:r>
        <w:rPr>
          <w:rFonts w:ascii="Times New Roman;sans-serif" w:hAnsi="Times New Roman;sans-serif"/>
          <w:b/>
          <w:color w:val="000000"/>
          <w:sz w:val="24"/>
        </w:rPr>
        <w:t>Stock Units Payable Only in Shares.</w:t>
      </w:r>
      <w:r>
        <w:rPr>
          <w:color w:val="000000"/>
        </w:rPr>
        <w:t xml:space="preserve"> </w:t>
      </w:r>
      <w:r>
        <w:rPr>
          <w:rFonts w:ascii="Times New Roman;sans-serif" w:hAnsi="Times New Roman;sans-serif"/>
          <w:b w:val="false"/>
          <w:color w:val="000000"/>
          <w:sz w:val="24"/>
        </w:rPr>
        <w:t>Notwithstanding any discretion in the Plan or anything to the contrary in the Award Agreement, the grant of Stock Units does not provide any right for Participant to receive a cash payment, and the Stock Units are payable in Shares only.</w:t>
      </w:r>
    </w:p>
    <w:p>
      <w:pPr>
        <w:pStyle w:val="TextBody"/>
        <w:spacing w:lineRule="auto" w:line="240" w:before="0" w:after="240"/>
        <w:jc w:val="both"/>
        <w:rPr/>
      </w:pPr>
      <w:r>
        <w:rPr>
          <w:rFonts w:ascii="Times New Roman;sans-serif" w:hAnsi="Times New Roman;sans-serif"/>
          <w:b/>
          <w:color w:val="000000"/>
          <w:sz w:val="24"/>
        </w:rPr>
        <w:t>Sale of Shares.</w:t>
      </w:r>
      <w:r>
        <w:rPr>
          <w:color w:val="000000"/>
        </w:rPr>
        <w:t xml:space="preserve"> </w:t>
      </w:r>
      <w:r>
        <w:rPr>
          <w:rFonts w:ascii="Times New Roman;sans-serif" w:hAnsi="Times New Roman;sans-serif"/>
          <w:b w:val="false"/>
          <w:color w:val="000000"/>
          <w:sz w:val="24"/>
        </w:rPr>
        <w:t>Shares received at vesting are accepted as a personal investment. In the event that the Stock Units vest and Shares are issued to Participant within six months of the Date of Grant, Participant agrees that the Shares will not be offered to the public or otherwise disposed of prior to the six-month anniversary of the Date of Grant.</w:t>
      </w:r>
    </w:p>
    <w:p>
      <w:pPr>
        <w:pStyle w:val="TextBody"/>
        <w:spacing w:lineRule="auto" w:line="240" w:before="0" w:after="240"/>
        <w:jc w:val="both"/>
        <w:rPr/>
      </w:pPr>
      <w:r>
        <w:rPr>
          <w:rFonts w:ascii="Times New Roman;sans-serif" w:hAnsi="Times New Roman;sans-serif"/>
          <w:b/>
          <w:color w:val="000000"/>
          <w:sz w:val="24"/>
        </w:rPr>
        <w:t xml:space="preserve">Securities Law Information. </w:t>
      </w:r>
      <w:r>
        <w:rPr>
          <w:rFonts w:ascii="Times New Roman;sans-serif" w:hAnsi="Times New Roman;sans-serif"/>
          <w:b w:val="false"/>
          <w:i/>
          <w:color w:val="000000"/>
          <w:sz w:val="24"/>
        </w:rPr>
        <w:t>WARNING:</w:t>
      </w:r>
      <w:r>
        <w:rPr>
          <w:color w:val="000000"/>
        </w:rPr>
        <w:t xml:space="preserve"> </w:t>
      </w:r>
      <w:r>
        <w:rPr>
          <w:rFonts w:ascii="Times New Roman;sans-serif" w:hAnsi="Times New Roman;sans-serif"/>
          <w:b w:val="false"/>
          <w:i/>
          <w:color w:val="000000"/>
          <w:sz w:val="24"/>
        </w:rPr>
        <w:t>The grant of Stock Units under the terms of the Award Agreement and the Plan and the issuance of Shares at vesting of Stock Units do not constitute a public offering of securities, and they are available only to Service Providers.</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Please be aware that the contents of the Award Agreement, including this Addendum, and the Plan have not been reviewed by any regulatory authority in Hong Kong. Participant is advised to exercise caution in relation to the right to acquire Shares at vesting of the Stock Units, or otherwise, under the Plan. If Participant is in any doubt about any of the contents of the Award Agreement, including this Addendum, or the Plan, Participant should obtain independent professional advice.</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HUNGARY</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There are no country-specific provisions.</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INDIA</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 xml:space="preserve">Participant must repatriate any cash dividends paid on Shares within one-hundred eighty (180) days and all proceeds received from the sale of Shares to India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93370"/>
                <wp:effectExtent l="0" t="0" r="0" b="0"/>
                <wp:wrapNone/>
                <wp:docPr id="102" name="Frame102"/>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within ninety (90) days of receipt. Participant must obtain evidence of the repatriation of funds in the form of a foreign inward remittance certificate (the “FIRC”) from the bank where Participant deposited the foreign currency. Participant must retain the FIRC in Participant’s records to present to the Reserve Bank of India or Participant’s Employer in the event that proof of repatriation is requested. </w:t>
      </w:r>
    </w:p>
    <w:p>
      <w:pPr>
        <w:pStyle w:val="TextBody"/>
        <w:spacing w:lineRule="auto" w:line="240" w:before="0" w:after="240"/>
        <w:jc w:val="both"/>
        <w:rPr/>
      </w:pPr>
      <w:r>
        <w:rPr>
          <w:rFonts w:ascii="Times New Roman;sans-serif" w:hAnsi="Times New Roman;sans-serif"/>
          <w:b/>
          <w:color w:val="000000"/>
          <w:sz w:val="24"/>
        </w:rPr>
        <w:t>Foreign Asset/Account Reporting Information</w:t>
      </w:r>
      <w:r>
        <w:rPr>
          <w:rFonts w:ascii="Times New Roman;sans-serif" w:hAnsi="Times New Roman;sans-serif"/>
          <w:b w:val="false"/>
          <w:color w:val="000000"/>
          <w:sz w:val="24"/>
        </w:rPr>
        <w:t>. </w:t>
      </w:r>
      <w:r>
        <w:rPr>
          <w:color w:val="000000"/>
        </w:rPr>
        <w:t xml:space="preserve"> </w:t>
      </w:r>
      <w:r>
        <w:rPr>
          <w:rFonts w:ascii="Times New Roman;sans-serif" w:hAnsi="Times New Roman;sans-serif"/>
          <w:b w:val="false"/>
          <w:color w:val="000000"/>
          <w:sz w:val="24"/>
        </w:rPr>
        <w:t>Participant is required to declare his or her foreign bank accounts and any foreign financial assets (including Shares  held outside India) in Participant’s annual tax return.  It is Participant’s responsibility to comply with this reporting obligation and Participant should consult his or her personal advisor in this regard.</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INDONESIA</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If Participant remits funds into Indonesia (</w:t>
      </w:r>
      <w:r>
        <w:rPr>
          <w:rFonts w:ascii="Times New Roman;sans-serif" w:hAnsi="Times New Roman;sans-serif"/>
          <w:b w:val="false"/>
          <w:i/>
          <w:color w:val="000000"/>
          <w:sz w:val="24"/>
        </w:rPr>
        <w:t>e.g</w:t>
      </w:r>
      <w:r>
        <w:rPr>
          <w:rFonts w:ascii="Times New Roman;sans-serif" w:hAnsi="Times New Roman;sans-serif"/>
          <w:b w:val="false"/>
          <w:color w:val="000000"/>
          <w:sz w:val="24"/>
        </w:rPr>
        <w:t>., proceeds from the sale of Shares), the Indonesian Bank through which the transaction is made will submit a report of the transaction to the Bank of Indonesia for statistical reporting purposes. For transactions of US$10,000 or more, a description of the transaction must be included in the report. Although the bank through which the transaction is made is required to make the report, Participant must complete a “Transfer Report Form.” The Transfer Report Form should be provided to Participant by the bank through which the transaction is to be made.</w:t>
      </w:r>
    </w:p>
    <w:p>
      <w:pPr>
        <w:pStyle w:val="TextBody"/>
        <w:spacing w:lineRule="auto" w:line="240" w:before="0" w:after="240"/>
        <w:jc w:val="both"/>
        <w:rPr/>
      </w:pPr>
      <w:r>
        <w:rPr>
          <w:rFonts w:ascii="Times New Roman;sans-serif" w:hAnsi="Times New Roman;sans-serif"/>
          <w:b w:val="false"/>
          <w:color w:val="000000"/>
          <w:sz w:val="24"/>
        </w:rPr>
        <w:t>For foreign currency transactions exceeding US$25,000, the underlying document of that transaction will have to be submitted to the relevant local bank. If there is a change of position in any foreign assets held (including Shares acquired under the Plan), this change in position (</w:t>
      </w:r>
      <w:r>
        <w:rPr>
          <w:rFonts w:ascii="Times New Roman;sans-serif" w:hAnsi="Times New Roman;sans-serif"/>
          <w:b w:val="false"/>
          <w:i/>
          <w:color w:val="000000"/>
          <w:sz w:val="24"/>
        </w:rPr>
        <w:t>e.g.,</w:t>
      </w:r>
      <w:r>
        <w:rPr>
          <w:color w:val="000000"/>
        </w:rPr>
        <w:t xml:space="preserve"> </w:t>
      </w:r>
      <w:r>
        <w:rPr>
          <w:rFonts w:ascii="Times New Roman;sans-serif" w:hAnsi="Times New Roman;sans-serif"/>
          <w:b w:val="false"/>
          <w:color w:val="000000"/>
          <w:sz w:val="24"/>
        </w:rPr>
        <w:t>sale of such shares) must be reported to the Bank of Indonesia no later than the 15th day of the month following the change in position.</w:t>
      </w:r>
    </w:p>
    <w:p>
      <w:pPr>
        <w:pStyle w:val="TextBody"/>
        <w:spacing w:lineRule="auto" w:line="240" w:before="0" w:after="240"/>
        <w:jc w:val="both"/>
        <w:rPr/>
      </w:pPr>
      <w:r>
        <w:rPr>
          <w:rFonts w:ascii="Times New Roman;sans-serif" w:hAnsi="Times New Roman;sans-serif"/>
          <w:b/>
          <w:color w:val="000000"/>
          <w:sz w:val="24"/>
        </w:rPr>
        <w:t>Foreign Asset / Account Reporting Information.</w:t>
      </w:r>
      <w:r>
        <w:rPr>
          <w:color w:val="000000"/>
        </w:rPr>
        <w:t xml:space="preserve"> </w:t>
      </w:r>
      <w:r>
        <w:rPr>
          <w:rFonts w:ascii="Times New Roman;sans-serif" w:hAnsi="Times New Roman;sans-serif"/>
          <w:b w:val="false"/>
          <w:color w:val="000000"/>
          <w:sz w:val="24"/>
        </w:rPr>
        <w:t>Indonesian residents have the obligation to report their worldwide assets (including any foreign bank or brokerage accounts and Shares under the Plan) in their annual individual income tax return.</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IRELAND</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 xml:space="preserve">Director Notification Obligation. </w:t>
      </w:r>
      <w:r>
        <w:rPr>
          <w:rFonts w:ascii="Times New Roman;sans-serif" w:hAnsi="Times New Roman;sans-serif"/>
          <w:b w:val="false"/>
          <w:color w:val="000000"/>
          <w:sz w:val="24"/>
        </w:rPr>
        <w:t>If Participant is a director, shadow director or secretary of an Irish Parent or Subsidiary, and holds 1% or more of the share capital of the Company, Participant must notify the Irish Parent or Subsidiary in writing within five business days of receiving or disposing of an interest in the Company (</w:t>
      </w:r>
      <w:r>
        <w:rPr>
          <w:rFonts w:ascii="Times New Roman;sans-serif" w:hAnsi="Times New Roman;sans-serif"/>
          <w:b w:val="false"/>
          <w:i/>
          <w:color w:val="000000"/>
          <w:sz w:val="24"/>
        </w:rPr>
        <w:t>e.g</w:t>
      </w:r>
      <w:r>
        <w:rPr>
          <w:rFonts w:ascii="Times New Roman;sans-serif" w:hAnsi="Times New Roman;sans-serif"/>
          <w:b w:val="false"/>
          <w:color w:val="000000"/>
          <w:sz w:val="24"/>
        </w:rPr>
        <w:t>., Stock Units, etc.), or within five business days of becoming aware of the event giving rise to the notification requirement or within five days of becoming a director or secretary if such an interest exists at the time. This notification requirement also applies with respect to the interests of a spouse or children under the age of 18 (whose interests will be attributed to the director, shadow director or secretary).</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ISLE OF MAN</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There are no country-specific provisions.</w:t>
      </w:r>
    </w:p>
    <w:p>
      <w:pPr>
        <w:pStyle w:val="TextBody"/>
        <w:spacing w:before="0" w:after="240"/>
        <w:jc w:val="center"/>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93370"/>
                <wp:effectExtent l="0" t="0" r="0" b="0"/>
                <wp:wrapNone/>
                <wp:docPr id="103" name="Frame103"/>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ISRAEL</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The Following Provisions Apply if Participant is Located in Israel on the Date of Grant</w:t>
      </w:r>
    </w:p>
    <w:p>
      <w:pPr>
        <w:pStyle w:val="TextBody"/>
        <w:spacing w:lineRule="auto" w:line="240" w:before="0" w:after="240"/>
        <w:jc w:val="both"/>
        <w:rPr/>
      </w:pPr>
      <w:r>
        <w:rPr>
          <w:rFonts w:ascii="Times New Roman;sans-serif" w:hAnsi="Times New Roman;sans-serif"/>
          <w:b/>
          <w:color w:val="000000"/>
          <w:sz w:val="24"/>
        </w:rPr>
        <w:t>Trust Arrangement</w:t>
      </w:r>
      <w:r>
        <w:rPr>
          <w:rFonts w:ascii="Times New Roman;sans-serif" w:hAnsi="Times New Roman;sans-serif"/>
          <w:b w:val="false"/>
          <w:color w:val="000000"/>
          <w:sz w:val="24"/>
        </w:rPr>
        <w:t>. Participant understands and agrees that the Stock Units are offered subject to and in accordance with the terms of the Plan, the sub-plan to the Plan for Israel (the “</w:t>
      </w:r>
      <w:r>
        <w:rPr>
          <w:rFonts w:ascii="Times New Roman;sans-serif" w:hAnsi="Times New Roman;sans-serif"/>
          <w:b/>
          <w:color w:val="000000"/>
          <w:sz w:val="24"/>
        </w:rPr>
        <w:t>Israeli Sub-Plan</w:t>
      </w:r>
      <w:r>
        <w:rPr>
          <w:color w:val="000000"/>
        </w:rPr>
        <w:t>”</w:t>
      </w:r>
      <w:r>
        <w:rPr>
          <w:rFonts w:ascii="Times New Roman;sans-serif" w:hAnsi="Times New Roman;sans-serif"/>
          <w:b w:val="false"/>
          <w:color w:val="000000"/>
          <w:sz w:val="24"/>
        </w:rPr>
        <w:t>), the Trust Agreement (the “</w:t>
      </w:r>
      <w:r>
        <w:rPr>
          <w:rFonts w:ascii="Times New Roman;sans-serif" w:hAnsi="Times New Roman;sans-serif"/>
          <w:b/>
          <w:color w:val="000000"/>
          <w:sz w:val="24"/>
        </w:rPr>
        <w:t>Trust Agreement</w:t>
      </w:r>
      <w:r>
        <w:rPr>
          <w:color w:val="000000"/>
        </w:rPr>
        <w:t>”</w:t>
      </w:r>
      <w:r>
        <w:rPr>
          <w:rFonts w:ascii="Times New Roman;sans-serif" w:hAnsi="Times New Roman;sans-serif"/>
          <w:b w:val="false"/>
          <w:color w:val="000000"/>
          <w:sz w:val="24"/>
        </w:rPr>
        <w:t>) between the Company and the Company’s trustee appointed by the Company or its subsidiary or affiliate in Israel, ESOP Trust Company (the “</w:t>
      </w:r>
      <w:r>
        <w:rPr>
          <w:rFonts w:ascii="Times New Roman;sans-serif" w:hAnsi="Times New Roman;sans-serif"/>
          <w:b/>
          <w:color w:val="000000"/>
          <w:sz w:val="24"/>
        </w:rPr>
        <w:t>Trustee</w:t>
      </w:r>
      <w:r>
        <w:rPr>
          <w:color w:val="000000"/>
        </w:rPr>
        <w:t>”</w:t>
      </w:r>
      <w:r>
        <w:rPr>
          <w:rFonts w:ascii="Times New Roman;sans-serif" w:hAnsi="Times New Roman;sans-serif"/>
          <w:b w:val="false"/>
          <w:color w:val="000000"/>
          <w:sz w:val="24"/>
        </w:rPr>
        <w:t>), and the Award Agreement. In the event of any inconsistencies between the Israeli Sub-Plan, the Award Agreement and/or the Plan, the Israeli Sub-Plan will govern the Stock Units granted to Participants in Israel.</w:t>
      </w:r>
    </w:p>
    <w:p>
      <w:pPr>
        <w:pStyle w:val="TextBody"/>
        <w:spacing w:lineRule="auto" w:line="240" w:before="0" w:after="240"/>
        <w:jc w:val="both"/>
        <w:rPr/>
      </w:pPr>
      <w:r>
        <w:rPr>
          <w:rFonts w:ascii="Times New Roman;sans-serif" w:hAnsi="Times New Roman;sans-serif"/>
          <w:b/>
          <w:color w:val="000000"/>
          <w:sz w:val="24"/>
        </w:rPr>
        <w:t>Written Acceptance</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If Participant has not already executed a Section 102 Capital Gains Award confirmation letter (“</w:t>
      </w:r>
      <w:r>
        <w:rPr>
          <w:rFonts w:ascii="Times New Roman;sans-serif" w:hAnsi="Times New Roman;sans-serif"/>
          <w:b/>
          <w:color w:val="000000"/>
          <w:sz w:val="24"/>
        </w:rPr>
        <w:t>Confirmation Letter</w:t>
      </w:r>
      <w:r>
        <w:rPr>
          <w:color w:val="000000"/>
        </w:rPr>
        <w:t>”</w:t>
      </w:r>
      <w:r>
        <w:rPr>
          <w:rFonts w:ascii="Times New Roman;sans-serif" w:hAnsi="Times New Roman;sans-serif"/>
          <w:b w:val="false"/>
          <w:color w:val="000000"/>
          <w:sz w:val="24"/>
        </w:rPr>
        <w:t>) in connection with grants made under the Israeli Sub-Plan to the Plan, Participant must print, sign and deliver a signed copy of the Confirmation Letter within forty five (45) days of the Date of Grant. If Participant does not submit the signed Confirmation Letter within forty five (45) days of the Date of Grant, the Stock Units may not qualify for preferential tax treatment.</w:t>
      </w:r>
    </w:p>
    <w:p>
      <w:pPr>
        <w:pStyle w:val="TextBody"/>
        <w:spacing w:lineRule="auto" w:line="240" w:before="0" w:after="240"/>
        <w:jc w:val="both"/>
        <w:rPr/>
      </w:pPr>
      <w:r>
        <w:rPr>
          <w:rFonts w:ascii="Times New Roman;sans-serif" w:hAnsi="Times New Roman;sans-serif"/>
          <w:b/>
          <w:color w:val="000000"/>
          <w:sz w:val="24"/>
        </w:rPr>
        <w:t>Nature of Grant</w:t>
      </w:r>
      <w:r>
        <w:rPr>
          <w:rFonts w:ascii="Times New Roman;sans-serif" w:hAnsi="Times New Roman;sans-serif"/>
          <w:b w:val="false"/>
          <w:color w:val="000000"/>
          <w:sz w:val="24"/>
        </w:rPr>
        <w:t>. The following provision supplements Section 11 of the Award Agreement:</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Stock Units are intended to be 102 Capital Gains Track Grants that qualify for the 102 Capital Gains Track tax treatment. Notwithstanding the foregoing, by accepting the Stock Units, Participant acknowledges that the Company cannot guarantee or represent that the 102 Capital Gains Track tax treatment will apply to the Stock Units.</w:t>
      </w:r>
    </w:p>
    <w:p>
      <w:pPr>
        <w:pStyle w:val="TextBody"/>
        <w:spacing w:lineRule="auto" w:line="240" w:before="0" w:after="240"/>
        <w:jc w:val="both"/>
        <w:rPr/>
      </w:pPr>
      <w:r>
        <w:rPr>
          <w:rFonts w:ascii="Times New Roman;sans-serif" w:hAnsi="Times New Roman;sans-serif"/>
          <w:b w:val="false"/>
          <w:color w:val="000000"/>
          <w:sz w:val="24"/>
        </w:rPr>
        <w:t>By accepting the Stock Units, Participant: (a) acknowledges receipt of and represents that Participant has read and is familiar with the Plan, the Israeli Sub-Plan, and the Award Agreement; (b) accepts the Stock Units subject to all of the terms and conditions of this Award Agreement, the Plan and the Israeli Sub-Plan; and (c) agrees that the Stock Units will be issued to and deposited with the Trustee and shall be held in trust for Participant’s benefit as required by the ITO, the Rules and any approval by the Israeli Tax Authority (“</w:t>
      </w:r>
      <w:r>
        <w:rPr>
          <w:rFonts w:ascii="Times New Roman;sans-serif" w:hAnsi="Times New Roman;sans-serif"/>
          <w:b/>
          <w:color w:val="000000"/>
          <w:sz w:val="24"/>
        </w:rPr>
        <w:t>ITA</w:t>
      </w:r>
      <w:r>
        <w:rPr>
          <w:color w:val="000000"/>
        </w:rPr>
        <w:t>”</w:t>
      </w:r>
      <w:r>
        <w:rPr>
          <w:rFonts w:ascii="Times New Roman;sans-serif" w:hAnsi="Times New Roman;sans-serif"/>
          <w:b w:val="false"/>
          <w:color w:val="000000"/>
          <w:sz w:val="24"/>
        </w:rPr>
        <w:t>) pursuant to the terms of the ITO, the Rules and the Trust Agreement. Furthermore, by accepting the Stock Units, Participant confirms that he or she is familiar with the terms and provisions of Section 102 of the ITO, particularly the Capital Gains Track described in subsection (b)(2) and (b)(3) thereof, and agrees that he or she will not require the Trustee to release the Stock Units or shares of Common Stock to him or her, or to sell the Stock Units or shares of Common Stock to a third party, during the Required Holding Period, unless permitted to do so by the ITO or the Rules.</w:t>
      </w:r>
    </w:p>
    <w:p>
      <w:pPr>
        <w:pStyle w:val="TextBody"/>
        <w:spacing w:lineRule="auto" w:line="240" w:before="0" w:after="240"/>
        <w:jc w:val="both"/>
        <w:rPr/>
      </w:pPr>
      <w:r>
        <w:rPr>
          <w:rFonts w:ascii="Times New Roman;sans-serif" w:hAnsi="Times New Roman;sans-serif"/>
          <w:b/>
          <w:color w:val="000000"/>
          <w:sz w:val="24"/>
        </w:rPr>
        <w:t>Dividend Equivalent Rights Distributions</w:t>
      </w:r>
      <w:r>
        <w:rPr>
          <w:rFonts w:ascii="Times New Roman;sans-serif" w:hAnsi="Times New Roman;sans-serif"/>
          <w:b w:val="false"/>
          <w:color w:val="000000"/>
          <w:sz w:val="24"/>
        </w:rPr>
        <w:t>. The following provision supplements Section 5 of the Award Agreement:</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For the sake of clarity, if Dividend Equivalent Rights are issued as rights to shares of Common Stock, such Dividend Equivalent Units will be deposited with the Trustee and will be subject to the same Section 102 rules under the Israeli Sub-Plan as the Stock Units.</w:t>
      </w:r>
    </w:p>
    <w:p>
      <w:pPr>
        <w:pStyle w:val="TextBody"/>
        <w:spacing w:lineRule="auto" w:line="240" w:before="0" w:after="240"/>
        <w:jc w:val="both"/>
        <w:rPr/>
      </w:pPr>
      <w:r>
        <w:rPr>
          <w:rFonts w:ascii="Times New Roman;sans-serif" w:hAnsi="Times New Roman;sans-serif"/>
          <w:b/>
          <w:color w:val="000000"/>
          <w:sz w:val="24"/>
        </w:rPr>
        <w:t>Withholding Taxes</w:t>
      </w:r>
      <w:r>
        <w:rPr>
          <w:rFonts w:ascii="Times New Roman;sans-serif" w:hAnsi="Times New Roman;sans-serif"/>
          <w:b w:val="false"/>
          <w:color w:val="000000"/>
          <w:sz w:val="24"/>
        </w:rPr>
        <w:t>. The following provision supplements Section 8 of the Award Agreement:</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Participant agrees that he or she shall not be liable for the Employer’s component of payments to the National Insurance Institute unless and to the extent such payments by the Employer are a result of Participant’s election to sell the Shares before the end of the Required Holding Period (if allowed by the ITO and the Rules).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93370"/>
                <wp:effectExtent l="0" t="0" r="0" b="0"/>
                <wp:wrapNone/>
                <wp:docPr id="104" name="Frame104"/>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If the Stock Units vest during the Required Holding Period, the shares of Common Stock issued upon the vesting of such Stock Units shall be issued to and deposited with, or under the supervision of, the Trustee for the benefit of Participant and shall be held in trust as required by the ITO, the Rules and any approval by the ITA. In the event that such vesting occurs after the end of the Required Holding Period, the Shares issued upon the vesting of the Stock Units shall either: (i) be issued to and deposited with, or under the supervision of, the Trustee; or (ii) be transferred to Participant directly upon Participant’s request, provided that Participant first complies with his or her obligations with respect to Tax-Related Items. In the event that Participant elects to have the shares of Common Stock transferred to Participant without selling such shares of Common Stock, Participant shall become liable to pay taxes immediately in accordance with the provisions of the ITO and Section 8 of the Award Agreement, as supplemented by this Addendum.</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Capitalized terms are defined in the Israeli Sub-Plan if not defined in this Addendum.</w:t>
      </w:r>
    </w:p>
    <w:p>
      <w:pPr>
        <w:pStyle w:val="TextBody"/>
        <w:spacing w:lineRule="auto" w:line="240" w:before="0" w:after="240"/>
        <w:jc w:val="both"/>
        <w:rPr/>
      </w:pPr>
      <w:r>
        <w:rPr>
          <w:rFonts w:ascii="Times New Roman;sans-serif" w:hAnsi="Times New Roman;sans-serif"/>
          <w:b/>
          <w:color w:val="000000"/>
          <w:sz w:val="24"/>
        </w:rPr>
        <w:t xml:space="preserve">Immediate Sale Restriction Upon Transfer of Jurisdiction. </w:t>
      </w:r>
      <w:r>
        <w:rPr>
          <w:rFonts w:ascii="Times New Roman;sans-serif" w:hAnsi="Times New Roman;sans-serif"/>
          <w:b w:val="false"/>
          <w:color w:val="000000"/>
          <w:sz w:val="24"/>
        </w:rPr>
        <w:t>Participants transferring into Israel after the Date of Grant may be required to sell their Shares immediately upon vesting of the Stock Units in order to comply with local tax withholding requirements.</w:t>
      </w:r>
      <w:r>
        <w:rPr>
          <w:color w:val="000000"/>
        </w:rPr>
        <w:t xml:space="preserve"> </w:t>
      </w:r>
      <w:r>
        <w:rPr>
          <w:rFonts w:ascii="Times New Roman;sans-serif" w:hAnsi="Times New Roman;sans-serif"/>
          <w:b w:val="false"/>
          <w:color w:val="000000"/>
          <w:sz w:val="24"/>
        </w:rPr>
        <w:t>Participant acknowledges that the Company’s designated broker is under no obligation to arrange for the sale of the Shares at any particular price. Upon the sale of the Shares, the Company agrees to pay the cash proceeds from the sale, less any brokerage fees or commissions, to Participant, provided any liability for Tax-Related Items has been satisfied. Participant understands and agrees that the Company is not responsible for the amount of any loss Participant may incur and that the Company assumes no liability for any fluctuations in the Share price and/or US dollar exchange rate.</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Securities Law Information</w:t>
      </w:r>
      <w:r>
        <w:rPr>
          <w:rFonts w:ascii="Times New Roman;sans-serif" w:hAnsi="Times New Roman;sans-serif"/>
          <w:b w:val="false"/>
          <w:color w:val="000000"/>
          <w:sz w:val="24"/>
        </w:rPr>
        <w:t>. The Company has obtained an exemption to the prospectus filing requirement from the Israeli Securities Authority. Accordingly, Stock Units are granted pursuant to an exemption from filing a prospectus granted to the Company by the Israeli Securities Authority. Copies of the Plan and Form S-8 registration statement for the Plan filed with the U.S. Securities and Exchange Commission are available from the Company.</w:t>
      </w:r>
    </w:p>
    <w:p>
      <w:pPr>
        <w:pStyle w:val="TextBody"/>
        <w:jc w:val="center"/>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93370"/>
                <wp:effectExtent l="0" t="0" r="0" b="0"/>
                <wp:wrapNone/>
                <wp:docPr id="105" name="Frame105"/>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324"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Fortinet, Inc. Letterhead</w:t>
      </w:r>
    </w:p>
    <w:p>
      <w:pPr>
        <w:pStyle w:val="TextBody"/>
        <w:spacing w:before="0" w:after="0"/>
        <w:jc w:val="center"/>
        <w:rPr/>
      </w:pPr>
      <w:r>
        <w:rPr/>
      </w:r>
    </w:p>
    <w:p>
      <w:pPr>
        <w:pStyle w:val="TextBody"/>
        <w:spacing w:lineRule="auto" w:line="324"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Confirmation Letter - 102 Capital Gains Awards</w:t>
      </w:r>
    </w:p>
    <w:p>
      <w:pPr>
        <w:pStyle w:val="TextBody"/>
        <w:spacing w:before="0" w:after="0"/>
        <w:jc w:val="center"/>
        <w:rPr/>
      </w:pPr>
      <w:r>
        <w:rPr/>
      </w:r>
    </w:p>
    <w:p>
      <w:pPr>
        <w:pStyle w:val="TextBody"/>
        <w:spacing w:before="0" w:after="0"/>
        <w:jc w:val="center"/>
        <w:rPr/>
      </w:pPr>
      <w:r>
        <w:rPr/>
      </w:r>
    </w:p>
    <w:p>
      <w:pPr>
        <w:pStyle w:val="TextBody"/>
        <w:spacing w:lineRule="auto" w:line="240" w:before="0" w:after="240"/>
        <w:jc w:val="both"/>
        <w:rPr/>
      </w:pPr>
      <w:r>
        <w:rPr>
          <w:rFonts w:ascii="Times New Roman;sans-serif" w:hAnsi="Times New Roman;sans-serif"/>
          <w:b w:val="false"/>
          <w:color w:val="000000"/>
          <w:sz w:val="24"/>
        </w:rPr>
        <w:t>I undertake and confirm the following (and such undertaking is deemed incorporated into any documents signed by me in connection with the grant of such Awards) with respect to any award of options, Stock Units or other equity-based grants that have been granted to me previously and/or as shall be granted to me in the future by Fortinet, Inc.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whether under the Company’s Amended and Restated 2009 Equity Incentive Plan or other plans maintained by the Company, pursuant to the Capital Gain Track under Section 102(b)(2) or l02(b)(3) of the Israeli Income Tax Ordinance and any regulations and rules promulgated thereunder (“</w:t>
      </w:r>
      <w:r>
        <w:rPr>
          <w:rFonts w:ascii="Times New Roman;sans-serif" w:hAnsi="Times New Roman;sans-serif"/>
          <w:b/>
          <w:color w:val="000000"/>
          <w:sz w:val="24"/>
        </w:rPr>
        <w:t>Section 102</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color w:val="000000"/>
          <w:sz w:val="24"/>
        </w:rPr>
        <w:t>Awards</w:t>
      </w:r>
      <w:r>
        <w:rPr>
          <w:color w:val="000000"/>
        </w:rPr>
        <w:t>”</w:t>
      </w:r>
      <w:r>
        <w:rPr>
          <w:rFonts w:ascii="Times New Roman;sans-serif" w:hAnsi="Times New Roman;sans-serif"/>
          <w:b w:val="false"/>
          <w:color w:val="000000"/>
          <w:sz w:val="24"/>
        </w:rPr>
        <w:t>, respectively).</w:t>
      </w:r>
    </w:p>
    <w:p>
      <w:pPr>
        <w:pStyle w:val="TextBody"/>
        <w:spacing w:lineRule="auto" w:line="240" w:before="0" w:after="240"/>
        <w:ind w:left="0" w:right="0" w:hanging="540"/>
        <w:jc w:val="both"/>
        <w:rPr>
          <w:rFonts w:ascii="Times New Roman;sans-serif" w:hAnsi="Times New Roman;sans-serif"/>
          <w:b w:val="false"/>
          <w:color w:val="000000"/>
          <w:sz w:val="24"/>
        </w:rPr>
      </w:pPr>
      <w:r>
        <w:rPr>
          <w:rFonts w:ascii="Times New Roman;sans-serif" w:hAnsi="Times New Roman;sans-serif"/>
          <w:b w:val="false"/>
          <w:color w:val="000000"/>
          <w:sz w:val="24"/>
        </w:rPr>
        <w:t>1.I understand and accept the provisions of Section 102 in general, and the tax arrangement under the Capital Gain Track in particular, and its tax consequences, as they apply to the Awards;</w:t>
      </w:r>
    </w:p>
    <w:p>
      <w:pPr>
        <w:pStyle w:val="TextBody"/>
        <w:spacing w:lineRule="auto" w:line="240" w:before="0" w:after="240"/>
        <w:ind w:left="0" w:right="0" w:hanging="540"/>
        <w:jc w:val="both"/>
        <w:rPr/>
      </w:pPr>
      <w:r>
        <w:rPr>
          <w:rFonts w:ascii="Times New Roman;sans-serif" w:hAnsi="Times New Roman;sans-serif"/>
          <w:b w:val="false"/>
          <w:color w:val="000000"/>
          <w:sz w:val="24"/>
        </w:rPr>
        <w:t>2.I agree that the Awards and any shares or rights that may be issued upon exercise of the Awards (or otherwise in relation to the Awards), will be held by a trustee appointed pursuant to Section l02 (the “</w:t>
      </w:r>
      <w:r>
        <w:rPr>
          <w:rFonts w:ascii="Times New Roman;sans-serif" w:hAnsi="Times New Roman;sans-serif"/>
          <w:b/>
          <w:color w:val="000000"/>
          <w:sz w:val="24"/>
        </w:rPr>
        <w:t>Trustee</w:t>
      </w:r>
      <w:r>
        <w:rPr>
          <w:color w:val="000000"/>
        </w:rPr>
        <w:t>’’</w:t>
      </w:r>
      <w:r>
        <w:rPr>
          <w:rFonts w:ascii="Times New Roman;sans-serif" w:hAnsi="Times New Roman;sans-serif"/>
          <w:b w:val="false"/>
          <w:color w:val="000000"/>
          <w:sz w:val="24"/>
        </w:rPr>
        <w:t>) for at least the duration of the Holding Period, as defined in Section 102, and I hereby confirm that I shall not release from trust and/or sell such Awards, shares or rights, before the end of the Holding Period. I understand that any release of such Awards, shares or rights from trust, or any sale of any of them prior to the termination of the Holding Period, will result in taxation at marginal tax rates, in addition to deductions of appropriate social security, health tax contributions or other compulsory payments;</w:t>
      </w:r>
    </w:p>
    <w:p>
      <w:pPr>
        <w:pStyle w:val="TextBody"/>
        <w:spacing w:lineRule="auto" w:line="240" w:before="0" w:after="240"/>
        <w:ind w:left="0" w:right="0" w:hanging="540"/>
        <w:jc w:val="both"/>
        <w:rPr>
          <w:rFonts w:ascii="Times New Roman;sans-serif" w:hAnsi="Times New Roman;sans-serif"/>
          <w:b w:val="false"/>
          <w:color w:val="000000"/>
          <w:sz w:val="24"/>
        </w:rPr>
      </w:pPr>
      <w:r>
        <w:rPr>
          <w:rFonts w:ascii="Times New Roman;sans-serif" w:hAnsi="Times New Roman;sans-serif"/>
          <w:b w:val="false"/>
          <w:color w:val="000000"/>
          <w:sz w:val="24"/>
        </w:rPr>
        <w:t>3.I understand that the grant of the Awards is subject to the receipt of all required approvals from the Israeli Tax Authority and compliance with the requirements of Section 102. Accordingly, to the extent that for whatever reason the Awards and underlying shares of common stock shall not be subject to the Capital Gains Route, I shall bear and pay any and all taxes and any other compulsory payments applicable to the grant, exercise, sale or other disposition of Awards or shares.</w:t>
      </w:r>
    </w:p>
    <w:p>
      <w:pPr>
        <w:pStyle w:val="TextBody"/>
        <w:spacing w:lineRule="auto" w:line="240" w:before="0" w:after="240"/>
        <w:ind w:left="0" w:right="0" w:hanging="540"/>
        <w:jc w:val="both"/>
        <w:rPr>
          <w:rFonts w:ascii="Times New Roman;sans-serif" w:hAnsi="Times New Roman;sans-serif"/>
          <w:b w:val="false"/>
          <w:color w:val="000000"/>
          <w:sz w:val="24"/>
        </w:rPr>
      </w:pPr>
      <w:r>
        <w:rPr>
          <w:rFonts w:ascii="Times New Roman;sans-serif" w:hAnsi="Times New Roman;sans-serif"/>
          <w:b w:val="false"/>
          <w:color w:val="000000"/>
          <w:sz w:val="24"/>
        </w:rPr>
        <w:t>4.I agree to be bound by the provisions of the Company’s trust agreement with the Trustee, ESOP Management and Trust Services Ltd., which holds the Awards for my benefit.</w:t>
      </w:r>
    </w:p>
    <w:p>
      <w:pPr>
        <w:pStyle w:val="TextBody"/>
        <w:spacing w:lineRule="auto" w:line="240" w:before="0" w:after="240"/>
        <w:ind w:left="0" w:right="0" w:hanging="540"/>
        <w:jc w:val="both"/>
        <w:rPr>
          <w:rFonts w:ascii="Times New Roman;sans-serif" w:hAnsi="Times New Roman;sans-serif"/>
          <w:b w:val="false"/>
          <w:color w:val="000000"/>
          <w:sz w:val="24"/>
        </w:rPr>
      </w:pPr>
      <w:r>
        <w:rPr>
          <w:rFonts w:ascii="Times New Roman;sans-serif" w:hAnsi="Times New Roman;sans-serif"/>
          <w:b w:val="false"/>
          <w:color w:val="000000"/>
          <w:sz w:val="24"/>
        </w:rPr>
        <w:t>5.I hereby confirm that I have: (i) read and understand this letter; (ii) received all the clarifications and explanations that I have requested; and (iii) had the opportunity to consult with my advisors before signing this confirmation letter.</w:t>
      </w:r>
    </w:p>
    <w:p>
      <w:pPr>
        <w:pStyle w:val="TextBody"/>
        <w:spacing w:lineRule="auto" w:line="240" w:before="0" w:after="240"/>
        <w:ind w:left="0" w:right="0" w:hanging="540"/>
        <w:jc w:val="both"/>
        <w:rPr>
          <w:rFonts w:ascii="Times New Roman;sans-serif" w:hAnsi="Times New Roman;sans-serif"/>
          <w:b w:val="false"/>
          <w:color w:val="000000"/>
          <w:sz w:val="24"/>
        </w:rPr>
      </w:pPr>
      <w:r>
        <w:rPr>
          <w:rFonts w:ascii="Times New Roman;sans-serif" w:hAnsi="Times New Roman;sans-serif"/>
          <w:b w:val="false"/>
          <w:color w:val="000000"/>
          <w:sz w:val="24"/>
        </w:rPr>
        <w:t>6.I hereby confirm that, in addition to my confirmation and agreement hereunder, the acceptance or settlement of any such Awards shall be deemed as irrevocable confirmation of my acknowledgements and undertakings herein with respect to such specific Award.</w:t>
      </w:r>
    </w:p>
    <w:p>
      <w:pPr>
        <w:pStyle w:val="TextBody"/>
        <w:spacing w:lineRule="auto" w:line="240" w:before="0" w:after="240"/>
        <w:ind w:left="0" w:right="0" w:hanging="540"/>
        <w:jc w:val="both"/>
        <w:rPr>
          <w:rFonts w:ascii="Times New Roman;sans-serif" w:hAnsi="Times New Roman;sans-serif"/>
          <w:b w:val="false"/>
          <w:color w:val="000000"/>
          <w:sz w:val="24"/>
        </w:rPr>
      </w:pPr>
      <w:r>
        <w:rPr>
          <w:rFonts w:ascii="Times New Roman;sans-serif" w:hAnsi="Times New Roman;sans-serif"/>
          <w:b w:val="false"/>
          <w:color w:val="000000"/>
          <w:sz w:val="24"/>
        </w:rPr>
        <w:t>7.I declare that I am a resident of the state of Israel for tax purposes and agrees to notify the Company upon any change in the residence address and acknowledges that if I cease to be an Israeli resident or if my engagement with the Company or any affiliate is terminated, the Awards and underlying shares of common stock shall remain subject to Section 102, the trust agreement and the applicable equity plan and grant document.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93370"/>
                <wp:effectExtent l="0" t="0" r="0" b="0"/>
                <wp:wrapNone/>
                <wp:docPr id="106" name="Frame106"/>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ind w:left="0" w:right="0" w:hanging="540"/>
        <w:jc w:val="both"/>
        <w:rPr>
          <w:rFonts w:ascii="Times New Roman;sans-serif" w:hAnsi="Times New Roman;sans-serif"/>
          <w:b w:val="false"/>
          <w:color w:val="000000"/>
          <w:sz w:val="24"/>
        </w:rPr>
      </w:pPr>
      <w:r>
        <w:rPr>
          <w:rFonts w:ascii="Times New Roman;sans-serif" w:hAnsi="Times New Roman;sans-serif"/>
          <w:b w:val="false"/>
          <w:color w:val="000000"/>
          <w:sz w:val="24"/>
        </w:rPr>
        <w:t>8.I understand that this is a one-time Confirmation Letter, and that until Company will determine otherwise, this Confirmation Letter will apply to all future grants of Awards. I hereby confirm that by accepting this Confirmation Letter, I will be deemed to have elected to accept the terms and conditions herein in respect of any such future grant of Awards.</w:t>
      </w:r>
    </w:p>
    <w:p>
      <w:pPr>
        <w:pStyle w:val="TextBody"/>
        <w:spacing w:before="0" w:after="0"/>
        <w:jc w:val="both"/>
        <w:rPr/>
      </w:pPr>
      <w:r>
        <w:rPr/>
      </w:r>
    </w:p>
    <w:p>
      <w:pPr>
        <w:pStyle w:val="TextBody"/>
        <w:spacing w:before="0" w:after="0"/>
        <w:jc w:val="center"/>
        <w:rPr/>
      </w:pPr>
      <w:r>
        <w:rPr/>
      </w:r>
    </w:p>
    <w:p>
      <w:pPr>
        <w:pStyle w:val="TextBody"/>
        <w:spacing w:lineRule="auto" w:line="324" w:before="0" w:after="0"/>
        <w:ind w:left="0" w:right="0" w:hanging="567"/>
        <w:jc w:val="both"/>
        <w:rPr>
          <w:rFonts w:ascii="Times New Roman;sans-serif" w:hAnsi="Times New Roman;sans-serif"/>
          <w:b w:val="false"/>
          <w:color w:val="000000"/>
          <w:sz w:val="24"/>
        </w:rPr>
      </w:pPr>
      <w:r>
        <w:rPr>
          <w:rFonts w:ascii="Times New Roman;sans-serif" w:hAnsi="Times New Roman;sans-serif"/>
          <w:b w:val="false"/>
          <w:color w:val="000000"/>
          <w:sz w:val="24"/>
        </w:rPr>
        <w:t>Sincerely,</w:t>
      </w:r>
    </w:p>
    <w:p>
      <w:pPr>
        <w:pStyle w:val="TextBody"/>
        <w:spacing w:before="0" w:after="0"/>
        <w:ind w:left="0" w:right="0" w:hanging="567"/>
        <w:jc w:val="both"/>
        <w:rPr/>
      </w:pPr>
      <w:r>
        <w:rPr/>
      </w:r>
    </w:p>
    <w:p>
      <w:pPr>
        <w:pStyle w:val="TextBody"/>
        <w:spacing w:lineRule="auto" w:line="324" w:before="0" w:after="0"/>
        <w:ind w:left="0" w:right="0" w:hanging="567"/>
        <w:jc w:val="both"/>
        <w:rPr>
          <w:rFonts w:ascii="Times New Roman;sans-serif" w:hAnsi="Times New Roman;sans-serif"/>
          <w:b w:val="false"/>
          <w:i/>
          <w:color w:val="000000"/>
          <w:sz w:val="24"/>
        </w:rPr>
      </w:pPr>
      <w:r>
        <w:rPr>
          <w:rFonts w:ascii="Times New Roman;sans-serif" w:hAnsi="Times New Roman;sans-serif"/>
          <w:b w:val="false"/>
          <w:i/>
          <w:color w:val="000000"/>
          <w:sz w:val="24"/>
        </w:rPr>
        <w:t>Company Signature</w:t>
      </w:r>
    </w:p>
    <w:p>
      <w:pPr>
        <w:pStyle w:val="TextBody"/>
        <w:spacing w:before="0" w:after="0"/>
        <w:ind w:left="0" w:right="0" w:hanging="567"/>
        <w:jc w:val="both"/>
        <w:rPr/>
      </w:pPr>
      <w:r>
        <w:rPr/>
      </w:r>
    </w:p>
    <w:p>
      <w:pPr>
        <w:pStyle w:val="TextBody"/>
        <w:spacing w:before="0" w:after="0"/>
        <w:ind w:left="0" w:right="0" w:hanging="567"/>
        <w:jc w:val="both"/>
        <w:rPr/>
      </w:pPr>
      <w:r>
        <w:rPr/>
      </w:r>
    </w:p>
    <w:p>
      <w:pPr>
        <w:pStyle w:val="TextBody"/>
        <w:spacing w:before="0" w:after="0"/>
        <w:ind w:left="0" w:right="0" w:hanging="567"/>
        <w:jc w:val="both"/>
        <w:rPr/>
      </w:pPr>
      <w:r>
        <w:rPr/>
      </w:r>
    </w:p>
    <w:p>
      <w:pPr>
        <w:pStyle w:val="TextBody"/>
        <w:spacing w:before="0" w:after="0"/>
        <w:ind w:left="0" w:right="0" w:hanging="567"/>
        <w:jc w:val="both"/>
        <w:rPr/>
      </w:pPr>
      <w:r>
        <w:rPr/>
      </w:r>
    </w:p>
    <w:p>
      <w:pPr>
        <w:pStyle w:val="TextBody"/>
        <w:spacing w:lineRule="auto" w:line="324" w:before="0" w:after="0"/>
        <w:ind w:left="0" w:right="0" w:hanging="567"/>
        <w:jc w:val="both"/>
        <w:rPr>
          <w:rFonts w:ascii="Times New Roman;sans-serif" w:hAnsi="Times New Roman;sans-serif"/>
          <w:b w:val="false"/>
          <w:color w:val="000000"/>
          <w:sz w:val="24"/>
        </w:rPr>
      </w:pPr>
      <w:r>
        <w:rPr>
          <w:rFonts w:ascii="Times New Roman;sans-serif" w:hAnsi="Times New Roman;sans-serif"/>
          <w:b w:val="false"/>
          <w:color w:val="000000"/>
          <w:sz w:val="24"/>
        </w:rPr>
        <w:t>Confirmation:</w:t>
      </w:r>
    </w:p>
    <w:p>
      <w:pPr>
        <w:pStyle w:val="TextBody"/>
        <w:spacing w:before="0" w:after="0"/>
        <w:ind w:left="0" w:right="0" w:hanging="567"/>
        <w:jc w:val="both"/>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of Employee:_______________________________</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ID: ____________________________________________</w:t>
      </w:r>
    </w:p>
    <w:p>
      <w:pPr>
        <w:pStyle w:val="TextBody"/>
        <w:spacing w:before="0" w:after="0"/>
        <w:rPr/>
      </w:pPr>
      <w:r>
        <w:rPr/>
      </w:r>
    </w:p>
    <w:p>
      <w:pPr>
        <w:pStyle w:val="TextBody"/>
        <w:spacing w:lineRule="auto" w:line="324" w:before="0" w:after="0"/>
        <w:ind w:left="0" w:right="0" w:hanging="567"/>
        <w:jc w:val="both"/>
        <w:rPr>
          <w:rFonts w:ascii="Times New Roman;sans-serif" w:hAnsi="Times New Roman;sans-serif"/>
          <w:b w:val="false"/>
          <w:color w:val="000000"/>
          <w:sz w:val="24"/>
        </w:rPr>
      </w:pPr>
      <w:r>
        <w:rPr>
          <w:rFonts w:ascii="Times New Roman;sans-serif" w:hAnsi="Times New Roman;sans-serif"/>
          <w:b w:val="false"/>
          <w:color w:val="000000"/>
          <w:sz w:val="24"/>
        </w:rPr>
        <w:t>Signature:_______________________________________</w:t>
      </w:r>
    </w:p>
    <w:p>
      <w:pPr>
        <w:pStyle w:val="TextBody"/>
        <w:spacing w:before="0" w:after="0"/>
        <w:rPr/>
      </w:pPr>
      <w:r>
        <w:rPr/>
      </w:r>
    </w:p>
    <w:p>
      <w:pPr>
        <w:pStyle w:val="TextBody"/>
        <w:spacing w:before="0" w:after="240"/>
        <w:jc w:val="both"/>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293370"/>
                <wp:effectExtent l="0" t="0" r="0" b="0"/>
                <wp:wrapNone/>
                <wp:docPr id="107" name="Frame107"/>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ITALY</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jc w:val="both"/>
        <w:rPr/>
      </w:pPr>
      <w:r>
        <w:rPr>
          <w:rFonts w:ascii="Times New Roman;sans-serif" w:hAnsi="Times New Roman;sans-serif"/>
          <w:b/>
          <w:color w:val="000000"/>
          <w:sz w:val="24"/>
        </w:rPr>
        <w:t xml:space="preserve">Terms of Grant. </w:t>
      </w:r>
      <w:r>
        <w:rPr>
          <w:rFonts w:ascii="Times New Roman;sans-serif" w:hAnsi="Times New Roman;sans-serif"/>
          <w:b w:val="false"/>
          <w:color w:val="000000"/>
          <w:sz w:val="24"/>
        </w:rPr>
        <w:t>By accepting the Stock Units, Participant acknowledges that (1) Participant has received a copy of the Plan and the Award Agreement, including this Addendum; (2) Participant has reviewed those documents in their entirety and fully understands the contents thereof; and (3) Participant accepts all provisions of the Plan and the Award Agreement, including this Addendum. Participant further acknowledges that Participant has read and specifically and expressly approves, without limitation, the following sections of the Award Agreement: Section 6 – “Forfeiture upon Termination of Status as a Service Provider”; Section 8 – “Withholding of Taxes”; Section 10 – “No Guarantee of Continued Service”; Section 11 – “Nature of Grant”; Section 13 – “Data Privacy” as replaced by the above consent; Section 25 – “Governing Law and Venue”; and Section 26 – “Language.”</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Italian residents who, during the fiscal year, hold investments abroad or foreign financial assets (</w:t>
      </w:r>
      <w:r>
        <w:rPr>
          <w:rFonts w:ascii="Times New Roman;sans-serif" w:hAnsi="Times New Roman;sans-serif"/>
          <w:b w:val="false"/>
          <w:i/>
          <w:color w:val="000000"/>
          <w:sz w:val="24"/>
        </w:rPr>
        <w:t>e.g.</w:t>
      </w:r>
      <w:r>
        <w:rPr>
          <w:rFonts w:ascii="Times New Roman;sans-serif" w:hAnsi="Times New Roman;sans-serif"/>
          <w:b w:val="false"/>
          <w:color w:val="000000"/>
          <w:sz w:val="24"/>
        </w:rPr>
        <w:t>, cash, Shares, Stock Units)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Times New Roman;sans-serif" w:hAnsi="Times New Roman;sans-serif"/>
          <w:b w:val="false"/>
          <w:i/>
          <w:color w:val="000000"/>
          <w:sz w:val="24"/>
        </w:rPr>
        <w:t>e.g.</w:t>
      </w:r>
      <w:r>
        <w:rPr>
          <w:rFonts w:ascii="Times New Roman;sans-serif" w:hAnsi="Times New Roman;sans-serif"/>
          <w:b w:val="false"/>
          <w:color w:val="000000"/>
          <w:sz w:val="24"/>
        </w:rPr>
        <w:t>, cash, Shares, Stock Units), are beneficial owners of the investment pursuant to Italian money laundering provisions.</w:t>
      </w:r>
    </w:p>
    <w:p>
      <w:pPr>
        <w:pStyle w:val="TextBody"/>
        <w:spacing w:lineRule="auto" w:line="240" w:before="0" w:after="240"/>
        <w:jc w:val="both"/>
        <w:rPr/>
      </w:pPr>
      <w:r>
        <w:rPr>
          <w:rFonts w:ascii="Times New Roman;sans-serif" w:hAnsi="Times New Roman;sans-serif"/>
          <w:b/>
          <w:color w:val="000000"/>
          <w:sz w:val="24"/>
        </w:rPr>
        <w:t>Tax on Foreign Financial Assets.</w:t>
      </w:r>
      <w:r>
        <w:rPr>
          <w:color w:val="000000"/>
        </w:rPr>
        <w:t xml:space="preserve"> </w:t>
      </w:r>
      <w:r>
        <w:rPr>
          <w:rFonts w:ascii="Times New Roman;sans-serif" w:hAnsi="Times New Roman;sans-serif"/>
          <w:b w:val="false"/>
          <w:color w:val="000000"/>
          <w:sz w:val="24"/>
        </w:rPr>
        <w:t xml:space="preserve">A tax on the value of financial assets held outside of Italy by individuals resident in Italy will be due. The taxable amount will be the fair market value of the financial assets (including Shares) assessed at the end of each calendar year. </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JAPAN</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If Participant acquires Shares valued at more than ¥100,000,000 in a single transaction, Participant must file a Securities Acquisition Report with the Ministry of Finance through the Bank of Japan within 20 days after the acquisition of the Shares. Participant should consult with their personal tax advisor to ensure they are complying with the applicable reporting requirements.</w:t>
      </w:r>
    </w:p>
    <w:p>
      <w:pPr>
        <w:pStyle w:val="TextBody"/>
        <w:spacing w:lineRule="auto" w:line="240" w:before="0" w:after="240"/>
        <w:jc w:val="both"/>
        <w:rPr/>
      </w:pPr>
      <w:r>
        <w:rPr>
          <w:rFonts w:ascii="Times New Roman;sans-serif" w:hAnsi="Times New Roman;sans-serif"/>
          <w:b/>
          <w:color w:val="000000"/>
          <w:sz w:val="24"/>
        </w:rPr>
        <w:t xml:space="preserve">Foreign Asset / Account Reporting Information. </w:t>
      </w:r>
      <w:r>
        <w:rPr>
          <w:rFonts w:ascii="Times New Roman;sans-serif" w:hAnsi="Times New Roman;sans-serif"/>
          <w:b w:val="false"/>
          <w:color w:val="000000"/>
          <w:sz w:val="24"/>
        </w:rPr>
        <w:t>Japanese residents are required to report details of any assets (including any Shares) held outside of Japan as of December 31 each year, to the extent such assets have a total net fair market value exceeding ¥50,000,000. Such report will be due by March 15 of the following year. Participant is advised to consult with his or her personal tax advisor as to whether the reporting obligation applies to Participant and whether Participant will be required to report details of any Stock Units or Shares that Participant holds.</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KOREA</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Korean residents must declare all foreign financial accounts (</w:t>
      </w:r>
      <w:r>
        <w:rPr>
          <w:rFonts w:ascii="Times New Roman;sans-serif" w:hAnsi="Times New Roman;sans-serif"/>
          <w:b w:val="false"/>
          <w:i/>
          <w:color w:val="000000"/>
          <w:sz w:val="24"/>
        </w:rPr>
        <w:t>e.g.</w:t>
      </w:r>
      <w:r>
        <w:rPr>
          <w:rFonts w:ascii="Times New Roman;sans-serif" w:hAnsi="Times New Roman;sans-serif"/>
          <w:b w:val="false"/>
          <w:color w:val="000000"/>
          <w:sz w:val="24"/>
        </w:rPr>
        <w:t xml:space="preserve">, non-Korean bank accounts, brokerage accounts holding shares) to the Korean tax authority and file a report with respect to such accounts if the value of such accounts exceeds KRW 500 million (or an equivalent amount in foreign currency). Participant should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293370"/>
                <wp:effectExtent l="0" t="0" r="0" b="0"/>
                <wp:wrapNone/>
                <wp:docPr id="108" name="Frame108"/>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consult with his or her personal tax advisor to determine how to value Participant’s foreign accounts for purposes of this reporting requirement and whether Participant is required to file a report with respect to such accounts.</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KUWAIT</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There are no country-specific provisions.</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MALAYSIA</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tbl>
      <w:tblPr>
        <w:tblW w:w="10205" w:type="dxa"/>
        <w:jc w:val="left"/>
        <w:tblInd w:w="0" w:type="dxa"/>
        <w:tblCellMar>
          <w:top w:w="28" w:type="dxa"/>
          <w:left w:w="28" w:type="dxa"/>
          <w:bottom w:w="28" w:type="dxa"/>
          <w:right w:w="28" w:type="dxa"/>
        </w:tblCellMar>
      </w:tblPr>
      <w:tblGrid>
        <w:gridCol w:w="1856"/>
        <w:gridCol w:w="1630"/>
        <w:gridCol w:w="1634"/>
        <w:gridCol w:w="1488"/>
        <w:gridCol w:w="1488"/>
        <w:gridCol w:w="2109"/>
      </w:tblGrid>
      <w:tr>
        <w:trPr/>
        <w:tc>
          <w:tcPr>
            <w:tcW w:w="1856" w:type="dxa"/>
            <w:tcBorders/>
            <w:shd w:fill="auto" w:val="clear"/>
            <w:vAlign w:val="center"/>
          </w:tcPr>
          <w:p>
            <w:pPr>
              <w:pStyle w:val="TableContents"/>
              <w:spacing w:before="0" w:after="283"/>
              <w:rPr>
                <w:sz w:val="4"/>
                <w:szCs w:val="4"/>
              </w:rPr>
            </w:pPr>
            <w:r>
              <w:rPr>
                <w:sz w:val="4"/>
                <w:szCs w:val="4"/>
              </w:rPr>
            </w:r>
          </w:p>
        </w:tc>
        <w:tc>
          <w:tcPr>
            <w:tcW w:w="1630" w:type="dxa"/>
            <w:tcBorders/>
            <w:shd w:fill="auto" w:val="clear"/>
            <w:vAlign w:val="center"/>
          </w:tcPr>
          <w:p>
            <w:pPr>
              <w:pStyle w:val="TableContents"/>
              <w:spacing w:before="0" w:after="283"/>
              <w:rPr>
                <w:sz w:val="4"/>
                <w:szCs w:val="4"/>
              </w:rPr>
            </w:pPr>
            <w:r>
              <w:rPr>
                <w:sz w:val="4"/>
                <w:szCs w:val="4"/>
              </w:rPr>
            </w:r>
          </w:p>
        </w:tc>
        <w:tc>
          <w:tcPr>
            <w:tcW w:w="1634" w:type="dxa"/>
            <w:tcBorders/>
            <w:shd w:fill="auto" w:val="clear"/>
            <w:vAlign w:val="center"/>
          </w:tcPr>
          <w:p>
            <w:pPr>
              <w:pStyle w:val="TableContents"/>
              <w:spacing w:before="0" w:after="283"/>
              <w:rPr>
                <w:sz w:val="4"/>
                <w:szCs w:val="4"/>
              </w:rPr>
            </w:pPr>
            <w:r>
              <w:rPr>
                <w:sz w:val="4"/>
                <w:szCs w:val="4"/>
              </w:rPr>
            </w:r>
          </w:p>
        </w:tc>
        <w:tc>
          <w:tcPr>
            <w:tcW w:w="1488" w:type="dxa"/>
            <w:tcBorders/>
            <w:shd w:fill="auto" w:val="clear"/>
            <w:vAlign w:val="center"/>
          </w:tcPr>
          <w:p>
            <w:pPr>
              <w:pStyle w:val="TableContents"/>
              <w:spacing w:before="0" w:after="283"/>
              <w:rPr>
                <w:sz w:val="4"/>
                <w:szCs w:val="4"/>
              </w:rPr>
            </w:pPr>
            <w:r>
              <w:rPr>
                <w:sz w:val="4"/>
                <w:szCs w:val="4"/>
              </w:rPr>
            </w:r>
          </w:p>
        </w:tc>
        <w:tc>
          <w:tcPr>
            <w:tcW w:w="1488" w:type="dxa"/>
            <w:tcBorders/>
            <w:shd w:fill="auto" w:val="clear"/>
            <w:vAlign w:val="center"/>
          </w:tcPr>
          <w:p>
            <w:pPr>
              <w:pStyle w:val="TableContents"/>
              <w:spacing w:before="0" w:after="283"/>
              <w:rPr>
                <w:sz w:val="4"/>
                <w:szCs w:val="4"/>
              </w:rPr>
            </w:pPr>
            <w:r>
              <w:rPr>
                <w:sz w:val="4"/>
                <w:szCs w:val="4"/>
              </w:rPr>
            </w:r>
          </w:p>
        </w:tc>
        <w:tc>
          <w:tcPr>
            <w:tcW w:w="2109" w:type="dxa"/>
            <w:tcBorders/>
            <w:shd w:fill="auto" w:val="clear"/>
            <w:vAlign w:val="center"/>
          </w:tcPr>
          <w:p>
            <w:pPr>
              <w:pStyle w:val="TableContents"/>
              <w:spacing w:before="0" w:after="283"/>
              <w:rPr>
                <w:sz w:val="4"/>
                <w:szCs w:val="4"/>
              </w:rPr>
            </w:pPr>
            <w:r>
              <w:rPr>
                <w:sz w:val="4"/>
                <w:szCs w:val="4"/>
              </w:rPr>
            </w:r>
          </w:p>
        </w:tc>
      </w:tr>
      <w:tr>
        <w:trPr/>
        <w:tc>
          <w:tcPr>
            <w:tcW w:w="512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720"/>
              <w:jc w:val="both"/>
              <w:rPr>
                <w:rFonts w:ascii="Times New Roman;sans-serif" w:hAnsi="Times New Roman;sans-serif"/>
                <w:b/>
                <w:i/>
                <w:color w:val="000000"/>
                <w:sz w:val="24"/>
              </w:rPr>
            </w:pPr>
            <w:r>
              <w:rPr>
                <w:rFonts w:ascii="Times New Roman;sans-serif" w:hAnsi="Times New Roman;sans-serif"/>
                <w:b/>
                <w:i/>
                <w:color w:val="000000"/>
                <w:sz w:val="24"/>
              </w:rPr>
              <w:t>Participant hereby explicitly and unambiguously consents to the collection, use and transfer, in electronic or other form, of Participant’s personal data as described in this Award Agreement and any other Stock Unit grant materials by and among, as applicable, the Employer, the Company and any Parent or Subsidiary for the exclusive purpose of implementing, administering and managing Participant’s participation in the Plan.</w:t>
            </w:r>
          </w:p>
          <w:p>
            <w:pPr>
              <w:pStyle w:val="TableContents"/>
              <w:spacing w:before="0" w:after="0"/>
              <w:ind w:left="0" w:right="0" w:firstLine="720"/>
              <w:jc w:val="both"/>
              <w:rPr/>
            </w:pPr>
            <w:r>
              <w:rPr/>
            </w:r>
          </w:p>
          <w:p>
            <w:pPr>
              <w:pStyle w:val="TableContents"/>
              <w:spacing w:lineRule="auto" w:line="240" w:before="0" w:after="0"/>
              <w:ind w:left="0" w:right="0" w:firstLine="720"/>
              <w:jc w:val="both"/>
              <w:rPr>
                <w:rFonts w:ascii="Times New Roman;sans-serif" w:hAnsi="Times New Roman;sans-serif"/>
                <w:b/>
                <w:i/>
                <w:color w:val="000000"/>
                <w:sz w:val="24"/>
              </w:rPr>
            </w:pPr>
            <w:r>
              <w:rPr>
                <w:rFonts w:ascii="Times New Roman;sans-serif" w:hAnsi="Times New Roman;sans-serif"/>
                <w:b/>
                <w:i/>
                <w:color w:val="000000"/>
                <w:sz w:val="24"/>
              </w:rPr>
              <w:t xml:space="preserve">Participant understands that the Company and the Employer may hold certain personal information about Participant, including, but not limited to, Participant’s name, home address and telephone number, date of birth, social insurance number or other identification number, salary, nationality, job title, any shares of stock or directorships held in the Company, details of all Stock Units or any other entitlement to shares of stock awarded, canceled, exercised, vested, unvested or outstanding in Participant’s favor (“Data”), for the exclusive purpose of implementing, administering and managing the Plan. The Data is supplied by the Employer and also by Participant through information collected in connection with the Award Agreement and the Plan. </w:t>
            </w:r>
          </w:p>
          <w:p>
            <w:pPr>
              <w:pStyle w:val="TableContents"/>
              <w:spacing w:before="0" w:after="0"/>
              <w:ind w:left="0" w:right="0" w:firstLine="720"/>
              <w:jc w:val="both"/>
              <w:rPr/>
            </w:pPr>
            <w:r>
              <w:rPr/>
            </w:r>
          </w:p>
          <w:p>
            <w:pPr>
              <w:pStyle w:val="TableContents"/>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Participant understands that Data will be transferred toE*TRADE Financial Corporation, or such other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its broker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at Fortinet Malaysia SDN BHD, Suite 33A-02/03, Level 33A, Menara Keck Seng 203, Jalan Bukit Bintang 55100 Kuala Lumpur, Malaysia. Further, Participant understands that he or she is providing the consents herein on a purely voluntary basis. If Participant does not consent, or if Participant later seeks to revoke his or her consent, his or her employment status or service and career with the Employer will not be adversely affected; the only consequence of refusing or withdrawing Participant’s consent is that the Company would not be able to grant Participant Stock Units or other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tc>
        <w:tc>
          <w:tcPr>
            <w:tcW w:w="5085" w:type="dxa"/>
            <w:gridSpan w:val="3"/>
            <w:tcBorders/>
            <w:shd w:fill="auto" w:val="clear"/>
            <w:tcMar>
              <w:top w:w="0" w:type="dxa"/>
              <w:left w:w="0" w:type="dxa"/>
              <w:bottom w:w="0" w:type="dxa"/>
              <w:right w:w="0" w:type="dxa"/>
            </w:tcMar>
            <w:vAlign w:val="center"/>
          </w:tcPr>
          <w:p>
            <w:pPr>
              <w:pStyle w:val="TableContents"/>
              <w:spacing w:lineRule="auto" w:line="240" w:before="0" w:after="240"/>
              <w:jc w:val="both"/>
              <w:rPr>
                <w:color w:val="000000"/>
              </w:rPr>
            </w:pPr>
            <w:r>
              <w:rPr>
                <w:color w:val="000000"/>
              </w:rPr>
              <w:t>    </w:t>
            </w:r>
            <w:r>
              <w:rPr>
                <w:rFonts w:ascii="Times New Roman;sans-serif" w:hAnsi="Times New Roman;sans-serif"/>
                <w:b/>
                <w:i/>
                <w:color w:val="000000"/>
                <w:sz w:val="24"/>
              </w:rPr>
              <w:t>Peserta dengan ini secara eksplisit dan tanpa sebarang keraguan mengizinkan pengumpulan, penggunaan dan pemindahan, dalam bentuk elektronik atau lain-lain, data peribadi Peserta seperti yang dinyatakan dalam Perjanjian Penganugerahan dan apa-apa bahan geran Unit Saham Terbatas yang lain oleh dan di antara, sebagaimana yang berkenaan, Majikan, Syarikat, dan mana-mana Syarikat Induk atau Anak Syarikat untuk tujuan ekslusif bagi pelaksanaan, pentadbiran dan pengurusan penyertaan Peserta dalam Pelan tersebut.</w:t>
            </w:r>
          </w:p>
          <w:p>
            <w:pPr>
              <w:pStyle w:val="TableContents"/>
              <w:spacing w:lineRule="auto" w:line="240" w:before="0" w:after="240"/>
              <w:jc w:val="both"/>
              <w:rPr>
                <w:color w:val="000000"/>
              </w:rPr>
            </w:pPr>
            <w:r>
              <w:rPr>
                <w:color w:val="000000"/>
              </w:rPr>
              <w:t>    </w:t>
            </w:r>
            <w:r>
              <w:rPr>
                <w:rFonts w:ascii="Times New Roman;sans-serif" w:hAnsi="Times New Roman;sans-serif"/>
                <w:b/>
                <w:i/>
                <w:color w:val="000000"/>
                <w:sz w:val="24"/>
              </w:rPr>
              <w:t xml:space="preserve">Peserta memahami bahawa Syarikat dan Majikan mungkin memegang maklumat peribadi tertentu tentang Peserta, termasuk, tetapi tidak terhad kepada, namanya, alamat rumah dan nombor telefon, tarikh lahir, nombor insurans sosial atau nombor pengenalan lain, gaji, kewarganegaraan, jawatan, apa-apa saham atau jawatan pengarah yang dipegang dalam Syarikat, butir-butir semua Unit Saham Terbatas atau apa-apa hak lain untuk syer dalam saham yang dianugerahkan, dibatalkan, dilaksanakan, terletak hak, tidak diletak hak ataupun yang belum dijelaskan bagi faedah Peserta (“Data”), untuk tujuan yang eksklusif bagi melaksanakan, mentadbir dan menguruskan Pelan. Data dibekalkan oleh Majikan dan juga oleh Peserta melalui maklumat yang dikumpul berkenaan dengan Perjanjian Penganugerahan dan Pelan. </w:t>
            </w:r>
          </w:p>
          <w:p>
            <w:pPr>
              <w:pStyle w:val="TableContents"/>
              <w:spacing w:lineRule="auto" w:line="240" w:before="0" w:after="240"/>
              <w:jc w:val="both"/>
              <w:rPr/>
            </w:pPr>
            <w:r>
              <w:rPr>
                <w:color w:val="000000"/>
              </w:rPr>
              <w:t>    </w:t>
            </w:r>
            <w:r>
              <w:rPr>
                <w:rFonts w:ascii="Times New Roman;sans-serif" w:hAnsi="Times New Roman;sans-serif"/>
                <w:b/>
                <w:i/>
                <w:color w:val="000000"/>
                <w:sz w:val="24"/>
              </w:rPr>
              <w:t>Peserta memahami bahawa Data akan dipindah kepadaE*TRADE Financial Corporation, atau pembekal perkhidmatan pelan saham lain yang mungkin dipilih oleh Syarikat pada masa depan yang membantu Syarikat dalam melaksanakan, mentadbir dan menguruskan Pelan tersebut.</w:t>
            </w:r>
            <w:r>
              <w:rPr>
                <w:color w:val="000000"/>
              </w:rPr>
              <w:t xml:space="preserve"> </w:t>
            </w:r>
            <w:r>
              <w:rPr>
                <w:rFonts w:ascii="Times New Roman;sans-serif" w:hAnsi="Times New Roman;sans-serif"/>
                <w:b/>
                <w:i/>
                <w:color w:val="000000"/>
                <w:sz w:val="24"/>
              </w:rPr>
              <w:t>Peserta memahami bahawa penerima-penerima Data mungkin berada di Amerika Syarikat atau di tempat lain, dan bahawa negara penerima (contohnya, Amerika Syarikat) mungkin mempunyai undang-undang privasi data dan perlindungan yang berbeza daripada negara Peserta. Peserta fahami bahawa sekiranya dia menetap di luar Amerika Syarikat, Peserta boleh meminta senarai nama dan alamat mana-mana penerima Data yang berpotensi dengan menghubungi wakil sumber manusia tempatannya. Peserta memberi kuasa kepada Syarikat, brokernya dan mana-mana penerima lain yang mungkin membantu Syarikat (pada masa kini atau masa depan) untuk melaksanakan, mentadbir dan menguruskan Pelan untuk menerima, memiliki, menggunakan, mengekalkan dan memindahkan Data, dalam bentuk elektronik atau lain-lain, dengan tujuan untuk melaksanakan, mentadbir dan menguruskan penyertaan Peserta dalam Pelan. Peserta fahami bahawa Data akan dipegang hanya untuk tempoh yang diperlukan untuk melaksanakan, mentadbir dan menguruskan penyertaan Peserta dalam Pelan. Peserta fahami bahawa sekiranya dia menetap di luar Amerika Syarikat, dia boleh, pada bila-bila masa, melihat Data, meminta maklumat tambahan mengenai penyimpanan dan pemprosesan Data, meminta bahawa pindaan-pindaan yang diperlukan dilaksanakan ke atas Data atau menolak atau menarik balik persetujuan dalam ini, dalam mana-mana kes, tanpa kos, dengan menghubungi secara bertulis wakil sumber manusia tempatannya di Fortinet Malaysia SDN BHD, Suite 33A-02/03, Level 33A, Menara Keck Seng 203, Jalan Bukit Bintang 55100 Kuala Lumpur, Malaysia. Selanjutnya, Peserta memahami bahawa dia memberikan persetujuan di sini secara sukarela. Jika Peserta tidak bersetuju, atau jika Peserta kemudian membatalkan persetujuannya, status pekerjaan atau perkhidmatan dan kerjayanya dengan Majikan tidak akan terjejas; satunya akibat jika dia tidak bersetuju atau menarik balik persetujuannya adalah bahawa Syarikat tidak akan dapat menganugerahkan kepada Peserta Unit Saham Terbatas atau Anugerah lain atau mentadbir atau mengekalkan Anugerah tersebut. Oleh itu, Peserta fahami bahawa keengganan atau penarikan balik persetujuannya boleh menjejaskan keupayaannya untuk mengambil bahagian dalam Pelan. Untuk maklumat lanjut mengenai akibat keengganannya untuk memberikan keizinan atau penarikan balik keizinan, Peserta fahami bahawa dia boleh menghubungi wakil sumber manusia tempatannya.</w:t>
            </w:r>
          </w:p>
        </w:tc>
      </w:tr>
    </w:tbl>
    <w:p>
      <w:pPr>
        <w:pStyle w:val="TextBody"/>
        <w:spacing w:lineRule="auto" w:line="240" w:before="0" w:after="240"/>
        <w:jc w:val="both"/>
        <w:rPr/>
      </w:pPr>
      <w:r>
        <w:rPr>
          <w:rFonts w:ascii="Times New Roman;sans-serif" w:hAnsi="Times New Roman;sans-serif"/>
          <w:b/>
          <w:color w:val="000000"/>
          <w:sz w:val="24"/>
        </w:rPr>
        <w:t>Director Notification Obligation</w:t>
      </w:r>
      <w:r>
        <w:rPr>
          <w:rFonts w:ascii="Times New Roman;sans-serif" w:hAnsi="Times New Roman;sans-serif"/>
          <w:b w:val="false"/>
          <w:color w:val="000000"/>
          <w:sz w:val="24"/>
        </w:rPr>
        <w:t>. If Participant is a director of a Malaysian Parent or Subsidiary, Participant is subject to certain notification requirements under the Malaysian Companies Act. Among these requirements is an obligation to notify the Company’s Malaysian Parent or Subsidiary in writing when Participant receive or dispose of an interest (</w:t>
      </w:r>
      <w:r>
        <w:rPr>
          <w:rFonts w:ascii="Times New Roman;sans-serif" w:hAnsi="Times New Roman;sans-serif"/>
          <w:b w:val="false"/>
          <w:i/>
          <w:color w:val="000000"/>
          <w:sz w:val="24"/>
        </w:rPr>
        <w:t>e.g</w:t>
      </w:r>
      <w:r>
        <w:rPr>
          <w:rFonts w:ascii="Times New Roman;sans-serif" w:hAnsi="Times New Roman;sans-serif"/>
          <w:b w:val="false"/>
          <w:color w:val="000000"/>
          <w:sz w:val="24"/>
        </w:rPr>
        <w:t>., Stock Units or Shares) in the Company or any related company. This notification must be made within 14 days of receiving or disposing of any interest in the Company or any related company.</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MEXICO</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jc w:val="both"/>
        <w:rPr/>
      </w:pPr>
      <w:r>
        <w:rPr>
          <w:rFonts w:ascii="Times New Roman;sans-serif" w:hAnsi="Times New Roman;sans-serif"/>
          <w:b/>
          <w:color w:val="000000"/>
          <w:sz w:val="24"/>
        </w:rPr>
        <w:t xml:space="preserve">No Entitlement or Claims for Compensation. </w:t>
      </w:r>
      <w:r>
        <w:rPr>
          <w:rFonts w:ascii="Times New Roman;sans-serif" w:hAnsi="Times New Roman;sans-serif"/>
          <w:b w:val="false"/>
          <w:color w:val="000000"/>
          <w:sz w:val="24"/>
        </w:rPr>
        <w:t>These provisions supplement Section 11 of the Award Agreement:</w:t>
      </w:r>
    </w:p>
    <w:p>
      <w:pPr>
        <w:pStyle w:val="TextBody"/>
        <w:spacing w:lineRule="auto" w:line="240" w:before="0" w:after="240"/>
        <w:jc w:val="both"/>
        <w:rPr/>
      </w:pPr>
      <w:r>
        <w:rPr>
          <w:rFonts w:ascii="Times New Roman;sans-serif" w:hAnsi="Times New Roman;sans-serif"/>
          <w:b/>
          <w:color w:val="000000"/>
          <w:sz w:val="24"/>
        </w:rPr>
        <w:t xml:space="preserve">Modification. </w:t>
      </w:r>
      <w:r>
        <w:rPr>
          <w:rFonts w:ascii="Times New Roman;sans-serif" w:hAnsi="Times New Roman;sans-serif"/>
          <w:b w:val="false"/>
          <w:color w:val="000000"/>
          <w:sz w:val="24"/>
        </w:rPr>
        <w:t>By accepting the Stock Units, Participant understands and agrees that any modification of the Plan or the Award Agreement or its termination shall not constitute a change or impairment of the terms and conditions of employment.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293370"/>
                <wp:effectExtent l="0" t="0" r="0" b="0"/>
                <wp:wrapNone/>
                <wp:docPr id="109" name="Frame109"/>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both"/>
        <w:rPr/>
      </w:pPr>
      <w:r>
        <w:rPr>
          <w:rFonts w:ascii="Times New Roman;sans-serif" w:hAnsi="Times New Roman;sans-serif"/>
          <w:b/>
          <w:color w:val="000000"/>
          <w:sz w:val="24"/>
        </w:rPr>
        <w:t xml:space="preserve">Policy Statement. </w:t>
      </w:r>
      <w:r>
        <w:rPr>
          <w:rFonts w:ascii="Times New Roman;sans-serif" w:hAnsi="Times New Roman;sans-serif"/>
          <w:b w:val="false"/>
          <w:color w:val="000000"/>
          <w:sz w:val="24"/>
        </w:rPr>
        <w:t>The Award of Stock Units the Company is making under the Plan is unilateral and discretionary and, therefore, the Company reserves the absolute right to amend it and discontinue it at any time without any liability.</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with registered offices at 899 Kifer Road, Sunnyvale, CA 94086, U.S.A., is solely responsible for the administration of the Plan and participation in the Plan and the acquisition of Shares does not, in any way, establish an employment relationship between Participant and the Company since Participant is participating in the Plan on a wholly commercial basis and the sole employer is Fortinet, Inc., located at Prol. Paseo de la Reforma 115 Int. 702, Col. Lomas de Santa Fe, Del. Alvaro Obregon, Mexico, D.F. C.P. 01219, nor does it establish any rights between Participant and the Employer.</w:t>
      </w:r>
    </w:p>
    <w:p>
      <w:pPr>
        <w:pStyle w:val="TextBody"/>
        <w:spacing w:lineRule="auto" w:line="240" w:before="0" w:after="240"/>
        <w:jc w:val="both"/>
        <w:rPr/>
      </w:pPr>
      <w:r>
        <w:rPr>
          <w:rFonts w:ascii="Times New Roman;sans-serif" w:hAnsi="Times New Roman;sans-serif"/>
          <w:b/>
          <w:color w:val="000000"/>
          <w:sz w:val="24"/>
        </w:rPr>
        <w:t>Plan Document Acknowledgment.</w:t>
      </w:r>
      <w:r>
        <w:rPr>
          <w:color w:val="000000"/>
        </w:rPr>
        <w:t xml:space="preserve"> </w:t>
      </w:r>
      <w:r>
        <w:rPr>
          <w:rFonts w:ascii="Times New Roman;sans-serif" w:hAnsi="Times New Roman;sans-serif"/>
          <w:b w:val="false"/>
          <w:color w:val="000000"/>
          <w:sz w:val="24"/>
        </w:rPr>
        <w:t xml:space="preserve">By accepting the Award of Stock Units, Participant acknowledges that Participant has received copies of the Plan, has reviewed the Plan and the Award Agreement in their entirety and fully understands and accepts all provisions of the Plan and the Award Agreement. </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by accepting the Award Agreement, Participant further acknowledges that Participant has read and specifically and expressly approved the terms and conditions in the Award Agreement, in which the following is clearly described and established: (i) participation in the Plan does not constitute an acquired right; (ii) the Plan and participation in the Plan is offered by the Company on a wholly discretionary basis; (iii) participation in the Plan is voluntary; and (iv) the Company and any Parent or Subsidiary are not responsible for any decrease in the value of the Shares underlying the Stock Units.</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Finally, Participant hereby declares that Participant does not reserve any action or right to bring any claim against the Company for any compensation or damages as a result of Participant’s participation in the Plan and therefore grants a full and broad release to the Employer, the Company and any Parent or Subsidiary with respect to any claim that may arise under the Plan.</w:t>
      </w:r>
    </w:p>
    <w:p>
      <w:pPr>
        <w:pStyle w:val="TextBody"/>
        <w:spacing w:lineRule="auto" w:line="240" w:before="0" w:after="240"/>
        <w:jc w:val="both"/>
        <w:rPr>
          <w:rFonts w:ascii="Times New Roman;sans-serif" w:hAnsi="Times New Roman;sans-serif"/>
          <w:b/>
          <w:color w:val="000000"/>
          <w:sz w:val="24"/>
          <w:u w:val="single"/>
        </w:rPr>
      </w:pPr>
      <w:r>
        <w:rPr>
          <w:rFonts w:ascii="Times New Roman;sans-serif" w:hAnsi="Times New Roman;sans-serif"/>
          <w:b/>
          <w:color w:val="000000"/>
          <w:sz w:val="24"/>
          <w:u w:val="single"/>
        </w:rPr>
        <w:t>Spanish Translation</w:t>
      </w:r>
    </w:p>
    <w:p>
      <w:pPr>
        <w:pStyle w:val="TextBody"/>
        <w:spacing w:lineRule="auto" w:line="240" w:before="0" w:after="240"/>
        <w:jc w:val="both"/>
        <w:rPr/>
      </w:pPr>
      <w:r>
        <w:rPr>
          <w:rFonts w:ascii="Times New Roman;sans-serif" w:hAnsi="Times New Roman;sans-serif"/>
          <w:b/>
          <w:i/>
          <w:color w:val="000000"/>
          <w:sz w:val="24"/>
        </w:rPr>
        <w:t>Sin derecho a compensación o reclamaciones por compensación.</w:t>
      </w:r>
      <w:r>
        <w:rPr>
          <w:color w:val="000000"/>
        </w:rPr>
        <w:t xml:space="preserve"> </w:t>
      </w:r>
      <w:r>
        <w:rPr>
          <w:rFonts w:ascii="Times New Roman;sans-serif" w:hAnsi="Times New Roman;sans-serif"/>
          <w:b w:val="false"/>
          <w:i/>
          <w:color w:val="000000"/>
          <w:sz w:val="24"/>
        </w:rPr>
        <w:t>Estas disposiciones complementan el Contrato:</w:t>
      </w:r>
    </w:p>
    <w:p>
      <w:pPr>
        <w:pStyle w:val="TextBody"/>
        <w:spacing w:lineRule="auto" w:line="240" w:before="0" w:after="240"/>
        <w:jc w:val="both"/>
        <w:rPr/>
      </w:pPr>
      <w:r>
        <w:rPr>
          <w:rFonts w:ascii="Times New Roman;sans-serif" w:hAnsi="Times New Roman;sans-serif"/>
          <w:b/>
          <w:i/>
          <w:color w:val="000000"/>
          <w:sz w:val="24"/>
        </w:rPr>
        <w:t>Modificación</w:t>
      </w:r>
      <w:r>
        <w:rPr>
          <w:rFonts w:ascii="Times New Roman;sans-serif" w:hAnsi="Times New Roman;sans-serif"/>
          <w:b/>
          <w:color w:val="000000"/>
          <w:sz w:val="24"/>
        </w:rPr>
        <w:t>.</w:t>
      </w:r>
      <w:r>
        <w:rPr>
          <w:color w:val="000000"/>
        </w:rPr>
        <w:t xml:space="preserve"> </w:t>
      </w:r>
      <w:r>
        <w:rPr>
          <w:rFonts w:ascii="Times New Roman;sans-serif" w:hAnsi="Times New Roman;sans-serif"/>
          <w:b w:val="false"/>
          <w:i/>
          <w:color w:val="000000"/>
          <w:sz w:val="24"/>
        </w:rPr>
        <w:t xml:space="preserve">Al aceptar las Unidades de Acciones Restringidas, el Participante entiende y acuerda que cualquier modificación al Plan o al Contrato o su terminación no constituirá un cambio o perjuicio a los términos y condiciones de empleo. </w:t>
      </w:r>
    </w:p>
    <w:p>
      <w:pPr>
        <w:pStyle w:val="TextBody"/>
        <w:spacing w:lineRule="auto" w:line="240" w:before="0" w:after="240"/>
        <w:jc w:val="both"/>
        <w:rPr/>
      </w:pPr>
      <w:r>
        <w:rPr>
          <w:rFonts w:ascii="Times New Roman;sans-serif" w:hAnsi="Times New Roman;sans-serif"/>
          <w:b/>
          <w:i/>
          <w:color w:val="000000"/>
          <w:sz w:val="24"/>
        </w:rPr>
        <w:t xml:space="preserve">Declaración de Política. </w:t>
      </w:r>
      <w:r>
        <w:rPr>
          <w:rFonts w:ascii="Times New Roman;sans-serif" w:hAnsi="Times New Roman;sans-serif"/>
          <w:b w:val="false"/>
          <w:i/>
          <w:color w:val="000000"/>
          <w:sz w:val="24"/>
        </w:rPr>
        <w:t>El Otorgamiento de Unidades de Acciones Restringidas que la Compañía está haciendo de conformidad con el Plan es unilateral y discrecional y, por lo tanto, la Compañía se reserva el derecho absoluto de modificar y discontinuar el mismo en cualquier momento, sin responsabilidad alguna.</w:t>
      </w:r>
    </w:p>
    <w:p>
      <w:pPr>
        <w:pStyle w:val="TextBody"/>
        <w:spacing w:lineRule="auto" w:line="240" w:before="0" w:after="240"/>
        <w:jc w:val="both"/>
        <w:rPr/>
      </w:pPr>
      <w:r>
        <w:rPr>
          <w:rFonts w:ascii="Times New Roman;sans-serif" w:hAnsi="Times New Roman;sans-serif"/>
          <w:b w:val="false"/>
          <w:i/>
          <w:color w:val="000000"/>
          <w:sz w:val="24"/>
        </w:rPr>
        <w:t>La Compañía, con oficinas registradas ubicadas en 899 Kifer Road, Sunnyvale, CA 94086</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 xml:space="preserve">, EE.UU. es únicamente responsable de la administración del Plan y la participación en el Plan y la adquisición de Acciones no establece, de forma alguna, una relación de trabajo entre el Participante y la Compañía, ya que el Participante participa en el Plan de una forma totalmente comercial y el único patrón </w:t>
      </w:r>
      <w:r>
        <w:rPr>
          <w:rFonts w:ascii="Times New Roman;sans-serif" w:hAnsi="Times New Roman;sans-serif"/>
          <w:b w:val="false"/>
          <w:color w:val="000000"/>
          <w:sz w:val="24"/>
        </w:rPr>
        <w:t>es</w:t>
      </w:r>
      <w:r>
        <w:rPr>
          <w:color w:val="000000"/>
        </w:rPr>
        <w:t xml:space="preserve"> </w:t>
      </w:r>
      <w:r>
        <w:rPr>
          <w:rFonts w:ascii="Times New Roman;sans-serif" w:hAnsi="Times New Roman;sans-serif"/>
          <w:b w:val="false"/>
          <w:i/>
          <w:color w:val="000000"/>
          <w:sz w:val="24"/>
        </w:rPr>
        <w:t>Fortinet, Inc., Prol. Paseo de la Reforma 115 Int. 702, Col. Lomas de Santa Fe, Del. Alvaro Obregon, Mexico, D.F. C.P. 01219,</w:t>
      </w:r>
      <w:r>
        <w:rPr>
          <w:color w:val="000000"/>
        </w:rPr>
        <w:t xml:space="preserve"> </w:t>
      </w:r>
      <w:r>
        <w:rPr>
          <w:rFonts w:ascii="Times New Roman;sans-serif" w:hAnsi="Times New Roman;sans-serif"/>
          <w:b w:val="false"/>
          <w:i/>
          <w:color w:val="000000"/>
          <w:sz w:val="24"/>
        </w:rPr>
        <w:t>y tampoco establece ningún derecho entre el Participante y el Patrón.</w:t>
      </w:r>
    </w:p>
    <w:p>
      <w:pPr>
        <w:pStyle w:val="TextBody"/>
        <w:spacing w:lineRule="auto" w:line="240" w:before="0" w:after="240"/>
        <w:jc w:val="both"/>
        <w:rPr/>
      </w:pPr>
      <w:r>
        <w:rPr>
          <w:rFonts w:ascii="Times New Roman;sans-serif" w:hAnsi="Times New Roman;sans-serif"/>
          <w:b/>
          <w:i/>
          <w:color w:val="000000"/>
          <w:sz w:val="24"/>
        </w:rPr>
        <w:t xml:space="preserve">Reconocimiento del Documento del Plan. </w:t>
      </w:r>
      <w:r>
        <w:rPr>
          <w:rFonts w:ascii="Times New Roman;sans-serif" w:hAnsi="Times New Roman;sans-serif"/>
          <w:b w:val="false"/>
          <w:i/>
          <w:color w:val="000000"/>
          <w:sz w:val="24"/>
        </w:rPr>
        <w:t xml:space="preserve">Al aceptar el Otorgamiento de las Unidades de Acciones Restringidas, el Participante reconoce que el Participante ha recibido copias del Plan,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93370"/>
                <wp:effectExtent l="0" t="0" r="0" b="0"/>
                <wp:wrapNone/>
                <wp:docPr id="110" name="Frame110"/>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 xml:space="preserve">ha revisado el Plan y el Contrato en su totalidad y entiende y acepta completamente todas las disposiciones contenidas en el Plan y en el Contrato. </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 xml:space="preserve">Adicionalmente, al aceptar el Contrato, el Participante reconoce que el Participante ha leído y específica y expresamente ha aprobado los términos y condiciones del Contrato, en el que claramente se ha descrito y establecido que: (i) la participación en el Plan no constituye un derecho adquirido; (ii) el Plan y la participación en el Plan es ofrecida por la Compañía de forma enteramente discrecional; (iii) la participación en el Plan es voluntaria; y (iv) la Compañía, así como su Sociedad Controlante, Subsidiaria no son responsables por cualquier disminución en el valor de las Acciones subyacentes a las Unidades de Acciones Restringidas. </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Finalmente, el Participante en este acto declara que el Participante no se reserva ninguna acción o derecho para interponer cualquier demanda o reclamación en contra de la Compañía por compensación, daño o perjuicio alguno como resultado de su participación en el Plan y, por lo tanto, otorga el más amplio finiquito al Patrón, la Compañía, así como su Sociedad Controlante, Subsidiaria con respecto a cualquier demanda o reclamación que pudiera surgir en virtud del Plan.</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 xml:space="preserve">Securities Law Information. </w:t>
      </w:r>
      <w:r>
        <w:rPr>
          <w:rFonts w:ascii="Times New Roman;sans-serif" w:hAnsi="Times New Roman;sans-serif"/>
          <w:b w:val="false"/>
          <w:color w:val="000000"/>
          <w:sz w:val="24"/>
        </w:rPr>
        <w:t>The Stock Units and any Shares acquired under the Plan have not been registered with the National Register of Securities maintained by the Mexican National Banking and Securities Commission and cannot be offered or sold publicly in Mexico. In addition, the Plan, the Award Agreement and any other document relating to the Stock Units may not be publicly distributed in Mexico. These materials are addressed to Participant because of an existing relationship with the Company and its Parent or Subsidiaries,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the Company or its Parent or Subsidiaries made in accordance with the provisions of the Mexican Securities Market Law, and any rights under such offering shall not be assigned or transferred.</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MOROCCO</w:t>
      </w:r>
    </w:p>
    <w:p>
      <w:pPr>
        <w:pStyle w:val="TextBody"/>
        <w:spacing w:lineRule="auto" w:line="240" w:before="0" w:after="0"/>
        <w:jc w:val="both"/>
        <w:rPr/>
      </w:pPr>
      <w:r>
        <w:rPr>
          <w:rFonts w:ascii="Times New Roman;sans-serif" w:hAnsi="Times New Roman;sans-serif"/>
          <w:b/>
          <w:color w:val="000000"/>
          <w:sz w:val="24"/>
        </w:rPr>
        <w:t>Stock Units Payable Only in Cash</w:t>
      </w:r>
      <w:r>
        <w:rPr>
          <w:rFonts w:ascii="Times New Roman;sans-serif" w:hAnsi="Times New Roman;sans-serif"/>
          <w:b w:val="false"/>
          <w:color w:val="000000"/>
          <w:sz w:val="24"/>
        </w:rPr>
        <w:t>. Notwithstanding Section 2 of the Award Agreement, the grant of Stock Units does not provide any right for Participant to receive Shares. Stock Units granted to Participants in Morocco shall be paid only in cash through local payroll in an amount equal to the value of the Shares on the vesting date less any Tax-Related Items. Participant agrees to bear any currency fluctuation risk between the time the Stock Units vest and the time the cash payment is distributed to Participant through local payroll.</w:t>
      </w:r>
    </w:p>
    <w:p>
      <w:pPr>
        <w:pStyle w:val="TextBody"/>
        <w:spacing w:before="0" w:after="240"/>
        <w:jc w:val="both"/>
        <w:rPr/>
      </w:pPr>
      <w:r>
        <w:rPr/>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NETHERLANDS</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There are no country-specific provisions.</w:t>
      </w:r>
    </w:p>
    <w:p>
      <w:pPr>
        <w:pStyle w:val="TextBody"/>
        <w:spacing w:before="0" w:after="240"/>
        <w:jc w:val="center"/>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293370"/>
                <wp:effectExtent l="0" t="0" r="0" b="0"/>
                <wp:wrapNone/>
                <wp:docPr id="111" name="Frame111"/>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NEW ZEALAND</w:t>
      </w:r>
    </w:p>
    <w:p>
      <w:pPr>
        <w:pStyle w:val="TextBody"/>
        <w:spacing w:lineRule="auto" w:line="240"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color w:val="000000"/>
          <w:sz w:val="24"/>
        </w:rPr>
        <w:t>Securities Law Information</w:t>
      </w:r>
      <w:r>
        <w:rPr>
          <w:rFonts w:ascii="Times New Roman;sans-serif" w:hAnsi="Times New Roman;sans-serif"/>
          <w:b w:val="false"/>
          <w:color w:val="000000"/>
          <w:sz w:val="24"/>
        </w:rPr>
        <w:t>.</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WARNING</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is an offer of Stock Units over Shares which, if vested, will entitle Participant to acquire Shares in accordance with the terms of the Award Agreement and the Plan. Shares, if issued, will give Participant a stake in the ownership of the Company. Participant may receive a return if dividends are paid.</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If the Company runs into financial difficulties and is wound up, Participant will be paid only after all creditors have been paid. Participant may lose some or all of his or her investment, if any.</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New Zealand law normally requires people who offer financial products to give information to investors before they invest. This information is designed to help investors to make an informed decision. The usual rules do not apply to this offer because it is made under an employee share scheme. As a result, Participant may not be given all the information usually required. The Participant will also have fewer other legal protections for this investment. The Participant should ask questions, read all documents carefully, and seek independent financial advice before committing him or herself.</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Shares are quoted on the Nasdaq Global Select Market (“Nasdaq”). This means Participant may be able to sell them on the Nasdaq if there are interested buyers. Participant may get less than he or she invested. The price will depend on the demand for the Shares. </w:t>
      </w:r>
    </w:p>
    <w:p>
      <w:pPr>
        <w:pStyle w:val="TextBody"/>
        <w:spacing w:before="0" w:after="0"/>
        <w:jc w:val="both"/>
        <w:rPr/>
      </w:pPr>
      <w:r>
        <w:rPr/>
      </w:r>
    </w:p>
    <w:p>
      <w:pPr>
        <w:pStyle w:val="TextBody"/>
        <w:spacing w:lineRule="auto" w:line="240" w:before="0" w:after="240"/>
        <w:jc w:val="both"/>
        <w:rPr/>
      </w:pPr>
      <w:r>
        <w:rPr>
          <w:rFonts w:ascii="Times New Roman;sans-serif" w:hAnsi="Times New Roman;sans-serif"/>
          <w:b w:val="false"/>
          <w:color w:val="000000"/>
          <w:sz w:val="24"/>
        </w:rPr>
        <w:t xml:space="preserve">For information on risk factors impacting the Company’s business that may affect the value of the shares of Common Stock, you should refer to the risk factors discussion in the Company’s Annual Report on Form 10-K and Quarterly Reports on Form 10-Q, which are filed with the U.S. Securities and Exchange Commission and are available online at </w:t>
      </w:r>
      <w:r>
        <w:rPr>
          <w:rFonts w:ascii="Times New Roman;sans-serif" w:hAnsi="Times New Roman;sans-serif"/>
          <w:b w:val="false"/>
          <w:color w:val="0000FF"/>
          <w:sz w:val="24"/>
          <w:u w:val="single"/>
        </w:rPr>
        <w:t>www.sec.gov</w:t>
      </w:r>
      <w:r>
        <w:rPr>
          <w:rFonts w:ascii="Times New Roman;sans-serif" w:hAnsi="Times New Roman;sans-serif"/>
          <w:b w:val="false"/>
          <w:color w:val="000000"/>
          <w:sz w:val="24"/>
        </w:rPr>
        <w:t xml:space="preserve">, as well as on the Company’s “Investor Relations” website at </w:t>
      </w:r>
      <w:r>
        <w:rPr>
          <w:rFonts w:ascii="Times New Roman;sans-serif" w:hAnsi="Times New Roman;sans-serif"/>
          <w:b w:val="false"/>
          <w:color w:val="0000FF"/>
          <w:sz w:val="24"/>
          <w:u w:val="single"/>
        </w:rPr>
        <w:t>http://investor.fortinet.com/</w:t>
      </w:r>
      <w:r>
        <w:rPr>
          <w:rFonts w:ascii="Times New Roman;sans-serif" w:hAnsi="Times New Roman;sans-serif"/>
          <w:b w:val="false"/>
          <w:color w:val="000000"/>
          <w:sz w:val="24"/>
        </w:rPr>
        <w:t>.</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NIGERIA</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There are no country-specific provisions.</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NORWAY</w:t>
      </w:r>
    </w:p>
    <w:p>
      <w:pPr>
        <w:pStyle w:val="TextBody"/>
        <w:spacing w:lineRule="auto" w:line="240" w:before="0" w:after="240"/>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In general, Norwegian residents should not be subject to any foreign exchange requirements in connection with the acquisition or sale of Shares under the Plan, except normal reporting requirements to the Norwegian Currency Registry. If the transfer of funds into or out of Norway is made through a Norwegian bank, the bank will make the registration.</w:t>
      </w:r>
    </w:p>
    <w:p>
      <w:pPr>
        <w:pStyle w:val="TextBody"/>
        <w:spacing w:before="0" w:after="240"/>
        <w:jc w:val="center"/>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293370"/>
                <wp:effectExtent l="0" t="0" r="0" b="0"/>
                <wp:wrapNone/>
                <wp:docPr id="112" name="Frame112"/>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PANAMA</w:t>
      </w:r>
    </w:p>
    <w:p>
      <w:pPr>
        <w:pStyle w:val="TextBody"/>
        <w:spacing w:lineRule="auto" w:line="240" w:before="0" w:after="0"/>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before="0" w:after="0"/>
        <w:rPr/>
      </w:pPr>
      <w:r>
        <w:rPr/>
      </w:r>
    </w:p>
    <w:p>
      <w:pPr>
        <w:pStyle w:val="TextBody"/>
        <w:spacing w:lineRule="auto" w:line="240" w:before="0" w:after="0"/>
        <w:jc w:val="both"/>
        <w:rPr/>
      </w:pPr>
      <w:r>
        <w:rPr>
          <w:rFonts w:ascii="Times New Roman;sans-serif" w:hAnsi="Times New Roman;sans-serif"/>
          <w:b/>
          <w:color w:val="000000"/>
          <w:sz w:val="24"/>
        </w:rPr>
        <w:t>Securities Law Information</w:t>
      </w:r>
      <w:r>
        <w:rPr>
          <w:rFonts w:ascii="Times New Roman;sans-serif" w:hAnsi="Times New Roman;sans-serif"/>
          <w:b w:val="false"/>
          <w:color w:val="000000"/>
          <w:sz w:val="24"/>
        </w:rPr>
        <w:t>. The Stock Units and any Shares which may be issued to Participant upon vesting and settlement of the Stock Units are not subject to registration under Panamanian Law as they are not intended for the public, but solely for Participant’s benefit.</w:t>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PERU</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jc w:val="both"/>
        <w:rPr/>
      </w:pPr>
      <w:r>
        <w:rPr>
          <w:rFonts w:ascii="Times New Roman;sans-serif" w:hAnsi="Times New Roman;sans-serif"/>
          <w:b/>
          <w:color w:val="000000"/>
          <w:sz w:val="24"/>
        </w:rPr>
        <w:t xml:space="preserve">Labor Law Acknowledgment. </w:t>
      </w:r>
      <w:r>
        <w:rPr>
          <w:rFonts w:ascii="Times New Roman;sans-serif" w:hAnsi="Times New Roman;sans-serif"/>
          <w:b w:val="false"/>
          <w:color w:val="000000"/>
          <w:sz w:val="24"/>
        </w:rPr>
        <w:t xml:space="preserve">By accepting the Stock Units, Participant acknowledges that the Stock Units are being granted </w:t>
      </w:r>
      <w:r>
        <w:rPr>
          <w:rFonts w:ascii="Times New Roman;sans-serif" w:hAnsi="Times New Roman;sans-serif"/>
          <w:b w:val="false"/>
          <w:i/>
          <w:color w:val="000000"/>
          <w:sz w:val="24"/>
        </w:rPr>
        <w:t>ex gratia</w:t>
      </w:r>
      <w:r>
        <w:rPr>
          <w:color w:val="000000"/>
        </w:rPr>
        <w:t xml:space="preserve"> </w:t>
      </w:r>
      <w:r>
        <w:rPr>
          <w:rFonts w:ascii="Times New Roman;sans-serif" w:hAnsi="Times New Roman;sans-serif"/>
          <w:b w:val="false"/>
          <w:color w:val="000000"/>
          <w:sz w:val="24"/>
        </w:rPr>
        <w:t>with the purpose of rewarding Participant.</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Securities Law Information</w:t>
      </w:r>
      <w:r>
        <w:rPr>
          <w:rFonts w:ascii="Times New Roman;sans-serif" w:hAnsi="Times New Roman;sans-serif"/>
          <w:b w:val="false"/>
          <w:color w:val="000000"/>
          <w:sz w:val="24"/>
        </w:rPr>
        <w:t>. The offer of the Stock Units is considered a private offering in Peru; therefore, it is not subject to registration in Peru.</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PHILIPPINES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color w:val="000000"/>
          <w:sz w:val="24"/>
        </w:rPr>
        <w:t>Stock Units Payable Only in Cash</w:t>
      </w:r>
      <w:r>
        <w:rPr>
          <w:rFonts w:ascii="Times New Roman;sans-serif" w:hAnsi="Times New Roman;sans-serif"/>
          <w:b w:val="false"/>
          <w:color w:val="000000"/>
          <w:sz w:val="24"/>
        </w:rPr>
        <w:t>. Notwithstanding Section 2 of the Award Agreement, each Stock Unit represents the right to receive the cash equivalent of the Fair Market Value of a Share on the date it vests. For the avoidance of doubt, Participant shall not be entitled to receive any Shares pursuant to any vested Stock Units or pursuant to Dividend Equivalents.</w:t>
      </w:r>
    </w:p>
    <w:p>
      <w:pPr>
        <w:pStyle w:val="TextBody"/>
        <w:spacing w:before="0" w:after="0"/>
        <w:rPr/>
      </w:pPr>
      <w:r>
        <w:rPr/>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POLAND</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Participant acknowledges that any transfer of funds in excess of PLN15,000 into or out of Poland must be affected through a bank account in Poland. Participant understands that they are required to store all documents connected with any foreign exchange transactions they engage in for a period of five years, as measured from the end of the year in which such transaction occurred.</w:t>
      </w:r>
    </w:p>
    <w:p>
      <w:pPr>
        <w:pStyle w:val="TextBody"/>
        <w:spacing w:lineRule="auto" w:line="240" w:before="0" w:after="24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Polish residents holding foreign securities (including Shares) and/or maintaining accounts abroad must report information to the National Bank of Poland on transactions and balances of the securities and cash deposited in such accounts if the value of such securities and cash (when combined with all other assets held abroad) exceeds certain thresholds. If required, the reports must be filed on a quarterly basis on special forms available on the website of the National Bank of Poland. Polish residents should consult with their personal tax advisor to determine their personal reporting obligations.</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PORTUGAL</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jc w:val="both"/>
        <w:rPr/>
      </w:pPr>
      <w:r>
        <w:rPr>
          <w:rFonts w:ascii="Times New Roman;sans-serif" w:hAnsi="Times New Roman;sans-serif"/>
          <w:b/>
          <w:color w:val="000000"/>
          <w:sz w:val="24"/>
        </w:rPr>
        <w:t xml:space="preserve">Language Consent. </w:t>
      </w:r>
      <w:r>
        <w:rPr>
          <w:rFonts w:ascii="Times New Roman;sans-serif" w:hAnsi="Times New Roman;sans-serif"/>
          <w:b w:val="false"/>
          <w:color w:val="000000"/>
          <w:sz w:val="24"/>
        </w:rPr>
        <w:t>Participant hereby expressly declares that he or she has full knowledge of the English language and has read, understood and fully accepted and agreed with the terms and conditions established in the Plan and the Award Agreement.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293370"/>
                <wp:effectExtent l="0" t="0" r="0" b="0"/>
                <wp:wrapNone/>
                <wp:docPr id="113" name="Frame113"/>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Conhecimento da Lingua. O Participante pelo presente declara expressamente que tem pleno conhecimento da língua inglesa e que leu, compreendeu e livremente aceitou e concordou com os termos e condições estabelecidas no Plano e no Acordo de Atribuição</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If Participant does not hold the Shares acquired at vesting with a Portuguese financial intermediary, Participant may need to file a report with the Portuguese Central Bank. If the Shares are held by a Portuguese financial intermediary, it will file the report for Participant.</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PUERTO RICO</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There are no country-specific provisions.</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QATAR</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There are no country-specific provisions.</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 xml:space="preserve">ROMANIA </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 xml:space="preserve">If Participant deposits the proceeds from the sale of Shares issued to him or her at vesting and settlement of the Shares or any Dividend Equivalents paid on such Shares in a bank account in Romania, Participant may be required to provide the Romanian bank with appropriate documentation explaining the source of the funds. </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Participant should consult his or her personal advisor to determine whether Participant will be required to submit such documentation to the Romanian bank.</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RUSSIA</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jc w:val="both"/>
        <w:rPr/>
      </w:pPr>
      <w:r>
        <w:rPr>
          <w:rFonts w:ascii="Times New Roman;sans-serif" w:hAnsi="Times New Roman;sans-serif"/>
          <w:b/>
          <w:color w:val="000000"/>
          <w:sz w:val="24"/>
        </w:rPr>
        <w:t>U.S. Transaction.</w:t>
      </w:r>
      <w:r>
        <w:rPr>
          <w:color w:val="000000"/>
        </w:rPr>
        <w:t xml:space="preserve"> </w:t>
      </w:r>
      <w:r>
        <w:rPr>
          <w:rFonts w:ascii="Times New Roman;sans-serif" w:hAnsi="Times New Roman;sans-serif"/>
          <w:b w:val="false"/>
          <w:color w:val="000000"/>
          <w:sz w:val="24"/>
        </w:rPr>
        <w:t xml:space="preserve">The Plan, the Award Agreement, including this Addendum, and all other materials Participant may receive regarding Participant’s participation in the Plan or the grant of Stock Units do not constitute advertising or an offering of securities in Russia. The issuance of Shares acquired at vesting has not and will not be registered in Russia; therefore, such Shares may not be offered or placed in public circulation in Russia. </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 no event will Shares acquired at vesting be delivered to Participant in Russia; all Shares will be maintained on Participant’s behalf in the United States.</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Participant is not permitted to sell Shares acquired at vesting directly to a Russian legal entity or resident.</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Depending on the development of local regulatory requirements, the Company reserves the right to settle the Stock Units in cash and/or to pay any proceeds related to the Stock Units to Participant through local payroll, to postpone the vesting and/or settlement of any Stock Units or to cancel such Stock Units for no consideration.</w:t>
      </w:r>
    </w:p>
    <w:p>
      <w:pPr>
        <w:pStyle w:val="TextBody"/>
        <w:spacing w:lineRule="auto" w:line="240" w:before="0" w:after="240"/>
        <w:jc w:val="both"/>
        <w:rPr/>
      </w:pPr>
      <w:r>
        <w:rPr>
          <w:rFonts w:ascii="Times New Roman;sans-serif" w:hAnsi="Times New Roman;sans-serif"/>
          <w:b/>
          <w:color w:val="000000"/>
          <w:sz w:val="24"/>
        </w:rPr>
        <w:t>Data Privacy.</w:t>
      </w:r>
      <w:r>
        <w:rPr>
          <w:color w:val="000000"/>
        </w:rPr>
        <w:t xml:space="preserve"> </w:t>
      </w:r>
      <w:r>
        <w:rPr>
          <w:rFonts w:ascii="Times New Roman;sans-serif" w:hAnsi="Times New Roman;sans-serif"/>
          <w:b w:val="false"/>
          <w:color w:val="000000"/>
          <w:sz w:val="24"/>
        </w:rPr>
        <w:t>This notification supplements Section 13 of the Award Agreement: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293370"/>
                <wp:effectExtent l="0" t="0" r="0" b="0"/>
                <wp:wrapNone/>
                <wp:docPr id="114" name="Frame114"/>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Participant understands and agrees that he or she must complete and return a Consent to Processing of Personal Data (the “Consent”) form to the Company. Further, Participant understands and agrees that if Participant does not complete and return a Consent form to the Company, the Company will not be able to grant Stock Units to Participant or other awards or administer or maintain such awards. Therefore, Participant understands that refusing to complete a Consent form or withdrawing his or her consent may affect Participant’s ability to participate in the Plan.</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Participant may be required to repatriate certain cash amounts received with respect to the Stock Units to Russia as soon as Participant intends to use those cash amounts for any purpose, including reinvestment. If the repatriation requirement applies, such funds must initially be credited to Participant through a foreign currency account at an authorized bank in Russia. After the funds are initially received in Russia, they may be further remitted to foreign banks in accordance with Russian exchange control laws. Under the Directive N 5371-U of the Russian Central Bank (the “CBR”), the repatriation requirement may not apply in certain cases with respect to cash amounts received in an account that is considered by the CBR to be a foreign brokerage account. Statutory exceptions to the repatriation requirement also may apply. Participant should contact their personal advisor to ensure compliance with the applicable exchange control requirements prior to vesting in the Stock Units and/or selling Shares.</w:t>
      </w:r>
    </w:p>
    <w:p>
      <w:pPr>
        <w:pStyle w:val="TextBody"/>
        <w:spacing w:lineRule="auto" w:line="240" w:before="0" w:after="22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Russian residents are required to report the opening, closing or change of details of any foreign bank or brokerage account to the Russian tax authorities within one (1) month of opening, closing or change of details of such account. Russian residents are also required to report annual cash flow and/or financial assets (e.g., Shares and financial instruments) flow reporting for an offshore brokerage or bank account due by June 1 each year for the previous year. Reporting requirements were further revised to expand the reporting requirement to include financial asset (including Shares) transactions in offshore accounts. Non-compliance with the reporting obligations could impact Participant's ability to vest and receive Shares pursuant to the Stock Units, maintain the account outside of Russia and participate in the Plan. Russian residents should consult with their personal tax advisor for additional information about these reporting obligations.</w:t>
      </w:r>
    </w:p>
    <w:p>
      <w:pPr>
        <w:pStyle w:val="TextBody"/>
        <w:spacing w:lineRule="auto" w:line="240" w:before="0" w:after="220"/>
        <w:jc w:val="both"/>
        <w:rPr/>
      </w:pPr>
      <w:r>
        <w:rPr>
          <w:rFonts w:ascii="Times New Roman;sans-serif" w:hAnsi="Times New Roman;sans-serif"/>
          <w:b/>
          <w:color w:val="000000"/>
          <w:sz w:val="24"/>
        </w:rPr>
        <w:t xml:space="preserve">Anti-Corruption Information. </w:t>
      </w:r>
      <w:r>
        <w:rPr>
          <w:rFonts w:ascii="Times New Roman;sans-serif" w:hAnsi="Times New Roman;sans-serif"/>
          <w:b w:val="false"/>
          <w:color w:val="000000"/>
          <w:sz w:val="24"/>
        </w:rPr>
        <w:t>Anti-corruption laws prohibit certain public servants, their spouses and their dependent children from owning any foreign source financial instruments (</w:t>
      </w:r>
      <w:r>
        <w:rPr>
          <w:rFonts w:ascii="Times New Roman;sans-serif" w:hAnsi="Times New Roman;sans-serif"/>
          <w:b w:val="false"/>
          <w:i/>
          <w:color w:val="000000"/>
          <w:sz w:val="24"/>
        </w:rPr>
        <w:t>e.g.</w:t>
      </w:r>
      <w:r>
        <w:rPr>
          <w:rFonts w:ascii="Times New Roman;sans-serif" w:hAnsi="Times New Roman;sans-serif"/>
          <w:b w:val="false"/>
          <w:color w:val="000000"/>
          <w:sz w:val="24"/>
        </w:rPr>
        <w:t>, shares of foreign companies such as the Company). Accordingly, Participant should inform the Company if he or she is covered by these laws because Participant should not hold Shares acquired under the Plan.</w:t>
      </w:r>
    </w:p>
    <w:p>
      <w:pPr>
        <w:pStyle w:val="TextBody"/>
        <w:spacing w:lineRule="auto" w:line="240" w:before="0" w:after="240"/>
        <w:jc w:val="both"/>
        <w:rPr/>
      </w:pPr>
      <w:r>
        <w:rPr>
          <w:rFonts w:ascii="Times New Roman;sans-serif" w:hAnsi="Times New Roman;sans-serif"/>
          <w:b/>
          <w:color w:val="000000"/>
          <w:sz w:val="24"/>
        </w:rPr>
        <w:t xml:space="preserve">Labor Law Information. </w:t>
      </w:r>
      <w:r>
        <w:rPr>
          <w:rFonts w:ascii="Times New Roman;sans-serif" w:hAnsi="Times New Roman;sans-serif"/>
          <w:b w:val="false"/>
          <w:color w:val="000000"/>
          <w:sz w:val="24"/>
        </w:rPr>
        <w:t>If Participant continues to hold Shares acquired at vesting of the RSUs after an involuntary termination of status as a Service Provider, Participant may not be eligible to receive unemployment benefits in Russia.</w:t>
      </w:r>
    </w:p>
    <w:p>
      <w:pPr>
        <w:pStyle w:val="TextBody"/>
        <w:spacing w:before="0" w:after="240"/>
        <w:jc w:val="center"/>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293370"/>
                <wp:effectExtent l="0" t="0" r="0" b="0"/>
                <wp:wrapNone/>
                <wp:docPr id="115" name="Frame115"/>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SAUDI ARABIA</w:t>
      </w:r>
    </w:p>
    <w:p>
      <w:pPr>
        <w:pStyle w:val="TextBody"/>
        <w:spacing w:lineRule="auto" w:line="240"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before="0" w:after="0"/>
        <w:jc w:val="both"/>
        <w:rPr/>
      </w:pPr>
      <w:r>
        <w:rPr/>
      </w:r>
    </w:p>
    <w:p>
      <w:pPr>
        <w:pStyle w:val="TextBody"/>
        <w:spacing w:lineRule="auto" w:line="240" w:before="0" w:after="240"/>
        <w:jc w:val="both"/>
        <w:rPr/>
      </w:pPr>
      <w:r>
        <w:rPr>
          <w:rFonts w:ascii="Times New Roman;sans-serif" w:hAnsi="Times New Roman;sans-serif"/>
          <w:b/>
          <w:color w:val="000000"/>
          <w:sz w:val="24"/>
        </w:rPr>
        <w:t>Stock Units Payable Only in Cash</w:t>
      </w:r>
      <w:r>
        <w:rPr>
          <w:rFonts w:ascii="Times New Roman;sans-serif" w:hAnsi="Times New Roman;sans-serif"/>
          <w:b w:val="false"/>
          <w:color w:val="000000"/>
          <w:sz w:val="24"/>
        </w:rPr>
        <w:t>. Notwithstanding Section 2 of the Award Agreement, the grant of Stock Units does not provide any right for Participant to receive Shares. Stock Units granted to Participants in Saudi Arabia shall be paid only in cash through local payroll in an amount equal to the value of the Shares on the vesting date less any Tax-Related Items. Participant agrees to bear any currency fluctuation risk between the time the Stock Units vest and the time the cash payment is distributed to Participant through local payroll.</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SINGAPORE</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jc w:val="both"/>
        <w:rPr/>
      </w:pPr>
      <w:r>
        <w:rPr>
          <w:rFonts w:ascii="Times New Roman;sans-serif" w:hAnsi="Times New Roman;sans-serif"/>
          <w:b/>
          <w:i/>
          <w:color w:val="000000"/>
          <w:sz w:val="24"/>
        </w:rPr>
        <w:t>Sale Restriction.</w:t>
      </w:r>
      <w:r>
        <w:rPr>
          <w:color w:val="000000"/>
        </w:rPr>
        <w:t xml:space="preserve"> </w:t>
      </w:r>
      <w:r>
        <w:rPr>
          <w:rFonts w:ascii="Times New Roman;sans-serif" w:hAnsi="Times New Roman;sans-serif"/>
          <w:b w:val="false"/>
          <w:color w:val="000000"/>
          <w:sz w:val="24"/>
        </w:rPr>
        <w:t>Participant agrees that any Shares acquired pursuant to the Stock Units will not be offered for sale in Singapore prior to the six-month anniversary of the Date of Grant unless such sale or offer is made pursuant to the exemptions under Part XIII Division (1) Subdivision (4) (other than section 280) of the Securities and Futures Act (Chapter 289, 2006 Ed.) (“SFA”), or pursuant to, and in accordance with the conditions of, any other applicable provisions of the SFA.</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i/>
          <w:color w:val="000000"/>
          <w:sz w:val="24"/>
        </w:rPr>
        <w:t>Securities Law Information.</w:t>
      </w:r>
      <w:r>
        <w:rPr>
          <w:color w:val="000000"/>
        </w:rPr>
        <w:t xml:space="preserve"> </w:t>
      </w:r>
      <w:r>
        <w:rPr>
          <w:rFonts w:ascii="Times New Roman;sans-serif" w:hAnsi="Times New Roman;sans-serif"/>
          <w:b w:val="false"/>
          <w:color w:val="000000"/>
          <w:sz w:val="24"/>
        </w:rPr>
        <w:t>The grant of Stock Units is being made to Participant in reliance on the “Qualifying Person” exemption of the SFA under which it is exempt from the prospectus and registration requirements and is not made with a view to the underlying Shares being subsequently offered for sale to any other party. The Plan has not been and will not be lodged or registered as a prospectus with the Monetary Authority of Singapore.</w:t>
      </w:r>
    </w:p>
    <w:p>
      <w:pPr>
        <w:pStyle w:val="TextBody"/>
        <w:spacing w:lineRule="auto" w:line="240" w:before="0" w:after="240"/>
        <w:jc w:val="both"/>
        <w:rPr/>
      </w:pPr>
      <w:r>
        <w:rPr>
          <w:rFonts w:ascii="Times New Roman;sans-serif" w:hAnsi="Times New Roman;sans-serif"/>
          <w:b/>
          <w:color w:val="000000"/>
          <w:sz w:val="24"/>
        </w:rPr>
        <w:t xml:space="preserve">Chief Executive Officer and Director Notification Obligation. </w:t>
      </w:r>
      <w:r>
        <w:rPr>
          <w:rFonts w:ascii="Times New Roman;sans-serif" w:hAnsi="Times New Roman;sans-serif"/>
          <w:b w:val="false"/>
          <w:color w:val="000000"/>
          <w:sz w:val="24"/>
        </w:rPr>
        <w:t>If Participant is the Chief Executive Office (“CEO”) or a director, associate director or shadow director of a Singapore Parent, Subsidiary or Affiliate, Participant understands that Participant is subject to certain notification requirements under the Singapore Companies Act. Participant acknowledges that Participant must notify the Singapore Parent, Subsidiary or Affiliate in writing of an interest (</w:t>
      </w:r>
      <w:r>
        <w:rPr>
          <w:rFonts w:ascii="Times New Roman;sans-serif" w:hAnsi="Times New Roman;sans-serif"/>
          <w:b w:val="false"/>
          <w:i/>
          <w:color w:val="000000"/>
          <w:sz w:val="24"/>
        </w:rPr>
        <w:t>e.g.</w:t>
      </w:r>
      <w:r>
        <w:rPr>
          <w:rFonts w:ascii="Times New Roman;sans-serif" w:hAnsi="Times New Roman;sans-serif"/>
          <w:b w:val="false"/>
          <w:color w:val="000000"/>
          <w:sz w:val="24"/>
        </w:rPr>
        <w:t>, unvested Stock Units, Shares, etc.) in the Company or any Parent or Subsidiary within two (2) business days of (i) its acquisition or disposal, (ii) any change in previously disclosed interest (</w:t>
      </w:r>
      <w:r>
        <w:rPr>
          <w:rFonts w:ascii="Times New Roman;sans-serif" w:hAnsi="Times New Roman;sans-serif"/>
          <w:b w:val="false"/>
          <w:i/>
          <w:color w:val="000000"/>
          <w:sz w:val="24"/>
        </w:rPr>
        <w:t>e.g.</w:t>
      </w:r>
      <w:r>
        <w:rPr>
          <w:rFonts w:ascii="Times New Roman;sans-serif" w:hAnsi="Times New Roman;sans-serif"/>
          <w:b w:val="false"/>
          <w:color w:val="000000"/>
          <w:sz w:val="24"/>
        </w:rPr>
        <w:t>, when Shares acquired at vesting are sold), or (iii) becoming the CEO and/or a director, if Participant holds such an interest at the time.</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SLOVAKIA</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Foreign Asset/Account Reporting Information</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If Participant permanently resides in the Slovak Republic and, apart from being employed, carries on business activities as an independent entrepreneur (in Slovakian, </w:t>
      </w:r>
      <w:r>
        <w:rPr>
          <w:rFonts w:ascii="Times New Roman;sans-serif" w:hAnsi="Times New Roman;sans-serif"/>
          <w:b w:val="false"/>
          <w:i/>
          <w:color w:val="000000"/>
          <w:sz w:val="24"/>
        </w:rPr>
        <w:t>podnikatel</w:t>
      </w:r>
      <w:r>
        <w:rPr>
          <w:rFonts w:ascii="Times New Roman;sans-serif" w:hAnsi="Times New Roman;sans-serif"/>
          <w:b w:val="false"/>
          <w:color w:val="000000"/>
          <w:sz w:val="24"/>
        </w:rPr>
        <w:t xml:space="preserve">), Participant will be obligated to report his or her foreign assets (including Shares) to the National Bank of Slovakia (provided that the value of the foreign assets exceeds an amount of €2,000,000). </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SLOVENIA</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There are no country-specific provisions.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293370"/>
                <wp:effectExtent l="0" t="0" r="0" b="0"/>
                <wp:wrapNone/>
                <wp:docPr id="116" name="Frame116"/>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SOUTH AFRICA</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jc w:val="both"/>
        <w:rPr/>
      </w:pPr>
      <w:r>
        <w:rPr>
          <w:rFonts w:ascii="Times New Roman;sans-serif" w:hAnsi="Times New Roman;sans-serif"/>
          <w:b/>
          <w:color w:val="000000"/>
          <w:sz w:val="24"/>
        </w:rPr>
        <w:t>Withholding Taxes.</w:t>
      </w:r>
      <w:r>
        <w:rPr>
          <w:color w:val="000000"/>
        </w:rPr>
        <w:t xml:space="preserve"> </w:t>
      </w:r>
      <w:r>
        <w:rPr>
          <w:rFonts w:ascii="Times New Roman;sans-serif" w:hAnsi="Times New Roman;sans-serif"/>
          <w:b w:val="false"/>
          <w:color w:val="000000"/>
          <w:sz w:val="24"/>
        </w:rPr>
        <w:t>This provision supplements Section 7 of the Award Agreement:</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By accepting the Stock Units, Participant agrees to immediately notify the Employer of the amount of any gain realized upon vesting of the Stock Units. If Participant fails to advise the Employer of the gain realized at vesting, Participant may be liable for a fine. Participant will be responsible for paying any difference between the actual tax liability and the amount withheld.</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 xml:space="preserve">Participant is responsible for complying with applicable South African exchange control regulations. Since the exchange control regulations change frequently and without notice, Participant should consult Participant’s legal advisor prior to the acquisition or sale of Shares acquired under the Plan to ensure compliance with current regulations. As noted, it is Participant’s responsibility to comply with South African exchange control laws, and neither the Company nor any Parent or Subsidiary will be liable for any fines or penalties resulting from Participant’s failure to comply with applicable laws. </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SPAIN</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jc w:val="both"/>
        <w:rPr/>
      </w:pPr>
      <w:r>
        <w:rPr>
          <w:rFonts w:ascii="Times New Roman;sans-serif" w:hAnsi="Times New Roman;sans-serif"/>
          <w:b/>
          <w:color w:val="000000"/>
          <w:sz w:val="24"/>
        </w:rPr>
        <w:t xml:space="preserve">Nature of Grant. </w:t>
      </w:r>
      <w:r>
        <w:rPr>
          <w:rFonts w:ascii="Times New Roman;sans-serif" w:hAnsi="Times New Roman;sans-serif"/>
          <w:b w:val="false"/>
          <w:color w:val="000000"/>
          <w:sz w:val="24"/>
        </w:rPr>
        <w:t>This provision supplements Section 10 of the Award Agreement:</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By accepting the Stock Units, Participant consents to participation in the Plan and acknowledges that Participant has received a copy of the Plan.</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Participant understands that the Company has unilaterally, gratuitously, and in its sole discretion decided to grant Stock Units under the Plan to individuals who may be Service Providers throughout the world. The decision is a limited decision that is entered into upon the express assumption and condition that any grant will not bind the Company or any Parent or Subsidiary, other than to the extent set forth in this Award Agreement. Consequently, Participant understands that the Stock Units are granted on the assumption and condition that the Stock Units and any Shares acquired at vesting of the Stock Units are not part of any employment or service contract (either with the Company or any Parent or Subsidiary), and shall not be considered a mandatory benefit, salary for any purposes (including severance compensation), or any other right whatsoever. In addition, Participant understands that this grant would not be made but for the assumptions and conditions referred to above; thus, Participant acknowledges and freely accepts that, should any or all of the assumptions be mistaken or should any of the conditions not be met for any reason, then any grant of or right to the Stock Units shall be null and void.</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Further, except as otherwise provided in the Plan and the Award Agreement, Participant understands that he or she will not be entitled to continue vesting in any Stock Units once Participant’s status as a Service Provider terminates. This will be the case, for example, even in the event of a termination of Participant’s status of a Service Provider by reason of, but not limited to, resignation, retirement, disciplinary dismissal adjudged to be with cause, disciplinary dismissal adjusted or recognized to be without cause, individual or collective dismissal or objective grounds, whether adjudged or recognized to be without cause, material modification of the terms of employment under Article 41 of the Workers’ Statute, relocation under Article 40 of the Workers’ Statute, Article 50 of the Workers’ Statute, unilateral withdrawal by the Employer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293370"/>
                <wp:effectExtent l="0" t="0" r="0" b="0"/>
                <wp:wrapNone/>
                <wp:docPr id="117" name="Frame117"/>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and under Article 10.3 of the Royal Decree 1382/1985. Participant acknowledges that Participant has read and specifically accepts the vesting and termination conditions in the Award Agreement.</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0"/>
        <w:jc w:val="both"/>
        <w:rPr/>
      </w:pPr>
      <w:r>
        <w:rPr>
          <w:rFonts w:ascii="Times New Roman;sans-serif" w:hAnsi="Times New Roman;sans-serif"/>
          <w:b/>
          <w:color w:val="000000"/>
          <w:sz w:val="24"/>
        </w:rPr>
        <w:t xml:space="preserve">Securities Law Information. </w:t>
      </w:r>
      <w:r>
        <w:rPr>
          <w:rFonts w:ascii="Times New Roman;sans-serif" w:hAnsi="Times New Roman;sans-serif"/>
          <w:b w:val="false"/>
          <w:color w:val="000000"/>
          <w:sz w:val="24"/>
        </w:rPr>
        <w:t xml:space="preserve">The Stock Units do not qualify under Spanish Law as securities. No “offer to the public,” as defined under Spanish Law, has taken place or will take place in the Spanish territory. Neither the Plan nor the Award Agreement have been registered with the </w:t>
      </w:r>
      <w:r>
        <w:rPr>
          <w:rFonts w:ascii="Times New Roman;sans-serif" w:hAnsi="Times New Roman;sans-serif"/>
          <w:b w:val="false"/>
          <w:i/>
          <w:color w:val="000000"/>
          <w:sz w:val="24"/>
        </w:rPr>
        <w:t xml:space="preserve">Comisión Nacronal del Mercado de Valores </w:t>
      </w:r>
      <w:r>
        <w:rPr>
          <w:rFonts w:ascii="Times New Roman;sans-serif" w:hAnsi="Times New Roman;sans-serif"/>
          <w:b w:val="false"/>
          <w:color w:val="000000"/>
          <w:sz w:val="24"/>
        </w:rPr>
        <w:t>and do not constitute a public offering prospectus.</w:t>
      </w:r>
    </w:p>
    <w:p>
      <w:pPr>
        <w:pStyle w:val="TextBody"/>
        <w:spacing w:before="0" w:after="0"/>
        <w:jc w:val="both"/>
        <w:rPr/>
      </w:pPr>
      <w:r>
        <w:rPr/>
      </w:r>
    </w:p>
    <w:p>
      <w:pPr>
        <w:pStyle w:val="TextBody"/>
        <w:spacing w:lineRule="auto" w:line="240" w:before="0" w:after="24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 xml:space="preserve">In the event that Participant holds 10% or more of the share capital or voting rights of the Company or such other amount that would entitle Participant to join the Board of Directors of the Company, Participant must declare such holding to the Spanish </w:t>
      </w:r>
      <w:r>
        <w:rPr>
          <w:rFonts w:ascii="Times New Roman;sans-serif" w:hAnsi="Times New Roman;sans-serif"/>
          <w:b w:val="false"/>
          <w:i/>
          <w:color w:val="000000"/>
          <w:sz w:val="24"/>
        </w:rPr>
        <w:t>Dirección General de Comercio e Inversiones</w:t>
      </w:r>
      <w:r>
        <w:rPr>
          <w:color w:val="000000"/>
        </w:rPr>
        <w:t xml:space="preserve"> </w:t>
      </w:r>
      <w:r>
        <w:rPr>
          <w:rFonts w:ascii="Times New Roman;sans-serif" w:hAnsi="Times New Roman;sans-serif"/>
          <w:b w:val="false"/>
          <w:color w:val="000000"/>
          <w:sz w:val="24"/>
        </w:rPr>
        <w:t>(the “DGCI”), which is a department of the Ministry of Economy and Competitiveness. Such declaration should be done by filing a Form D-6 each January while the Shares are owned. In addition, the acquisition and sale when Participant holds 10% or more of the share capital or voting rights of the Company must also be declared on Form D-6 filed with the Spanish Registro de Inversiones within one month from the acquisition or sale.</w:t>
      </w:r>
    </w:p>
    <w:p>
      <w:pPr>
        <w:pStyle w:val="TextBody"/>
        <w:spacing w:lineRule="auto" w:line="240" w:before="0" w:after="240"/>
        <w:jc w:val="both"/>
        <w:rPr/>
      </w:pPr>
      <w:r>
        <w:rPr>
          <w:rFonts w:ascii="Times New Roman;sans-serif" w:hAnsi="Times New Roman;sans-serif"/>
          <w:b/>
          <w:color w:val="000000"/>
          <w:sz w:val="24"/>
        </w:rPr>
        <w:t>Foreign Asset/Accounting Reporting Information.</w:t>
      </w:r>
      <w:r>
        <w:rPr>
          <w:color w:val="000000"/>
        </w:rPr>
        <w:t xml:space="preserve"> </w:t>
      </w:r>
      <w:r>
        <w:rPr>
          <w:rFonts w:ascii="Times New Roman;sans-serif" w:hAnsi="Times New Roman;sans-serif"/>
          <w:b w:val="false"/>
          <w:color w:val="000000"/>
          <w:sz w:val="24"/>
        </w:rPr>
        <w:t>If Participant holds rights or assets (</w:t>
      </w:r>
      <w:r>
        <w:rPr>
          <w:rFonts w:ascii="Times New Roman;sans-serif" w:hAnsi="Times New Roman;sans-serif"/>
          <w:b w:val="false"/>
          <w:i/>
          <w:color w:val="000000"/>
          <w:sz w:val="24"/>
        </w:rPr>
        <w:t>e.g.</w:t>
      </w:r>
      <w:r>
        <w:rPr>
          <w:rFonts w:ascii="Times New Roman;sans-serif" w:hAnsi="Times New Roman;sans-serif"/>
          <w:b w:val="false"/>
          <w:color w:val="000000"/>
          <w:sz w:val="24"/>
        </w:rPr>
        <w:t>, Shares or cash held in a bank or brokerage account) outside of Spain with a value in excess of €50,000 per type of right or asset (</w:t>
      </w:r>
      <w:r>
        <w:rPr>
          <w:rFonts w:ascii="Times New Roman;sans-serif" w:hAnsi="Times New Roman;sans-serif"/>
          <w:b w:val="false"/>
          <w:i/>
          <w:color w:val="000000"/>
          <w:sz w:val="24"/>
        </w:rPr>
        <w:t>e.g.</w:t>
      </w:r>
      <w:r>
        <w:rPr>
          <w:rFonts w:ascii="Times New Roman;sans-serif" w:hAnsi="Times New Roman;sans-serif"/>
          <w:b w:val="false"/>
          <w:color w:val="000000"/>
          <w:sz w:val="24"/>
        </w:rPr>
        <w:t>, Shares, cash, etc.) as of December 31 each year, Participant is required to report certain information regarding such rights and assets on tax form 720.  After such rights and/or assets are initially reported, the reporting obligation will apply for subsequent years only if the value of any previously-reported rights or assets increases by more than €20,000.  The reporting must be completed by the March 31 each year. </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Participant is required to declare electronically to the Bank of Spain any securities accounts (including brokerage accounts held abroad), any foreign instruments (including any Shares acquired under the Plan) and any transactions with non-Spanish residents (including any payments of Shares made to Participant by the Company) depending on the value of such accounts and instruments and the amount of the transactions during the relevant year as of December 31 of the relevant year. More frequent reporting may be required if the transaction value or account balance exceeds €100,000,000.</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SWEDEN</w:t>
      </w:r>
    </w:p>
    <w:p>
      <w:pPr>
        <w:pStyle w:val="TextBody"/>
        <w:spacing w:lineRule="auto" w:line="240" w:before="0" w:after="240"/>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rPr/>
      </w:pPr>
      <w:r>
        <w:rPr>
          <w:rFonts w:ascii="Times New Roman;sans-serif" w:hAnsi="Times New Roman;sans-serif"/>
          <w:b/>
          <w:color w:val="000000"/>
          <w:sz w:val="24"/>
        </w:rPr>
        <w:t>Responsibility for Taxes</w:t>
      </w:r>
      <w:r>
        <w:rPr>
          <w:rFonts w:ascii="Times New Roman;sans-serif" w:hAnsi="Times New Roman;sans-serif"/>
          <w:b w:val="false"/>
          <w:color w:val="000000"/>
          <w:sz w:val="24"/>
        </w:rPr>
        <w:t>. This provision supplements Section 7 of the Award Agreement:</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Without limiting the Company’s or any Parent or Subsidiary’s authority to satisfy their withholding obligations for Tax-Related Items as set forth in Section 7 of the Award Agreement, in accepting the Stock Unit grant, Participant authorizes the Company and/or any Parent or Subsidiary to withhold Shares or to sell Shares otherwise deliverable to Participant upon vesting/settlement to satisfy Tax-Related Items, regardless of whether the Company and/or any Parent Subsidiary has an obligation to withhold such Tax-Related Items.</w:t>
      </w:r>
    </w:p>
    <w:p>
      <w:pPr>
        <w:pStyle w:val="TextBody"/>
        <w:spacing w:before="0" w:after="240"/>
        <w:jc w:val="center"/>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293370"/>
                <wp:effectExtent l="0" t="0" r="0" b="0"/>
                <wp:wrapNone/>
                <wp:docPr id="118" name="Frame118"/>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SWITZERLAND</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0"/>
        <w:jc w:val="both"/>
        <w:rPr/>
      </w:pPr>
      <w:r>
        <w:rPr>
          <w:rFonts w:ascii="Times New Roman;sans-serif" w:hAnsi="Times New Roman;sans-serif"/>
          <w:b/>
          <w:color w:val="000000"/>
          <w:sz w:val="24"/>
        </w:rPr>
        <w:t>Securities Law Information.</w:t>
      </w:r>
      <w:r>
        <w:rPr>
          <w:color w:val="000000"/>
        </w:rPr>
        <w:t xml:space="preserve"> </w:t>
      </w:r>
      <w:r>
        <w:rPr>
          <w:rFonts w:ascii="Times New Roman;sans-serif" w:hAnsi="Times New Roman;sans-serif"/>
          <w:b w:val="false"/>
          <w:color w:val="000000"/>
          <w:sz w:val="24"/>
        </w:rPr>
        <w:t>Neither this document nor any other materials relating to the Stock Units (i) constitutes a prospectus according to articles 35 et seq. of the Swiss Federal Act on Financial Services (“FinSA”) (ii) may be publicly distributed or otherwise made publicly available in Switzerland to any person other than a participant and other service provider of the Company or any Parent or Subsidiary or (iii) has been or will be filed with, approved or supervised by any Swiss reviewing body according to article 51 FinSA or any Swiss regulatory authority, including the Swiss Financial Market Supervisory Authority (“FINMA”).</w:t>
      </w:r>
    </w:p>
    <w:p>
      <w:pPr>
        <w:pStyle w:val="TextBody"/>
        <w:spacing w:before="0" w:after="0"/>
        <w:jc w:val="both"/>
        <w:rPr/>
      </w:pPr>
      <w:r>
        <w:rPr/>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TAIWAN</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jc w:val="both"/>
        <w:rPr/>
      </w:pPr>
      <w:r>
        <w:rPr>
          <w:rFonts w:ascii="Times New Roman;sans-serif" w:hAnsi="Times New Roman;sans-serif"/>
          <w:b/>
          <w:color w:val="000000"/>
          <w:sz w:val="24"/>
        </w:rPr>
        <w:t>Data Privacy Acknowledgement</w:t>
      </w:r>
      <w:r>
        <w:rPr>
          <w:rFonts w:ascii="Times New Roman;sans-serif" w:hAnsi="Times New Roman;sans-serif"/>
          <w:b w:val="false"/>
          <w:color w:val="000000"/>
          <w:sz w:val="24"/>
        </w:rPr>
        <w:t>. Participant acknowledges that he or she has read and understands the terms regarding collection, processing and transfer of Data contained in Section 13 of the Award Agreement and by participating in the Plan, Participant agrees to such terms. In this regard, upon request of the Company or the Employer, Participant agrees to provide an executed data privacy consent form to the Employer or the Company (or any other agreements or consents that may be required by the Employer or the Company) that the Company and/or the Employer may deem necessary to obtain under the data privacy laws in Participant’s country, either now or in the future. Participant understands that he or she will not be able to participate in the Plan if Participant fails to execute any such consent or agreement.</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highlight w:val="white"/>
        </w:rPr>
        <w:t>Securities Law Information.</w:t>
      </w:r>
      <w:r>
        <w:rPr>
          <w:color w:val="000000"/>
          <w:highlight w:val="white"/>
        </w:rPr>
        <w:t xml:space="preserve"> </w:t>
      </w:r>
      <w:r>
        <w:rPr>
          <w:rFonts w:ascii="Times New Roman;sans-serif" w:hAnsi="Times New Roman;sans-serif"/>
          <w:b w:val="false"/>
          <w:color w:val="000000"/>
          <w:sz w:val="24"/>
          <w:highlight w:val="white"/>
        </w:rPr>
        <w:t>The offer of participation in the Plan is available only for employees of the Company and its Subsidiaries. The offer of participation in the Plan is not a public offer of securities by a Taiwanese company.</w:t>
      </w:r>
    </w:p>
    <w:p>
      <w:pPr>
        <w:pStyle w:val="TextBody"/>
        <w:spacing w:lineRule="auto" w:line="240" w:before="0" w:after="24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 xml:space="preserve">Participant may acquire and remit foreign currency (including proceeds from the sale of Shares or the receipt of dividends) up to US$5,000,000 per year without justification. </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If the transaction amount is TWD500,000 or more in a single transaction, Participant must submit a Foreign Exchange Transaction Form and also provide supporting documentation to the satisfaction of the remitting bank.</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THAILAND</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If the proceeds from the sale of Shares or the receipt of dividends and Dividend Equivalents are equal to or greater than US$50,000 in a single transaction, Participant must repatriate the proceeds to Thailand immediately upon receipt and to convert the funds to Thai Baht or deposit the proceeds in a foreign currency deposit account maintained by a bank in Thailand within 360 days of remitting the proceeds to Thailand. In addition, Participant must specifically report the inward remittance to the Bank of Thailand on a Foreign Exchange Transaction Form.</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Participant does not comply with this obligation, Participant may be subject to penalties assessed by the Bank of Thailand. Because exchange control regulations change frequently and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293370"/>
                <wp:effectExtent l="0" t="0" r="0" b="0"/>
                <wp:wrapNone/>
                <wp:docPr id="119" name="Frame119"/>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without notice, Participant should consult a legal advisor before selling Shares to ensure compliance with current regulations. It is Participant’s responsibility to comply with exchange control laws in Thailand, and neither the Company nor any Parent or Subsidiary will be liable for any fines or penalties resulting from Participant’s failure to comply with applicable laws.</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TUNISIA</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jc w:val="both"/>
        <w:rPr/>
      </w:pPr>
      <w:r>
        <w:rPr>
          <w:rFonts w:ascii="Times New Roman;sans-serif" w:hAnsi="Times New Roman;sans-serif"/>
          <w:b/>
          <w:color w:val="000000"/>
          <w:sz w:val="24"/>
        </w:rPr>
        <w:t>Settlement of Stock Units and Sale of Shares.</w:t>
      </w:r>
      <w:r>
        <w:rPr>
          <w:color w:val="000000"/>
        </w:rPr>
        <w:t xml:space="preserve"> </w:t>
      </w:r>
      <w:r>
        <w:rPr>
          <w:rFonts w:ascii="Times New Roman;sans-serif" w:hAnsi="Times New Roman;sans-serif"/>
          <w:b w:val="false"/>
          <w:color w:val="000000"/>
          <w:sz w:val="24"/>
        </w:rPr>
        <w:t>Due to local regulatory requirements, upon the vesting of the Stock Units, Participant agrees to the immediate sale of any Shares to be issued to him or her upon vesting and settlement of the Stock Units. Participant further agrees that the Company is authorized to instruct its designated broker to assist with the mandatory sale of such Shares (on Participant’s behalf pursuant to this authorization) and Participant expressly authorizes the Company’s designated broker to complete the sale of such Shares. Participant acknowledges that the Company’s designated broker is under no obligation to arrange for the sale of the Shares at any particular price. Upon the sale of the Shares, the Company agrees to pay Participant the cash proceeds from the sale of the Shares, less any brokerage fees or commissions and subject to any obligation to satisfy Tax-Related Items. Participant acknowledges that he or she are not aware of any material nonpublic information with respect to the Company or any securities of the Company as of the date of the Award Agreement.</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All proceeds from the sale of Shares as described above must be repatriated to Tunisia. Participant should consult his or her personal advisor before taking action with respect to remittance of proceeds into Tunisia. Participant is responsible for ensuring compliance with all exchange control laws in Tunisia. In addition, if Participant holds assets abroad in excess of 500 Tunisian Dinars, Participant must report the assets to the Central Bank of Tunisia.</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TURKEY</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Securities Law Information</w:t>
      </w:r>
      <w:r>
        <w:rPr>
          <w:rFonts w:ascii="Times New Roman;sans-serif" w:hAnsi="Times New Roman;sans-serif"/>
          <w:b w:val="false"/>
          <w:color w:val="000000"/>
          <w:sz w:val="24"/>
        </w:rPr>
        <w:t>. Under Turkish law, Participant is not permitted to sell Shares acquired under the Plan in Turkey. The Shares are currently traded on the Nasdaq Global Select Market, which is located outside of Turkey, under the ticker symbol “FTNT” and the Shares may be sold through this exchange.</w:t>
      </w:r>
    </w:p>
    <w:p>
      <w:pPr>
        <w:pStyle w:val="TextBody"/>
        <w:spacing w:lineRule="auto" w:line="240" w:before="0" w:after="24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Participant likely will be required to engage a Turkish financial intermediary to assist with the sale of Shares acquired under the Plan and may also need to engage a Turkish financial intermediary with respect to the acquisition of such Shares, although this is less certain. As Participant is solely responsible for complying with the financial intermediary requirements and their application to participation in the Plan is uncertain, Participant should consult his or her personal legal advisor prior to the vesting of the Stock Units or any sale of Shares to ensure compliance.</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UNITED ARAB EMIRATES</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Securities Law Information</w:t>
      </w:r>
      <w:r>
        <w:rPr>
          <w:rFonts w:ascii="Times New Roman;sans-serif" w:hAnsi="Times New Roman;sans-serif"/>
          <w:b w:val="false"/>
          <w:color w:val="000000"/>
          <w:sz w:val="24"/>
        </w:rPr>
        <w:t xml:space="preserve">. Participation in the Plan is being offered only to selected Service Providers and is in the nature of providing equity incentives to Service Providers in the United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293370"/>
                <wp:effectExtent l="0" t="0" r="0" b="0"/>
                <wp:wrapNone/>
                <wp:docPr id="120" name="Frame120"/>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Arab Emirates. The Plan and the Award Agreement are intended for distribution only to such Service Providers and must not be delivered to, or relied on by, any other person. Prospective purchasers of the securities offered should conduct their own due diligence on the securities. If Participant does not understand the contents of the Plan and the Award Agreement, Participant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 Award Agreement nor taken steps to verify the information set out therein, and have no responsibility for such documents.</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UNITED KINGDOM</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jc w:val="both"/>
        <w:rPr/>
      </w:pPr>
      <w:r>
        <w:rPr>
          <w:rFonts w:ascii="Times New Roman;sans-serif" w:hAnsi="Times New Roman;sans-serif"/>
          <w:b/>
          <w:color w:val="000000"/>
          <w:sz w:val="24"/>
        </w:rPr>
        <w:t xml:space="preserve">Stock Units Payable Only in Shares. </w:t>
      </w:r>
      <w:r>
        <w:rPr>
          <w:rFonts w:ascii="Times New Roman;sans-serif" w:hAnsi="Times New Roman;sans-serif"/>
          <w:b w:val="false"/>
          <w:color w:val="000000"/>
          <w:sz w:val="24"/>
        </w:rPr>
        <w:t>Notwithstanding any discretion in the Plan or anything to the contrary in the Award Agreement, the grant of Stock Units does not provide any right for Participant to receive a cash payment, and the Stock Units are payable in Shares only.</w:t>
      </w:r>
    </w:p>
    <w:p>
      <w:pPr>
        <w:pStyle w:val="TextBody"/>
        <w:spacing w:lineRule="auto" w:line="240" w:before="0" w:after="240"/>
        <w:jc w:val="both"/>
        <w:rPr/>
      </w:pPr>
      <w:r>
        <w:rPr>
          <w:rFonts w:ascii="Times New Roman;sans-serif" w:hAnsi="Times New Roman;sans-serif"/>
          <w:b/>
          <w:color w:val="000000"/>
          <w:sz w:val="24"/>
        </w:rPr>
        <w:t xml:space="preserve">Withholding Taxes. </w:t>
      </w:r>
      <w:r>
        <w:rPr>
          <w:rFonts w:ascii="Times New Roman;sans-serif" w:hAnsi="Times New Roman;sans-serif"/>
          <w:b w:val="false"/>
          <w:color w:val="000000"/>
          <w:sz w:val="24"/>
        </w:rPr>
        <w:t xml:space="preserve">This provision supplements Section 7 of the Award Agreement: </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payment or withholding of the income tax due is not made within ninety (90) days of the end of the U.K. tax year (April 6 - April 5) in which such event giving rise to the Tax-Related Items occurs, or such other period specified in Section 222(1)(c) of the U.K. Income Tax (Earnings and Pensions) Act 2003 (the “Due Date”), the amount of any uncollected income tax shall constitute a loan owed by Participant to the Employer, effective on the Due Date. Participant agrees that the loan will bear interest at the then-current Official Rate of HM Revenue &amp; Customs (“HMRC”), it will be immediately due and repayable, and the Company or the Employer may recover it at any time thereafter by any of the means referred to in Section 10 of the Award Agreement. </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Notwithstanding the foregoing, if Participant is a director or executive officer of the Company (within the meaning of Section 13(k) of the U.S. Securities Exchange Act of 1934, as amended), Participant shall not be eligible for a loan from the Company to cover the income tax. In the event that Participant is a director or executive officer and income tax not collected from or paid by Participant by the Due Date, the amount of any uncollected income tax may constitute a benefit to Participant on which additional income tax and national insurance contributions (“NICs”) may be payable. Participant acknowledges that Participant ultimately will be responsible for reporting and paying any income tax due on this additional benefit directly to HMRC under the self-assessment regime and for reimbursing the Company or the Employer (as applicable) for the value of any employee NICs due on this additional benefit, which the Company and/or the Employer may recover from Participant at any time thereafter by any of the means referred to in Section 10 of the Award Agreement. </w:t>
      </w:r>
    </w:p>
    <w:p>
      <w:pPr>
        <w:pStyle w:val="TextBody"/>
        <w:spacing w:lineRule="auto" w:line="240" w:before="0" w:after="240"/>
        <w:jc w:val="both"/>
        <w:rPr/>
      </w:pPr>
      <w:r>
        <w:rPr>
          <w:rFonts w:ascii="Times New Roman;sans-serif" w:hAnsi="Times New Roman;sans-serif"/>
          <w:b/>
          <w:color w:val="000000"/>
          <w:sz w:val="24"/>
        </w:rPr>
        <w:t>Joint Election for Transfer of the Employer’s Secondary Class 1 NICs Liability to the Participant.</w:t>
      </w:r>
      <w:r>
        <w:rPr>
          <w:color w:val="000000"/>
        </w:rPr>
        <w:t xml:space="preserve"> </w:t>
      </w:r>
      <w:r>
        <w:rPr>
          <w:rFonts w:ascii="Times New Roman;sans-serif" w:hAnsi="Times New Roman;sans-serif"/>
          <w:b w:val="false"/>
          <w:color w:val="000000"/>
          <w:sz w:val="24"/>
        </w:rPr>
        <w:t xml:space="preserve">As a condition of vesting in the Stock Units, Participant agrees to accept any liability for secondary Class 1 NICs, which may be payable by the Company or the Employer in connection with the Stock Units (“Employer NICs”). Without limitation to the foregoing, Participant agrees to enter into an election between Participant and the Company or the Employer (the “Election”), in the form approved for such Election by HMRC, and any other consents or elections required to accomplish the transfer of the Employer NICs to Participant, prior to vesting of the Stock Units. Participant further agrees to enter into such other joint elections as may be required between Participant and any successor to the Company and/or the Employer. If Participant does not enter into the Election prior to the vesting of the Stock Units,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293370"/>
                <wp:effectExtent l="0" t="0" r="0" b="0"/>
                <wp:wrapNone/>
                <wp:docPr id="121" name="Frame121"/>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Participant shall, without any liability to the Company or any Parent or Subsidiary, not be entitled to vest in the Stock Units.</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Participant further agrees that the Company and/or the Employer may collect the Employer NICs by any of the means set forth in Section 10 of the Award Agreement, as supplemented above.</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293370"/>
                <wp:effectExtent l="0" t="0" r="0" b="0"/>
                <wp:wrapNone/>
                <wp:docPr id="122" name="Frame122"/>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AMENDED AND RESTATED FORTINET, INC.</w:t>
      </w:r>
    </w:p>
    <w:p>
      <w:pPr>
        <w:pStyle w:val="TextBody"/>
        <w:spacing w:lineRule="auto" w:line="240" w:before="120" w:after="283"/>
        <w:jc w:val="center"/>
        <w:rPr>
          <w:rFonts w:ascii="Times New Roman;sans-serif" w:hAnsi="Times New Roman;sans-serif"/>
          <w:b/>
          <w:color w:val="000000"/>
          <w:sz w:val="24"/>
        </w:rPr>
      </w:pPr>
      <w:r>
        <w:rPr>
          <w:rFonts w:ascii="Times New Roman;sans-serif" w:hAnsi="Times New Roman;sans-serif"/>
          <w:b/>
          <w:color w:val="000000"/>
          <w:sz w:val="24"/>
        </w:rPr>
        <w:t>2009 EQUITY INCENTIVE PLAN</w:t>
      </w:r>
    </w:p>
    <w:p>
      <w:pPr>
        <w:pStyle w:val="TextBody"/>
        <w:spacing w:lineRule="auto" w:line="240" w:before="120" w:after="283"/>
        <w:jc w:val="center"/>
        <w:rPr>
          <w:rFonts w:ascii="Times New Roman;sans-serif" w:hAnsi="Times New Roman;sans-serif"/>
          <w:b/>
          <w:color w:val="000000"/>
          <w:sz w:val="24"/>
        </w:rPr>
      </w:pPr>
      <w:r>
        <w:rPr>
          <w:rFonts w:ascii="Times New Roman;sans-serif" w:hAnsi="Times New Roman;sans-serif"/>
          <w:b/>
          <w:color w:val="000000"/>
          <w:sz w:val="24"/>
        </w:rPr>
        <w:t>RESTRICTED STOCK UNIT AWARD AGREEMENT</w:t>
      </w:r>
    </w:p>
    <w:p>
      <w:pPr>
        <w:pStyle w:val="TextBody"/>
        <w:spacing w:lineRule="auto" w:line="240" w:before="36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Unless otherwise defined herein, the terms defined in the Amended and Restated Fortinet, Inc. 2009 Equity Incentive Plan (the “Plan”) will have the same defined meanings in this Restricted Stock Unit Award Agreement, including any country-specific terms and conditions set forth in the attached Addendum (collectively, the “Award Agreement”).</w:t>
      </w:r>
    </w:p>
    <w:p>
      <w:pPr>
        <w:pStyle w:val="TextBody"/>
        <w:spacing w:lineRule="auto" w:line="240" w:before="240" w:after="283"/>
        <w:rPr/>
      </w:pPr>
      <w:r>
        <w:rPr>
          <w:rFonts w:ascii="Times New Roman;sans-serif" w:hAnsi="Times New Roman;sans-serif"/>
          <w:b/>
          <w:color w:val="000000"/>
          <w:sz w:val="24"/>
        </w:rPr>
        <w:t>I.</w:t>
      </w:r>
      <w:r>
        <w:rPr>
          <w:rFonts w:ascii="Times New Roman;sans-serif" w:hAnsi="Times New Roman;sans-serif"/>
          <w:b/>
          <w:color w:val="000000"/>
          <w:sz w:val="24"/>
          <w:u w:val="single"/>
        </w:rPr>
        <w:t>NOTICE OF RESTRICTED STOCK UNIT GRANT</w:t>
      </w:r>
    </w:p>
    <w:p>
      <w:pPr>
        <w:pStyle w:val="TextBody"/>
        <w:spacing w:lineRule="auto" w:line="240" w:before="240" w:after="283"/>
        <w:rPr/>
      </w:pPr>
      <w:r>
        <w:rPr>
          <w:rFonts w:ascii="Times New Roman;sans-serif" w:hAnsi="Times New Roman;sans-serif"/>
          <w:b/>
          <w:color w:val="000000"/>
          <w:sz w:val="24"/>
        </w:rPr>
        <w:t>Participant Name:</w:t>
      </w:r>
      <w:r>
        <w:rPr>
          <w:color w:val="000000"/>
        </w:rPr>
        <w:t>                    </w:t>
      </w:r>
    </w:p>
    <w:p>
      <w:pPr>
        <w:pStyle w:val="TextBody"/>
        <w:spacing w:lineRule="auto" w:line="240" w:before="240" w:after="283"/>
        <w:rPr/>
      </w:pPr>
      <w:r>
        <w:rPr>
          <w:rFonts w:ascii="Times New Roman;sans-serif" w:hAnsi="Times New Roman;sans-serif"/>
          <w:b/>
          <w:color w:val="000000"/>
          <w:sz w:val="24"/>
        </w:rPr>
        <w:t>Address:</w:t>
      </w:r>
      <w:r>
        <w:rPr>
          <w:color w:val="000000"/>
        </w:rPr>
        <w:t>                </w:t>
      </w:r>
    </w:p>
    <w:p>
      <w:pPr>
        <w:pStyle w:val="TextBody"/>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You have been granted the right to receive an Award of Restricted Stock Units, subject to the terms and conditions of the Plan and this Award Agreement, as follows:</w:t>
      </w:r>
    </w:p>
    <w:p>
      <w:pPr>
        <w:pStyle w:val="TextBody"/>
        <w:spacing w:before="2" w:after="283"/>
        <w:ind w:left="0" w:right="0" w:firstLine="7"/>
        <w:jc w:val="both"/>
        <w:rPr/>
      </w:pPr>
      <w:r>
        <w:rPr/>
      </w:r>
    </w:p>
    <w:tbl>
      <w:tblPr>
        <w:tblW w:w="3701" w:type="dxa"/>
        <w:jc w:val="left"/>
        <w:tblInd w:w="0" w:type="dxa"/>
        <w:tblCellMar>
          <w:top w:w="28" w:type="dxa"/>
          <w:left w:w="28" w:type="dxa"/>
          <w:bottom w:w="28" w:type="dxa"/>
          <w:right w:w="28" w:type="dxa"/>
        </w:tblCellMar>
      </w:tblPr>
      <w:tblGrid>
        <w:gridCol w:w="1204"/>
        <w:gridCol w:w="1058"/>
        <w:gridCol w:w="1067"/>
        <w:gridCol w:w="109"/>
        <w:gridCol w:w="109"/>
        <w:gridCol w:w="154"/>
      </w:tblGrid>
      <w:tr>
        <w:trPr/>
        <w:tc>
          <w:tcPr>
            <w:tcW w:w="1204"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Grant Number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of Grant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180" w:after="283"/>
              <w:ind w:left="0" w:right="0" w:firstLine="7"/>
              <w:jc w:val="left"/>
              <w:rPr>
                <w:rFonts w:ascii="Times New Roman;sans-serif" w:hAnsi="Times New Roman;sans-serif"/>
                <w:b w:val="false"/>
                <w:color w:val="000000"/>
                <w:sz w:val="24"/>
              </w:rPr>
            </w:pPr>
            <w:r>
              <w:rPr>
                <w:rFonts w:ascii="Times New Roman;sans-serif" w:hAnsi="Times New Roman;sans-serif"/>
                <w:b w:val="false"/>
                <w:color w:val="000000"/>
                <w:sz w:val="24"/>
              </w:rPr>
              <w:t>Vesting Commencement Date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Number of Restricted Stock Units</w:t>
            </w:r>
          </w:p>
        </w:tc>
        <w:tc>
          <w:tcPr>
            <w:tcW w:w="37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240" w:after="283"/>
        <w:ind w:left="0" w:right="0" w:firstLine="720"/>
        <w:rPr/>
      </w:pPr>
      <w:r>
        <w:rPr>
          <w:rFonts w:ascii="Times New Roman;sans-serif" w:hAnsi="Times New Roman;sans-serif"/>
          <w:b w:val="false"/>
          <w:color w:val="000000"/>
          <w:sz w:val="24"/>
          <w:u w:val="single"/>
        </w:rPr>
        <w:t>Vesting Schedule</w:t>
      </w:r>
      <w:r>
        <w:rPr>
          <w:rFonts w:ascii="Times New Roman;sans-serif" w:hAnsi="Times New Roman;sans-serif"/>
          <w:b w:val="false"/>
          <w:color w:val="000000"/>
          <w:sz w:val="24"/>
        </w:rPr>
        <w:t>:</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any acceleration provisions contained in the Plan or set forth below, the Restricted Stock Unit will vest in accordance with the following schedule:</w:t>
      </w:r>
    </w:p>
    <w:p>
      <w:pPr>
        <w:pStyle w:val="TextBody"/>
        <w:spacing w:lineRule="auto" w:line="240" w:before="1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[INSERT VESTING SCHEDULE.]</w:t>
      </w:r>
    </w:p>
    <w:p>
      <w:pPr>
        <w:pStyle w:val="TextBody"/>
        <w:spacing w:lineRule="auto" w:line="240" w:before="1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Participant ceases to be a Service Provider for any or no reason before Participant vests in any Restricted Stock Units, any such unvested Restricted Stock Units and Participant’s right to acquire any Shares hereunder will immediately terminate.</w:t>
      </w:r>
    </w:p>
    <w:p>
      <w:pPr>
        <w:pStyle w:val="TextBody"/>
        <w:spacing w:before="0" w:after="0"/>
        <w:rPr/>
      </w:pPr>
      <w:r>
        <w:rPr/>
      </w:r>
    </w:p>
    <w:p>
      <w:pPr>
        <w:pStyle w:val="TextBody"/>
        <w:spacing w:lineRule="auto" w:line="240"/>
        <w:ind w:left="0" w:right="0" w:firstLine="720"/>
        <w:jc w:val="both"/>
        <w:rPr/>
      </w:pPr>
      <w:r>
        <w:rPr>
          <w:rFonts w:ascii="Times New Roman;sans-serif" w:hAnsi="Times New Roman;sans-serif"/>
          <w:b w:val="false"/>
          <w:color w:val="000000"/>
          <w:sz w:val="24"/>
        </w:rPr>
        <w:t>By Participant’s signature and the signature of the representative of Fortinet, Inc. (the “Company”) below, Participant and the Company agree that this Award of Restricted Stock Units is granted under and governed by the terms and conditions of the Plan and this Award Agreement, including the Terms and Conditions of Restricted Stock Unit Grant, attached hereto as Exhibit A and the Addendum with additional country-specific terms and conditions (the “Addendum”) attached hereto, all of which are made a part of this Award Agreement. Participant has reviewed the Plan and this Award</w:t>
      </w:r>
      <w:r>
        <w:rPr>
          <w:color w:val="000000"/>
        </w:rPr>
        <w:t xml:space="preserve"> </w:t>
      </w:r>
      <w:r>
        <w:rPr>
          <w:rFonts w:ascii="Times New Roman;sans-serif" w:hAnsi="Times New Roman;sans-serif"/>
          <w:b w:val="false"/>
          <w:color w:val="000000"/>
          <w:sz w:val="24"/>
        </w:rPr>
        <w:t>Agreement in their entirety, has had an opportunity to obtain the advice of counsel prior to accepting this Award Agreement and fully understands all provisions of the Plan and Award Agreement. Participant hereby agrees to accept as binding, conclusive and final all decisions or interpretations of the Administrator upon any questions relating to the Plan and Award</w:t>
      </w:r>
      <w:r>
        <w:rPr>
          <w:color w:val="000000"/>
        </w:rPr>
        <w:t xml:space="preserve"> </w:t>
      </w:r>
      <w:r>
        <w:rPr>
          <w:rFonts w:ascii="Times New Roman;sans-serif" w:hAnsi="Times New Roman;sans-serif"/>
          <w:b w:val="false"/>
          <w:color w:val="000000"/>
          <w:sz w:val="24"/>
        </w:rPr>
        <w:t>Agreement. Participant further agrees to notify the Company upon any change in the residence address indicated below.</w:t>
      </w:r>
      <w:r>
        <w:br w:type="page"/>
      </w:r>
    </w:p>
    <w:p>
      <w:pPr>
        <w:pStyle w:val="TextBody"/>
        <w:spacing w:before="0" w:after="0"/>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293370"/>
                <wp:effectExtent l="0" t="0" r="0" b="0"/>
                <wp:wrapNone/>
                <wp:docPr id="123" name="Frame123"/>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170773909-v7\NA_DMS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170773909-v7\NA_DMS</w:t>
                      </w:r>
                    </w:p>
                  </w:txbxContent>
                </v:textbox>
              </v:rect>
            </w:pict>
          </mc:Fallback>
        </mc:AlternateContent>
      </w:r>
    </w:p>
    <w:p>
      <w:pPr>
        <w:pStyle w:val="TextBody"/>
        <w:spacing w:before="240" w:after="283"/>
        <w:rPr/>
      </w:pPr>
      <w:r>
        <w:rPr/>
      </w:r>
    </w:p>
    <w:tbl>
      <w:tblPr>
        <w:tblW w:w="4316" w:type="dxa"/>
        <w:jc w:val="left"/>
        <w:tblInd w:w="0" w:type="dxa"/>
        <w:tblCellMar>
          <w:top w:w="28" w:type="dxa"/>
          <w:left w:w="28" w:type="dxa"/>
          <w:bottom w:w="28" w:type="dxa"/>
          <w:right w:w="28" w:type="dxa"/>
        </w:tblCellMar>
      </w:tblPr>
      <w:tblGrid>
        <w:gridCol w:w="722"/>
        <w:gridCol w:w="636"/>
        <w:gridCol w:w="637"/>
        <w:gridCol w:w="109"/>
        <w:gridCol w:w="109"/>
        <w:gridCol w:w="109"/>
        <w:gridCol w:w="584"/>
        <w:gridCol w:w="584"/>
        <w:gridCol w:w="826"/>
      </w:tblGrid>
      <w:tr>
        <w:trPr/>
        <w:tc>
          <w:tcPr>
            <w:tcW w:w="722"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PARTICIPANT: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FORTINET, INC. </w:t>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Print 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Residence Address: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2" w:after="283"/>
        <w:rPr/>
      </w:pPr>
      <w:r>
        <w:rPr/>
      </w:r>
    </w:p>
    <w:p>
      <w:pPr>
        <w:pStyle w:val="TextBody"/>
        <w:spacing w:before="2" w:after="283"/>
        <w:rPr/>
      </w:pPr>
      <w:r>
        <w:rPr/>
      </w:r>
    </w:p>
    <w:p>
      <w:pPr>
        <w:pStyle w:val="TextBody"/>
        <w:spacing w:before="0" w:after="0"/>
        <w:rPr/>
      </w:pPr>
      <w:r>
        <w:rPr/>
      </w:r>
    </w:p>
    <w:p>
      <w:pPr>
        <w:pStyle w:val="TextBody"/>
        <w:spacing w:before="0" w:after="0"/>
        <w:jc w:val="center"/>
        <w:rPr/>
      </w:pPr>
      <w:r>
        <w:rPr/>
      </w: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293370"/>
                <wp:effectExtent l="0" t="0" r="0" b="0"/>
                <wp:wrapNone/>
                <wp:docPr id="124" name="Frame124"/>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170773909-v7\NA_DMS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170773909-v7\NA_DMS</w:t>
                      </w:r>
                    </w:p>
                  </w:txbxContent>
                </v:textbox>
              </v:rect>
            </w:pict>
          </mc:Fallback>
        </mc:AlternateContent>
      </w:r>
    </w:p>
    <w:p>
      <w:pPr>
        <w:pStyle w:val="TextBody"/>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TERMS AND CONDITIONS OF RESTRICTED STOCK UNIT GRANT</w:t>
      </w:r>
    </w:p>
    <w:p>
      <w:pPr>
        <w:pStyle w:val="TextBody"/>
        <w:spacing w:lineRule="auto" w:line="304" w:before="240" w:after="240"/>
        <w:ind w:left="0" w:right="0" w:firstLine="720"/>
        <w:jc w:val="both"/>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Grant</w:t>
      </w:r>
      <w:r>
        <w:rPr>
          <w:rFonts w:ascii="Times New Roman;sans-serif" w:hAnsi="Times New Roman;sans-serif"/>
          <w:b w:val="false"/>
          <w:color w:val="000000"/>
          <w:sz w:val="24"/>
        </w:rPr>
        <w:t>. The Company hereby grants to the individual named in the Notice of Grant</w:t>
      </w:r>
      <w:r>
        <w:rPr>
          <w:color w:val="000000"/>
        </w:rPr>
        <w:t xml:space="preserve"> </w:t>
      </w:r>
      <w:r>
        <w:rPr>
          <w:rFonts w:ascii="Times New Roman;sans-serif" w:hAnsi="Times New Roman;sans-serif"/>
          <w:b w:val="false"/>
          <w:color w:val="000000"/>
          <w:sz w:val="24"/>
        </w:rPr>
        <w:t>attached as Part I of this Award</w:t>
      </w:r>
      <w:r>
        <w:rPr>
          <w:color w:val="000000"/>
        </w:rPr>
        <w:t xml:space="preserve"> </w:t>
      </w:r>
      <w:r>
        <w:rPr>
          <w:rFonts w:ascii="Times New Roman;sans-serif" w:hAnsi="Times New Roman;sans-serif"/>
          <w:b w:val="false"/>
          <w:color w:val="000000"/>
          <w:sz w:val="24"/>
        </w:rPr>
        <w:t>Agreement (the “Participant”) under the Plan an Award of Restricted Stock Units, subject to all of the terms and conditions in this Award</w:t>
      </w:r>
      <w:r>
        <w:rPr>
          <w:color w:val="000000"/>
        </w:rPr>
        <w:t xml:space="preserve"> </w:t>
      </w:r>
      <w:r>
        <w:rPr>
          <w:rFonts w:ascii="Times New Roman;sans-serif" w:hAnsi="Times New Roman;sans-serif"/>
          <w:b w:val="false"/>
          <w:color w:val="000000"/>
          <w:sz w:val="24"/>
        </w:rPr>
        <w:t>Agreement and the Plan, which is incorporated herein by reference. In the event of a conflict between the terms and conditions of the Plan and the terms and conditions of this Award</w:t>
      </w:r>
      <w:r>
        <w:rPr>
          <w:color w:val="000000"/>
        </w:rPr>
        <w:t xml:space="preserve"> </w:t>
      </w:r>
      <w:r>
        <w:rPr>
          <w:rFonts w:ascii="Times New Roman;sans-serif" w:hAnsi="Times New Roman;sans-serif"/>
          <w:b w:val="false"/>
          <w:color w:val="000000"/>
          <w:sz w:val="24"/>
        </w:rPr>
        <w:t>Agreement, the terms and conditions of the Plan will prevail.</w:t>
      </w:r>
    </w:p>
    <w:p>
      <w:pPr>
        <w:pStyle w:val="TextBody"/>
        <w:spacing w:lineRule="auto" w:line="276" w:before="0" w:after="240"/>
        <w:ind w:left="0" w:right="0" w:firstLine="720"/>
        <w:jc w:val="both"/>
        <w:rPr/>
      </w:pPr>
      <w:r>
        <w:rPr>
          <w:rFonts w:ascii="Times New Roman;sans-serif" w:hAnsi="Times New Roman;sans-serif"/>
          <w:b w:val="false"/>
          <w:color w:val="000000"/>
          <w:sz w:val="24"/>
        </w:rPr>
        <w:t>2.    </w:t>
      </w:r>
      <w:r>
        <w:rPr>
          <w:rFonts w:ascii="Times New Roman;sans-serif" w:hAnsi="Times New Roman;sans-serif"/>
          <w:b w:val="false"/>
          <w:color w:val="000000"/>
          <w:sz w:val="24"/>
          <w:u w:val="single"/>
        </w:rPr>
        <w:t>Company’s Obligation to Pay</w:t>
      </w:r>
      <w:r>
        <w:rPr>
          <w:rFonts w:ascii="Times New Roman;sans-serif" w:hAnsi="Times New Roman;sans-serif"/>
          <w:b w:val="false"/>
          <w:color w:val="000000"/>
          <w:sz w:val="24"/>
        </w:rPr>
        <w:t>. Each Restricted Stock Unit represents the right to receive a Share on the date it vests. Unless and until the Restricted Stock Units will have vested in the manner set forth in Section 3,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 Any Restricted Stock Units that vest in accordance with Sections 3 or 4 will be paid to Participant (or in the event of Participant’s death, to his or her estate) in whole Shares, subject to Participant satisfying any Tax-Related Items as defined and as set forth in Section 6. The Company shall not be required to issue fractional Shares upon the vesting of a Restricted Stock Unit. Vested Restricted Stock Units will be paid in Shares as soon as practicable after vesting, but in each such case within the period ending no later than the date that is two and one-half (2½) months from the end of the Company’s tax year that includes the vesting date.</w:t>
      </w:r>
    </w:p>
    <w:p>
      <w:pPr>
        <w:pStyle w:val="TextBody"/>
        <w:spacing w:lineRule="auto" w:line="304" w:before="0" w:after="240"/>
        <w:ind w:left="0" w:right="0" w:firstLine="720"/>
        <w:jc w:val="both"/>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Vesting Schedule</w:t>
      </w:r>
      <w:r>
        <w:rPr>
          <w:rFonts w:ascii="Times New Roman;sans-serif" w:hAnsi="Times New Roman;sans-serif"/>
          <w:b w:val="false"/>
          <w:color w:val="000000"/>
          <w:sz w:val="24"/>
        </w:rPr>
        <w:t>. Except as provided in Section 4, and subject to Section 6, the Restricted Stock Units awarded by this Award Agreement will vest in accordance with the vesting provisions set forth in the Notice of Grant. Restricted Stock Units</w:t>
      </w:r>
      <w:r>
        <w:rPr>
          <w:color w:val="000000"/>
        </w:rPr>
        <w:t xml:space="preserve"> </w:t>
      </w:r>
      <w:r>
        <w:rPr>
          <w:rFonts w:ascii="Times New Roman;sans-serif" w:hAnsi="Times New Roman;sans-serif"/>
          <w:b w:val="false"/>
          <w:color w:val="000000"/>
          <w:sz w:val="24"/>
        </w:rPr>
        <w:t>scheduled to vest on a certain date or upon the occurrence of a certain condition will not vest in accordance with any of the provisions of this Award</w:t>
      </w:r>
      <w:r>
        <w:rPr>
          <w:color w:val="000000"/>
        </w:rPr>
        <w:t xml:space="preserve"> </w:t>
      </w:r>
      <w:r>
        <w:rPr>
          <w:rFonts w:ascii="Times New Roman;sans-serif" w:hAnsi="Times New Roman;sans-serif"/>
          <w:b w:val="false"/>
          <w:color w:val="000000"/>
          <w:sz w:val="24"/>
        </w:rPr>
        <w:t>Agreement, unless Participant will have been continuously a Service Provider from the Date of Grant until the date such vesting occurs as further described in Section 6.</w:t>
      </w:r>
    </w:p>
    <w:p>
      <w:pPr>
        <w:pStyle w:val="TextBody"/>
        <w:spacing w:lineRule="auto" w:line="276" w:before="0" w:after="240"/>
        <w:ind w:left="0" w:right="0" w:firstLine="720"/>
        <w:jc w:val="both"/>
        <w:rPr/>
      </w:pPr>
      <w:r>
        <w:rPr>
          <w:rFonts w:ascii="Times New Roman;sans-serif" w:hAnsi="Times New Roman;sans-serif"/>
          <w:b w:val="false"/>
          <w:color w:val="000000"/>
          <w:sz w:val="24"/>
        </w:rPr>
        <w:t>4.    </w:t>
      </w:r>
      <w:r>
        <w:rPr>
          <w:rFonts w:ascii="Times New Roman;sans-serif" w:hAnsi="Times New Roman;sans-serif"/>
          <w:b w:val="false"/>
          <w:color w:val="000000"/>
          <w:sz w:val="24"/>
          <w:u w:val="single"/>
        </w:rPr>
        <w:t>Administrator Discretion</w:t>
      </w:r>
      <w:r>
        <w:rPr>
          <w:rFonts w:ascii="Times New Roman;sans-serif" w:hAnsi="Times New Roman;sans-serif"/>
          <w:b w:val="false"/>
          <w:color w:val="000000"/>
          <w:sz w:val="24"/>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w:t>
      </w:r>
    </w:p>
    <w:p>
      <w:pPr>
        <w:pStyle w:val="TextBody"/>
        <w:spacing w:lineRule="auto" w:line="276" w:before="0" w:after="240"/>
        <w:ind w:left="0" w:right="0" w:firstLine="720"/>
        <w:jc w:val="both"/>
        <w:rPr/>
      </w:pPr>
      <w:r>
        <w:rPr>
          <w:rFonts w:ascii="Times New Roman;sans-serif" w:hAnsi="Times New Roman;sans-serif"/>
          <w:b w:val="false"/>
          <w:color w:val="000000"/>
          <w:sz w:val="24"/>
        </w:rPr>
        <w:t>5.    </w:t>
      </w:r>
      <w:r>
        <w:rPr>
          <w:rFonts w:ascii="Times New Roman;sans-serif" w:hAnsi="Times New Roman;sans-serif"/>
          <w:b w:val="false"/>
          <w:color w:val="000000"/>
          <w:sz w:val="24"/>
          <w:u w:val="single"/>
        </w:rPr>
        <w:t>Dividend Equivalents</w:t>
      </w:r>
      <w:r>
        <w:rPr>
          <w:rFonts w:ascii="Times New Roman;sans-serif" w:hAnsi="Times New Roman;sans-serif"/>
          <w:b w:val="false"/>
          <w:color w:val="000000"/>
          <w:sz w:val="24"/>
        </w:rPr>
        <w:t>. Participant shall be entitled to receive the equivalent value (in cash or Shares or a combination thereof) of any dividends paid on each Share for each Restricted Stock Unit (a “Dividend Equivalent”). Dividend Equivalents will be subject to the same vesting and forfeitability restrictions to which the underlying Restricted Stock Units are subject. Any Dividend Equivalent that becomes payable shall be paid at the same time that the underlying Restricted Stock Unit is paid pursuant to Section 2.</w:t>
      </w:r>
      <w:r>
        <w:br w:type="page"/>
      </w:r>
    </w:p>
    <w:p>
      <w:pPr>
        <w:pStyle w:val="TextBody"/>
        <w:spacing w:before="0" w:after="0"/>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293370"/>
                <wp:effectExtent l="0" t="0" r="0" b="0"/>
                <wp:wrapNone/>
                <wp:docPr id="125" name="Frame125"/>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170773909-v7\NA_DMS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170773909-v7\NA_DMS</w:t>
                      </w:r>
                    </w:p>
                  </w:txbxContent>
                </v:textbox>
              </v:rect>
            </w:pict>
          </mc:Fallback>
        </mc:AlternateContent>
      </w:r>
    </w:p>
    <w:p>
      <w:pPr>
        <w:pStyle w:val="TextBody"/>
        <w:spacing w:lineRule="auto" w:line="276" w:before="0" w:after="240"/>
        <w:ind w:left="0" w:right="0" w:firstLine="720"/>
        <w:jc w:val="both"/>
        <w:rPr/>
      </w:pPr>
      <w:r>
        <w:rPr>
          <w:rFonts w:ascii="Times New Roman;sans-serif" w:hAnsi="Times New Roman;sans-serif"/>
          <w:b w:val="false"/>
          <w:color w:val="000000"/>
          <w:sz w:val="24"/>
        </w:rPr>
        <w:t>6.    </w:t>
      </w:r>
      <w:r>
        <w:rPr>
          <w:rFonts w:ascii="Times New Roman;sans-serif" w:hAnsi="Times New Roman;sans-serif"/>
          <w:b w:val="false"/>
          <w:color w:val="000000"/>
          <w:sz w:val="24"/>
          <w:u w:val="single"/>
        </w:rPr>
        <w:t>Forfeiture upon Termination of Status as a Service Provider</w:t>
      </w:r>
      <w:r>
        <w:rPr>
          <w:rFonts w:ascii="Times New Roman;sans-serif" w:hAnsi="Times New Roman;sans-serif"/>
          <w:b w:val="false"/>
          <w:color w:val="000000"/>
          <w:sz w:val="24"/>
        </w:rPr>
        <w:t>. Notwithstanding any contrary provision of this Award Agreement, the balance of the Restricted Stock Units that have not vested as of the time of Participant’s termination as a Service Provider, for any or no reason and Participant’s right to acquire any Shares hereunder, will immediately terminate upon Participant’s termination as a Service Provider. For purposes of the Restricted Stock Units, Participant's status as a Service Provider will be considered terminated as of the date Participant is no longer actively providing services to the Company or any Parent or Subsidiary (regardless of the reason for such termination and whether or not later to be found invalid or in breach of employment laws in the jurisdiction where Participant is employed or rendering services or the terms of Participant’s employment or service agreement, if any), and Participant’s right to vest in the Restricted Stock Units under the Plan, if any, will terminate as of such date and will not be extended by any notice period (</w:t>
      </w:r>
      <w:r>
        <w:rPr>
          <w:rFonts w:ascii="Times New Roman;sans-serif" w:hAnsi="Times New Roman;sans-serif"/>
          <w:b w:val="false"/>
          <w:i/>
          <w:color w:val="000000"/>
          <w:sz w:val="24"/>
        </w:rPr>
        <w:t>e.g.</w:t>
      </w:r>
      <w:r>
        <w:rPr>
          <w:rFonts w:ascii="Times New Roman;sans-serif" w:hAnsi="Times New Roman;sans-serif"/>
          <w:b w:val="false"/>
          <w:color w:val="000000"/>
          <w:sz w:val="24"/>
        </w:rPr>
        <w:t>, Participant's period of service would not include any contractual notice period or any period of “garden leave” or similar period mandated under employment laws in the jurisdiction where Participant is employed or rendering services or the terms of Participant’s employment or service agreement, if any); the Administrator shall have the exclusive discretion to determine when Participant is no longer actively providing services for purposes of the Restricted Stock Unit grant (including whether Participant may still be considered to be a Service Provider while on a leave of absence).</w:t>
      </w:r>
    </w:p>
    <w:p>
      <w:pPr>
        <w:pStyle w:val="TextBody"/>
        <w:spacing w:lineRule="auto" w:line="276" w:before="0" w:after="240"/>
        <w:ind w:left="0" w:right="0" w:firstLine="720"/>
        <w:jc w:val="both"/>
        <w:rPr/>
      </w:pPr>
      <w:r>
        <w:rPr>
          <w:rFonts w:ascii="Times New Roman;sans-serif" w:hAnsi="Times New Roman;sans-serif"/>
          <w:b w:val="false"/>
          <w:color w:val="000000"/>
          <w:sz w:val="24"/>
        </w:rPr>
        <w:t>7.    </w:t>
      </w:r>
      <w:r>
        <w:rPr>
          <w:rFonts w:ascii="Times New Roman;sans-serif" w:hAnsi="Times New Roman;sans-serif"/>
          <w:b w:val="false"/>
          <w:color w:val="000000"/>
          <w:sz w:val="24"/>
          <w:u w:val="single"/>
        </w:rPr>
        <w:t>Death of Participant</w:t>
      </w:r>
      <w:r>
        <w:rPr>
          <w:rFonts w:ascii="Times New Roman;sans-serif" w:hAnsi="Times New Roman;sans-serif"/>
          <w:b w:val="false"/>
          <w:color w:val="000000"/>
          <w:sz w:val="24"/>
        </w:rPr>
        <w:t>. Any distribution or delivery to be made to Participant under this Award Agreement will, if Participant was a U.S. resident and is then deceased, be made to Participant’s designated beneficiary, or if no beneficiary survives Participant, the administrator or executor of Participant’s estate. Any distribution or delivery to be made to Participant under this Award Agreement will, if Participant was not a U.S. resident and is then deceased, be made to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pStyle w:val="TextBody"/>
        <w:spacing w:lineRule="auto" w:line="276" w:before="0" w:after="240"/>
        <w:ind w:left="0" w:right="0" w:firstLine="720"/>
        <w:jc w:val="both"/>
        <w:rPr/>
      </w:pPr>
      <w:r>
        <w:rPr>
          <w:rFonts w:ascii="Times New Roman;sans-serif" w:hAnsi="Times New Roman;sans-serif"/>
          <w:b w:val="false"/>
          <w:color w:val="000000"/>
          <w:sz w:val="24"/>
        </w:rPr>
        <w:t>8.    </w:t>
      </w:r>
      <w:r>
        <w:rPr>
          <w:rFonts w:ascii="Times New Roman;sans-serif" w:hAnsi="Times New Roman;sans-serif"/>
          <w:b w:val="false"/>
          <w:color w:val="000000"/>
          <w:sz w:val="24"/>
          <w:u w:val="single"/>
        </w:rPr>
        <w:t>Responsibility for Taxes</w:t>
      </w:r>
      <w:r>
        <w:rPr>
          <w:rFonts w:ascii="Times New Roman;sans-serif" w:hAnsi="Times New Roman;sans-serif"/>
          <w:b w:val="false"/>
          <w:color w:val="000000"/>
          <w:sz w:val="24"/>
        </w:rPr>
        <w:t xml:space="preserve">. </w:t>
      </w:r>
    </w:p>
    <w:p>
      <w:pPr>
        <w:pStyle w:val="TextBody"/>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Participant acknowledges that, regardless of any action taken by the Company or, if different, the Parent or Subsidiary retaining or employing Participant (the “Employer”) the ultimate liability for all income tax, social insurance, payroll tax, fringe benefits tax, payment on account or other tax-related items related to Participant’s participation in the Plan and legally applicable to Participant (“Tax-Related Items”), is and remains Participant’s responsibility and may exceed the amount actually withheld by the Company or the Employer. Participant further acknowledges that the Company and/or the Employer (1) make no representations or undertakings regarding the treatment of any Tax-Related Items in connection with any aspect of the Restricted Stock Units, including, but not limited to, the grant, vesting or settlement of the Restricted Stock Units, the issuance of Shares upon settlement of the Restricted Stock Units, the subsequent sale of Shares acquired pursuant to such settlement and the receipt of any dividends or dividend equivalents; and (2) do not commit to and are under no obligation to structure the terms of the grant or any aspect of the Restricted Stock Units to reduce or eliminate Participant’s liability for Tax-Related Items or achieve any particular tax result. Further, </w:t>
      </w:r>
      <w:r>
        <w:br w:type="page"/>
      </w:r>
    </w:p>
    <w:p>
      <w:pPr>
        <w:pStyle w:val="TextBody"/>
        <w:spacing w:before="0" w:after="0"/>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293370"/>
                <wp:effectExtent l="0" t="0" r="0" b="0"/>
                <wp:wrapNone/>
                <wp:docPr id="126" name="Frame126"/>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170773909-v7\NA_DMS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170773909-v7\NA_DMS</w:t>
                      </w:r>
                    </w:p>
                  </w:txbxContent>
                </v:textbox>
              </v:rect>
            </w:pict>
          </mc:Fallback>
        </mc:AlternateContent>
      </w:r>
    </w:p>
    <w:p>
      <w:pPr>
        <w:pStyle w:val="TextBody"/>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if Participant is subject to Tax-Related Items in more than one jurisdiction, Participant acknowledges that the Company and/or the Employer (or former employer, as applicable) may be required to withhold or account for Tax-Related Items in more than one jurisdiction.</w:t>
      </w:r>
    </w:p>
    <w:p>
      <w:pPr>
        <w:pStyle w:val="TextBody"/>
        <w:spacing w:lineRule="auto" w:line="304" w:before="0" w:after="240"/>
        <w:ind w:left="0" w:right="0" w:firstLine="720"/>
        <w:jc w:val="both"/>
        <w:rPr/>
      </w:pPr>
      <w:r>
        <w:rPr>
          <w:rFonts w:ascii="Times New Roman;sans-serif" w:hAnsi="Times New Roman;sans-serif"/>
          <w:b w:val="false"/>
          <w:color w:val="000000"/>
          <w:sz w:val="24"/>
        </w:rPr>
        <w:t>(b)    Prior to any relevant taxable or tax withholding event, as applicable, Participant agrees to make adequate arrangements satisfactory to the Company and/or the Employer to satisfy all Tax-Related Items. In this regard, Participant authorizes the Company and/or the Employer, or their respective agents, at their discretion, to satisfy the Tax-Related Items by one or a combination of the following:</w:t>
      </w:r>
      <w:r>
        <w:rPr>
          <w:color w:val="000000"/>
        </w:rPr>
        <w:t xml:space="preserve"> </w:t>
      </w:r>
      <w:r>
        <w:rPr>
          <w:rFonts w:ascii="Times New Roman;sans-serif" w:hAnsi="Times New Roman;sans-serif"/>
          <w:b w:val="false"/>
          <w:color w:val="000000"/>
          <w:sz w:val="24"/>
        </w:rPr>
        <w:t>(i) paying cash, (ii) withholding from Participant’s wages or other cash compensation payable to Participant by the Company and/or any Parent or Subsidiary, (iii) withholding from the proceeds of a sale of Shares acquired pursuant to the Restricted Stock Units, either through a voluntary sale or mandatory sale; or (iv) withholding in Shares to be issued upon vesting of the Restricted Stock Units; provided, however, that if the Participant is a Section 16 officer of the Company under the Exchange Act, then the Company will withhold in Shares upon the relevant taxable or tax withholding event, as applicable, unless the use of such withholding method is not feasible under applicable tax or securities law or has materially adverse accounting consequences, in which case, any applicable obligations for Tax-Related Items may be satisfied by one or a combination of methods (i) through (iii) hereof, as determined by the Participant.</w:t>
      </w:r>
      <w:r>
        <w:rPr>
          <w:color w:val="000000"/>
        </w:rPr>
        <w:t xml:space="preserve"> </w:t>
      </w:r>
    </w:p>
    <w:p>
      <w:pPr>
        <w:pStyle w:val="TextBody"/>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Depending on the withholding method, the Company may withhold or account for Tax-Related Items by considering statutory withholding rates or other applicable withholding rates, including minimum and maximum applicable rates, in which case Participant may receive a refund of any over-withheld amount in cash and will have no entitlement to the Share equivalent. If the obligations for Tax-Related Items is satisfied by withholding in Shares, for tax purposes, Participant will be deemed to have been issued the full number of Shares subject to the vested Restricted Stock Units, notwithstanding that a number of the Shares are held back solely for the purpose of paying the Tax-Related Items.</w:t>
      </w:r>
    </w:p>
    <w:p>
      <w:pPr>
        <w:pStyle w:val="TextBody"/>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Participant agrees to pay to the Company or the Employer any amount of Tax-Related Items that the Company or the Employer may be required to withhold or account for as a result of Participant’s participation in the Plan that cannot be satisfied by the means previously described. If Participant fails to make satisfactory arrangements for the payment of any required Tax-Related Items obligations hereunder, the Company may refuse to issue or deliver the Shares or the proceeds of the sale of Shares if Participant fails to comply with these obligations in connection with the Tax-Related Items.</w:t>
      </w:r>
    </w:p>
    <w:p>
      <w:pPr>
        <w:pStyle w:val="TextBody"/>
        <w:spacing w:lineRule="auto" w:line="276" w:before="0" w:after="240"/>
        <w:ind w:left="0" w:right="0" w:firstLine="720"/>
        <w:jc w:val="both"/>
        <w:rPr/>
      </w:pPr>
      <w:r>
        <w:rPr>
          <w:rFonts w:ascii="Times New Roman;sans-serif" w:hAnsi="Times New Roman;sans-serif"/>
          <w:b w:val="false"/>
          <w:color w:val="000000"/>
          <w:sz w:val="24"/>
        </w:rPr>
        <w:t>9.    </w:t>
      </w:r>
      <w:r>
        <w:rPr>
          <w:rFonts w:ascii="Times New Roman;sans-serif" w:hAnsi="Times New Roman;sans-serif"/>
          <w:b w:val="false"/>
          <w:color w:val="000000"/>
          <w:sz w:val="24"/>
          <w:u w:val="single"/>
        </w:rPr>
        <w:t>Rights as Stockholder</w:t>
      </w:r>
      <w:r>
        <w:rPr>
          <w:rFonts w:ascii="Times New Roman;sans-serif" w:hAnsi="Times New Roman;sans-serif"/>
          <w:b w:val="false"/>
          <w:color w:val="000000"/>
          <w:sz w:val="24"/>
        </w:rPr>
        <w:t xml:space="preserve">.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w:t>
      </w:r>
      <w:r>
        <w:br w:type="page"/>
      </w:r>
    </w:p>
    <w:p>
      <w:pPr>
        <w:pStyle w:val="TextBody"/>
        <w:spacing w:before="0" w:after="0"/>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293370"/>
                <wp:effectExtent l="0" t="0" r="0" b="0"/>
                <wp:wrapNone/>
                <wp:docPr id="127" name="Frame127"/>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170773909-v7\NA_DMS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170773909-v7\NA_DMS</w:t>
                      </w:r>
                    </w:p>
                  </w:txbxContent>
                </v:textbox>
              </v:rect>
            </w:pict>
          </mc:Fallback>
        </mc:AlternateContent>
      </w:r>
    </w:p>
    <w:p>
      <w:pPr>
        <w:pStyle w:val="TextBody"/>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all the rights of a stockholder of the Company with respect to voting such Shares and receipt of dividends and distributions on such Shares.</w:t>
      </w:r>
    </w:p>
    <w:p>
      <w:pPr>
        <w:pStyle w:val="TextBody"/>
        <w:spacing w:lineRule="auto" w:line="276" w:before="0" w:after="240"/>
        <w:ind w:left="0" w:right="0" w:firstLine="720"/>
        <w:jc w:val="both"/>
        <w:rPr/>
      </w:pPr>
      <w:r>
        <w:rPr>
          <w:rFonts w:ascii="Times New Roman;sans-serif" w:hAnsi="Times New Roman;sans-serif"/>
          <w:b w:val="false"/>
          <w:color w:val="000000"/>
          <w:sz w:val="24"/>
        </w:rPr>
        <w:t>10.    </w:t>
      </w:r>
      <w:r>
        <w:rPr>
          <w:rFonts w:ascii="Times New Roman;sans-serif" w:hAnsi="Times New Roman;sans-serif"/>
          <w:b w:val="false"/>
          <w:color w:val="000000"/>
          <w:sz w:val="24"/>
          <w:u w:val="single"/>
        </w:rPr>
        <w:t>No Guarantee of Continued Service.</w:t>
      </w:r>
      <w:r>
        <w:rPr>
          <w:color w:val="000000"/>
        </w:rPr>
        <w:t xml:space="preserve"> </w:t>
      </w:r>
      <w:r>
        <w:rPr>
          <w:rFonts w:ascii="Times New Roman;sans-serif" w:hAnsi="Times New Roman;sans-serif"/>
          <w:b w:val="false"/>
          <w:color w:val="000000"/>
          <w:sz w:val="24"/>
        </w:rPr>
        <w:t>PARTICIPANT ACKNOWLEDGES AND AGREES THAT THE VESTING OF THE RESTRICTED STOCK UNITS PURSUANT TO THE VESTING SCHEDULE HEREOF IS EARNED ONLY BY CONTINUING AS AN ACTIVE SERVICE PROVIDER, AND NOT THROUGH THE ACT OF BEING HIRED, BEING GRANTED THIS AWARD OF RESTRICTED STOCK UNITS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EMPLOYER) TO TERMINATE PARTICIPANT’S RELATIONSHIP AS A SERVICE PROVIDER AT ANY TIME, WITH OR WITHOUT CAUSE.</w:t>
      </w:r>
    </w:p>
    <w:p>
      <w:pPr>
        <w:pStyle w:val="TextBody"/>
        <w:spacing w:lineRule="auto" w:line="240" w:before="0" w:after="240"/>
        <w:ind w:left="0" w:right="0" w:firstLine="720"/>
        <w:jc w:val="both"/>
        <w:rPr/>
      </w:pPr>
      <w:r>
        <w:rPr>
          <w:rFonts w:ascii="Times New Roman;sans-serif" w:hAnsi="Times New Roman;sans-serif"/>
          <w:b w:val="false"/>
          <w:color w:val="000000"/>
          <w:sz w:val="24"/>
        </w:rPr>
        <w:t>11.    </w:t>
      </w:r>
      <w:r>
        <w:rPr>
          <w:rFonts w:ascii="Times New Roman;sans-serif" w:hAnsi="Times New Roman;sans-serif"/>
          <w:b w:val="false"/>
          <w:color w:val="000000"/>
          <w:sz w:val="24"/>
          <w:u w:val="single"/>
        </w:rPr>
        <w:t>Nature of Grant</w:t>
      </w:r>
      <w:r>
        <w:rPr>
          <w:rFonts w:ascii="Times New Roman;sans-serif" w:hAnsi="Times New Roman;sans-serif"/>
          <w:b w:val="false"/>
          <w:color w:val="000000"/>
          <w:sz w:val="24"/>
        </w:rPr>
        <w:t>. By accepting the Award, Participant acknowledges, understands and agrees that:</w:t>
      </w:r>
    </w:p>
    <w:p>
      <w:pPr>
        <w:pStyle w:val="TextBody"/>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a.the grant of the Restricted Stock Units is exceptional, voluntary and occasional and does not create any contractual or other right to receive future grants of Restricted Stock Units, or benefits in lieu of Restricted Stock Units, even if Restricted Stock Units have been granted in the past; </w:t>
      </w:r>
    </w:p>
    <w:p>
      <w:pPr>
        <w:pStyle w:val="TextBody"/>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b.all decisions with respect to future Restricted Stock Units or other grants, if any, will be at the sole discretion of the Company; </w:t>
      </w:r>
    </w:p>
    <w:p>
      <w:pPr>
        <w:pStyle w:val="TextBody"/>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c.Participant is voluntarily participating in the Plan; </w:t>
      </w:r>
    </w:p>
    <w:p>
      <w:pPr>
        <w:pStyle w:val="TextBody"/>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d.the Restricted Stock Units and the Shares subject to the Restricted Stock Units, and the income and value of same, are not intended to replace any pension rights or compensation; </w:t>
      </w:r>
    </w:p>
    <w:p>
      <w:pPr>
        <w:pStyle w:val="TextBody"/>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e.the Restricted Stock Units and the Shares subject to the Restricted Stock Units, and the income and value of same, are not part of normal or expected compensation for purposes of calculating any severance, resignation, termination, redundancy, dismissal, end-of-service payments, bonuses, long-service awards, leave-related payments, holiday pay, pension or retirement or welfare benefits or similar mandatory payments, and in no event should be considered as compensation for, or relating in any way to, past services for the Company, the Employer, or any Parent, Subsidiary, or Affiliate; </w:t>
      </w:r>
    </w:p>
    <w:p>
      <w:pPr>
        <w:pStyle w:val="TextBody"/>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f.the future value of the underlying Shares is unknown, indeterminable and cannot be predicted with certainty; </w:t>
      </w:r>
    </w:p>
    <w:p>
      <w:pPr>
        <w:pStyle w:val="TextBody"/>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g.unless otherwise agreed with the Company, the Restricted Stock Units and the Shares subject to the Restricted Stock Units, and the income and value of same, are not </w:t>
      </w:r>
      <w:r>
        <w:br w:type="page"/>
      </w:r>
    </w:p>
    <w:p>
      <w:pPr>
        <w:pStyle w:val="TextBody"/>
        <w:spacing w:before="0" w:after="0"/>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293370"/>
                <wp:effectExtent l="0" t="0" r="0" b="0"/>
                <wp:wrapNone/>
                <wp:docPr id="128" name="Frame128"/>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170773909-v7\NA_DMS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170773909-v7\NA_DMS</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granted as consideration for, or in connection with, the service Participant may provide as a director of any Parent or Subsidiary of the Company.</w:t>
      </w:r>
    </w:p>
    <w:p>
      <w:pPr>
        <w:pStyle w:val="TextBody"/>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h.no claim or entitlement to compensation or damages shall arise from forfeiture of the Restricted Stock Units or the recoupment of any of any Shares acquired under the Plan resulting from (1) the termination of Participant's status as a Service Provider (regardless of the reason for the termination and whether or not later found to be invalid or in breach of employment laws in the jurisdiction where Participant is employed or rendering services or the terms of Participant’s employment or service agreement, if any); and /or (2) the application of any recoupment policy or any recovery or clawback policy otherwise required by law;</w:t>
      </w:r>
    </w:p>
    <w:p>
      <w:pPr>
        <w:pStyle w:val="TextBody"/>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i.unless otherwise provided in the Plan or by the Company in its discretion, the Restricted Stock Units and the benefits evidenced by this Agreement do not create any entitlement to have the Restricted Stock Units or any such benefits transferred to, or assumed by, another company nor be exchanged, cashed out or substituted for, in connection with any corporate transaction affecting the Shares; and</w:t>
      </w:r>
    </w:p>
    <w:p>
      <w:pPr>
        <w:pStyle w:val="TextBody"/>
        <w:spacing w:before="0" w:after="0"/>
        <w:jc w:val="both"/>
        <w:rPr/>
      </w:pPr>
      <w:r>
        <w:rPr/>
      </w:r>
    </w:p>
    <w:p>
      <w:pPr>
        <w:pStyle w:val="TextBody"/>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j.the following provisions apply only if Participant is providing services outside the United States:</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(i)    the Restricted Stock Units and the Shares subject to the Restricted Stock Units are not part of normal or expected compensation or salary for any purpose; and</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(ii)    Participant acknowledges and agrees that neither the Company, the Employer nor any Parent or Subsidiary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w:t>
      </w:r>
    </w:p>
    <w:p>
      <w:pPr>
        <w:pStyle w:val="TextBody"/>
        <w:spacing w:before="0" w:after="0"/>
        <w:jc w:val="both"/>
        <w:rPr/>
      </w:pPr>
      <w:r>
        <w:rPr/>
      </w:r>
    </w:p>
    <w:p>
      <w:pPr>
        <w:pStyle w:val="TextBody"/>
        <w:spacing w:lineRule="auto" w:line="240" w:before="0" w:after="240"/>
        <w:ind w:left="0" w:right="0" w:firstLine="720"/>
        <w:jc w:val="both"/>
        <w:rPr/>
      </w:pPr>
      <w:r>
        <w:rPr>
          <w:rFonts w:ascii="Times New Roman;sans-serif" w:hAnsi="Times New Roman;sans-serif"/>
          <w:b w:val="false"/>
          <w:color w:val="000000"/>
          <w:sz w:val="24"/>
        </w:rPr>
        <w:t>12.    </w:t>
      </w:r>
      <w:r>
        <w:rPr>
          <w:rFonts w:ascii="Times New Roman;sans-serif" w:hAnsi="Times New Roman;sans-serif"/>
          <w:b w:val="false"/>
          <w:color w:val="000000"/>
          <w:sz w:val="24"/>
          <w:u w:val="single"/>
        </w:rPr>
        <w:t>No Advice Regarding Grant</w:t>
      </w:r>
      <w:r>
        <w:rPr>
          <w:rFonts w:ascii="Times New Roman;sans-serif" w:hAnsi="Times New Roman;sans-serif"/>
          <w:b w:val="false"/>
          <w:color w:val="000000"/>
          <w:sz w:val="24"/>
        </w:rPr>
        <w:t>. The Company is not providing any tax, legal or financial advice, nor is the Company making any recommendations regarding Participant’s participation in the Plan, or Participant’s acquisition or sale of the underlying Shares. Participant understands and agrees he or she should consult with his or her own personal tax, legal and financial advisors regarding his or her participation in the Plan before taking any action related to the Plan.</w:t>
      </w:r>
    </w:p>
    <w:p>
      <w:pPr>
        <w:pStyle w:val="TextBody"/>
        <w:spacing w:lineRule="auto" w:line="240" w:before="0" w:after="0"/>
        <w:ind w:left="0" w:right="0" w:firstLine="720"/>
        <w:jc w:val="both"/>
        <w:rPr/>
      </w:pPr>
      <w:r>
        <w:rPr>
          <w:rFonts w:ascii="Times New Roman;sans-serif" w:hAnsi="Times New Roman;sans-serif"/>
          <w:b w:val="false"/>
          <w:color w:val="000000"/>
          <w:sz w:val="24"/>
        </w:rPr>
        <w:t>13.</w:t>
      </w:r>
      <w:r>
        <w:rPr>
          <w:color w:val="000000"/>
        </w:rPr>
        <w:t xml:space="preserve">     </w:t>
      </w:r>
      <w:r>
        <w:rPr>
          <w:rFonts w:ascii="Times New Roman;sans-serif" w:hAnsi="Times New Roman;sans-serif"/>
          <w:b/>
          <w:i/>
          <w:color w:val="000000"/>
          <w:sz w:val="24"/>
          <w:u w:val="single"/>
        </w:rPr>
        <w:t>Data Privacy</w:t>
      </w:r>
      <w:r>
        <w:rPr>
          <w:rFonts w:ascii="Times New Roman;sans-serif" w:hAnsi="Times New Roman;sans-serif"/>
          <w:b w:val="false"/>
          <w:color w:val="000000"/>
          <w:sz w:val="24"/>
        </w:rPr>
        <w:t>.</w:t>
      </w:r>
      <w:r>
        <w:rPr>
          <w:color w:val="000000"/>
        </w:rPr>
        <w:t xml:space="preserve"> </w:t>
      </w:r>
      <w:r>
        <w:rPr>
          <w:rFonts w:ascii="Times New Roman;sans-serif" w:hAnsi="Times New Roman;sans-serif"/>
          <w:b/>
          <w:i/>
          <w:color w:val="000000"/>
          <w:sz w:val="24"/>
        </w:rPr>
        <w:t>Participant hereby explicitly and unambiguously consents to the collection, use and transfer, in electronic or other form, of Participant’s personal data as described in this Award Agreement and any other Restricted Stock Unit grant materials by and among, as applicable, the Employer, the Company and any Parent or Subsidiary for the purpose of implementing, administering and managing Participant’s participation in the Plan.</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i/>
          <w:color w:val="000000"/>
          <w:sz w:val="24"/>
        </w:rPr>
      </w:pPr>
      <w:r>
        <w:rPr>
          <w:rFonts w:ascii="Times New Roman;sans-serif" w:hAnsi="Times New Roman;sans-serif"/>
          <w:b/>
          <w:i/>
          <w:color w:val="000000"/>
          <w:sz w:val="24"/>
        </w:rPr>
        <w:t xml:space="preserve">Participant understands that the Company and the Employer may hold certain personal information about Participant, including, but not limited to, Participant’s name, home address, email address and telephone number, date of birth, social insurance number, passport or other identification number, salary, nationality, job title, any shares of stock or directorships held in the Company, details of all Restricted Stock Units or any other entitlement to shares of stock awarded, canceled, exercised, vested, unvested or outstanding in Participant’s favor (“Data”), for the exclusive purpose of implementing, administering and managing the Plan. </w:t>
      </w:r>
    </w:p>
    <w:p>
      <w:pPr>
        <w:pStyle w:val="TextBody"/>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293370"/>
                <wp:effectExtent l="0" t="0" r="0" b="0"/>
                <wp:wrapNone/>
                <wp:docPr id="129" name="Frame129"/>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170773909-v7\NA_DMS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170773909-v7\NA_DMS</w:t>
                      </w:r>
                    </w:p>
                  </w:txbxContent>
                </v:textbox>
              </v:rect>
            </w:pict>
          </mc:Fallback>
        </mc:AlternateContent>
      </w:r>
    </w:p>
    <w:p>
      <w:pPr>
        <w:pStyle w:val="TextBody"/>
        <w:spacing w:lineRule="auto" w:line="240" w:before="0" w:after="0"/>
        <w:ind w:left="0" w:right="0" w:firstLine="720"/>
        <w:jc w:val="both"/>
        <w:rPr>
          <w:rFonts w:ascii="Times New Roman;sans-serif" w:hAnsi="Times New Roman;sans-serif"/>
          <w:b/>
          <w:i/>
          <w:color w:val="000000"/>
          <w:sz w:val="24"/>
        </w:rPr>
      </w:pPr>
      <w:r>
        <w:rPr>
          <w:rFonts w:ascii="Times New Roman;sans-serif" w:hAnsi="Times New Roman;sans-serif"/>
          <w:b/>
          <w:i/>
          <w:color w:val="000000"/>
          <w:sz w:val="24"/>
        </w:rPr>
        <w:t>Participant understands that Data will be transferred to Charles Schwab &amp; Co., Inc., or such other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its broker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employment or service and career with the Employer will not be affected; the only consequence of refusing or withdrawing Participant’s consent is that the Company would not be able to grant Participant Restricted Stock Units or other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pStyle w:val="TextBody"/>
        <w:spacing w:before="0" w:after="0"/>
        <w:rPr/>
      </w:pPr>
      <w:r>
        <w:rPr/>
      </w:r>
    </w:p>
    <w:p>
      <w:pPr>
        <w:pStyle w:val="TextBody"/>
        <w:spacing w:lineRule="auto" w:line="276" w:before="0" w:after="240"/>
        <w:ind w:left="0" w:right="0" w:firstLine="720"/>
        <w:jc w:val="both"/>
        <w:rPr/>
      </w:pPr>
      <w:r>
        <w:rPr>
          <w:rFonts w:ascii="Times New Roman;sans-serif" w:hAnsi="Times New Roman;sans-serif"/>
          <w:b w:val="false"/>
          <w:color w:val="000000"/>
          <w:sz w:val="24"/>
        </w:rPr>
        <w:t>14.    </w:t>
      </w:r>
      <w:r>
        <w:rPr>
          <w:rFonts w:ascii="Times New Roman;sans-serif" w:hAnsi="Times New Roman;sans-serif"/>
          <w:b w:val="false"/>
          <w:color w:val="000000"/>
          <w:sz w:val="24"/>
          <w:u w:val="single"/>
        </w:rPr>
        <w:t>Address for Notices</w:t>
      </w:r>
      <w:r>
        <w:rPr>
          <w:rFonts w:ascii="Times New Roman;sans-serif" w:hAnsi="Times New Roman;sans-serif"/>
          <w:b w:val="false"/>
          <w:color w:val="000000"/>
          <w:sz w:val="24"/>
        </w:rPr>
        <w:t>. Any notice to be given to the Company under the terms of this Award Agreement will be addressed to the Company, in care of Stock Administration at Fortinet, Inc., at 899 Kifer Road, Sunnyvale, CA 94086, or at such other address as the Company may hereafter designate in writing.</w:t>
      </w:r>
    </w:p>
    <w:p>
      <w:pPr>
        <w:pStyle w:val="TextBody"/>
        <w:spacing w:lineRule="auto" w:line="276" w:before="0" w:after="240"/>
        <w:ind w:left="0" w:right="0" w:firstLine="720"/>
        <w:jc w:val="both"/>
        <w:rPr/>
      </w:pPr>
      <w:r>
        <w:rPr>
          <w:rFonts w:ascii="Times New Roman;sans-serif" w:hAnsi="Times New Roman;sans-serif"/>
          <w:b w:val="false"/>
          <w:color w:val="000000"/>
          <w:sz w:val="24"/>
        </w:rPr>
        <w:t>15.    </w:t>
      </w:r>
      <w:r>
        <w:rPr>
          <w:rFonts w:ascii="Times New Roman;sans-serif" w:hAnsi="Times New Roman;sans-serif"/>
          <w:b w:val="false"/>
          <w:color w:val="000000"/>
          <w:sz w:val="24"/>
          <w:u w:val="single"/>
        </w:rPr>
        <w:t>Grant is Not Transferable</w:t>
      </w:r>
      <w:r>
        <w:rPr>
          <w:rFonts w:ascii="Times New Roman;sans-serif" w:hAnsi="Times New Roman;sans-serif"/>
          <w:b w:val="false"/>
          <w:color w:val="000000"/>
          <w:sz w:val="24"/>
        </w:rPr>
        <w:t>. Except to the limited extent provided in Section 7,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pStyle w:val="TextBody"/>
        <w:spacing w:lineRule="auto" w:line="304" w:before="0" w:after="240"/>
        <w:ind w:left="0" w:right="0" w:firstLine="720"/>
        <w:jc w:val="both"/>
        <w:rPr/>
      </w:pPr>
      <w:r>
        <w:rPr>
          <w:rFonts w:ascii="Times New Roman;sans-serif" w:hAnsi="Times New Roman;sans-serif"/>
          <w:b w:val="false"/>
          <w:color w:val="000000"/>
          <w:sz w:val="24"/>
        </w:rPr>
        <w:t>16.    </w:t>
      </w:r>
      <w:r>
        <w:rPr>
          <w:rFonts w:ascii="Times New Roman;sans-serif" w:hAnsi="Times New Roman;sans-serif"/>
          <w:b w:val="false"/>
          <w:color w:val="000000"/>
          <w:sz w:val="24"/>
          <w:u w:val="single"/>
        </w:rPr>
        <w:t>Binding Agreement</w:t>
      </w:r>
      <w:r>
        <w:rPr>
          <w:rFonts w:ascii="Times New Roman;sans-serif" w:hAnsi="Times New Roman;sans-serif"/>
          <w:b w:val="false"/>
          <w:color w:val="000000"/>
          <w:sz w:val="24"/>
        </w:rPr>
        <w:t>. Subject to the limitation on the transferability of this grant contained herein, this Award</w:t>
      </w:r>
      <w:r>
        <w:rPr>
          <w:color w:val="000000"/>
        </w:rPr>
        <w:t xml:space="preserve"> </w:t>
      </w:r>
      <w:r>
        <w:rPr>
          <w:rFonts w:ascii="Times New Roman;sans-serif" w:hAnsi="Times New Roman;sans-serif"/>
          <w:b w:val="false"/>
          <w:color w:val="000000"/>
          <w:sz w:val="24"/>
        </w:rPr>
        <w:t>Agreement will be binding upon and inure to the benefit of the heirs, legatees, legal representatives, successors and assigns of the parties hereto.</w:t>
      </w:r>
    </w:p>
    <w:p>
      <w:pPr>
        <w:pStyle w:val="TextBody"/>
        <w:spacing w:lineRule="auto" w:line="276" w:before="0" w:after="240"/>
        <w:ind w:left="0" w:right="0" w:firstLine="720"/>
        <w:jc w:val="both"/>
        <w:rPr/>
      </w:pPr>
      <w:r>
        <w:rPr>
          <w:rFonts w:ascii="Times New Roman;sans-serif" w:hAnsi="Times New Roman;sans-serif"/>
          <w:b w:val="false"/>
          <w:color w:val="000000"/>
          <w:sz w:val="24"/>
        </w:rPr>
        <w:t>17.    </w:t>
      </w:r>
      <w:r>
        <w:rPr>
          <w:rFonts w:ascii="Times New Roman;sans-serif" w:hAnsi="Times New Roman;sans-serif"/>
          <w:b w:val="false"/>
          <w:color w:val="000000"/>
          <w:sz w:val="24"/>
          <w:u w:val="single"/>
        </w:rPr>
        <w:t>Additional Conditions to Issuance of Stock</w:t>
      </w:r>
      <w:r>
        <w:rPr>
          <w:rFonts w:ascii="Times New Roman;sans-serif" w:hAnsi="Times New Roman;sans-serif"/>
          <w:b w:val="false"/>
          <w:color w:val="000000"/>
          <w:sz w:val="24"/>
        </w:rPr>
        <w:t xml:space="preserve">. If at any time the Company will determine, in its discretion, that the listing, registration or qualification of the Shares upon any securities exchange or under any U.S. state or federal or foreign law, or the consent or approval of any governmental regulatory authority is necessary or desirable as a condition to the issuance </w:t>
      </w:r>
      <w:r>
        <w:br w:type="page"/>
      </w:r>
    </w:p>
    <w:p>
      <w:pPr>
        <w:pStyle w:val="TextBody"/>
        <w:spacing w:before="0" w:after="0"/>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293370"/>
                <wp:effectExtent l="0" t="0" r="0" b="0"/>
                <wp:wrapNone/>
                <wp:docPr id="130" name="Frame130"/>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170773909-v7\NA_DMS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170773909-v7\NA_DMS</w:t>
                      </w:r>
                    </w:p>
                  </w:txbxContent>
                </v:textbox>
              </v:rect>
            </w:pict>
          </mc:Fallback>
        </mc:AlternateContent>
      </w:r>
    </w:p>
    <w:p>
      <w:pPr>
        <w:pStyle w:val="TextBody"/>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of Shares to Participant (or his or her estate or beneficiary, if applicable), such issuance will not occur unless and until such listing, registration, qualification, consent or approval will have been effected or obtained free of any conditions not acceptable to the Company. Where the Company determines that the delivery of the payment of any Shares will violate U.S. federal securities laws or other Applicable Laws, the Company will defer delivery until the earliest date at which the Company reasonably anticipates that the delivery of Shares will no longer cause such violation. </w:t>
      </w:r>
    </w:p>
    <w:p>
      <w:pPr>
        <w:pStyle w:val="TextBody"/>
        <w:spacing w:lineRule="auto" w:line="276" w:before="0" w:after="240"/>
        <w:ind w:left="0" w:right="0" w:firstLine="720"/>
        <w:jc w:val="both"/>
        <w:rPr/>
      </w:pPr>
      <w:r>
        <w:rPr>
          <w:rFonts w:ascii="Times New Roman;sans-serif" w:hAnsi="Times New Roman;sans-serif"/>
          <w:b w:val="false"/>
          <w:color w:val="000000"/>
          <w:sz w:val="24"/>
        </w:rPr>
        <w:t>18.    </w:t>
      </w:r>
      <w:r>
        <w:rPr>
          <w:rFonts w:ascii="Times New Roman;sans-serif" w:hAnsi="Times New Roman;sans-serif"/>
          <w:b w:val="false"/>
          <w:color w:val="000000"/>
          <w:sz w:val="24"/>
          <w:u w:val="single"/>
        </w:rPr>
        <w:t>Plan Governs</w:t>
      </w:r>
      <w:r>
        <w:rPr>
          <w:rFonts w:ascii="Times New Roman;sans-serif" w:hAnsi="Times New Roman;sans-serif"/>
          <w:b w:val="false"/>
          <w:color w:val="000000"/>
          <w:sz w:val="24"/>
        </w:rPr>
        <w:t>. This Award Agreement is subject to all terms and provisions of the Plan. In the event of a conflict between one or more provisions of this Award Agreement and one or more provisions of the Plan, the provisions of the Plan will govern. Capitalized terms used and not defined in this Award Agreement will have the meaning set forth in the Plan.</w:t>
      </w:r>
    </w:p>
    <w:p>
      <w:pPr>
        <w:pStyle w:val="TextBody"/>
        <w:spacing w:lineRule="auto" w:line="304" w:before="0" w:after="240"/>
        <w:ind w:left="0" w:right="0" w:firstLine="720"/>
        <w:jc w:val="both"/>
        <w:rPr/>
      </w:pPr>
      <w:r>
        <w:rPr>
          <w:rFonts w:ascii="Times New Roman;sans-serif" w:hAnsi="Times New Roman;sans-serif"/>
          <w:b w:val="false"/>
          <w:color w:val="000000"/>
          <w:sz w:val="24"/>
        </w:rPr>
        <w:t>19.    </w:t>
      </w:r>
      <w:r>
        <w:rPr>
          <w:rFonts w:ascii="Times New Roman;sans-serif" w:hAnsi="Times New Roman;sans-serif"/>
          <w:b w:val="false"/>
          <w:color w:val="000000"/>
          <w:sz w:val="24"/>
          <w:u w:val="single"/>
        </w:rPr>
        <w:t>Administrator Authority</w:t>
      </w:r>
      <w:r>
        <w:rPr>
          <w:rFonts w:ascii="Times New Roman;sans-serif" w:hAnsi="Times New Roman;sans-serif"/>
          <w:b w:val="false"/>
          <w:color w:val="000000"/>
          <w:sz w:val="24"/>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w:t>
      </w:r>
      <w:r>
        <w:rPr>
          <w:color w:val="000000"/>
        </w:rPr>
        <w:t xml:space="preserve"> </w:t>
      </w:r>
      <w:r>
        <w:rPr>
          <w:rFonts w:ascii="Times New Roman;sans-serif" w:hAnsi="Times New Roman;sans-serif"/>
          <w:b w:val="false"/>
          <w:color w:val="000000"/>
          <w:sz w:val="24"/>
        </w:rPr>
        <w:t>Agreement.</w:t>
      </w:r>
    </w:p>
    <w:p>
      <w:pPr>
        <w:pStyle w:val="TextBody"/>
        <w:spacing w:lineRule="auto" w:line="276" w:before="0" w:after="240"/>
        <w:ind w:left="0" w:right="0" w:firstLine="720"/>
        <w:jc w:val="both"/>
        <w:rPr/>
      </w:pPr>
      <w:r>
        <w:rPr>
          <w:rFonts w:ascii="Times New Roman;sans-serif" w:hAnsi="Times New Roman;sans-serif"/>
          <w:b w:val="false"/>
          <w:color w:val="000000"/>
          <w:sz w:val="24"/>
        </w:rPr>
        <w:t>20.    </w:t>
      </w:r>
      <w:r>
        <w:rPr>
          <w:rFonts w:ascii="Times New Roman;sans-serif" w:hAnsi="Times New Roman;sans-serif"/>
          <w:b w:val="false"/>
          <w:color w:val="000000"/>
          <w:sz w:val="24"/>
          <w:u w:val="single"/>
        </w:rPr>
        <w:t>Electronic Delivery</w:t>
      </w:r>
      <w:r>
        <w:rPr>
          <w:rFonts w:ascii="Times New Roman;sans-serif" w:hAnsi="Times New Roman;sans-serif"/>
          <w:b w:val="false"/>
          <w:color w:val="000000"/>
          <w:sz w:val="24"/>
        </w:rPr>
        <w:t>. The Company may, in its sole discretion, decide to deliver any documents related to Restricted Stock Units awarded under the Plan or future Restricted Stock Units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pStyle w:val="TextBody"/>
        <w:spacing w:lineRule="auto" w:line="276" w:before="0" w:after="240"/>
        <w:ind w:left="0" w:right="0" w:firstLine="720"/>
        <w:jc w:val="both"/>
        <w:rPr/>
      </w:pPr>
      <w:r>
        <w:rPr>
          <w:rFonts w:ascii="Times New Roman;sans-serif" w:hAnsi="Times New Roman;sans-serif"/>
          <w:b w:val="false"/>
          <w:color w:val="000000"/>
          <w:sz w:val="24"/>
        </w:rPr>
        <w:t>21.    </w:t>
      </w:r>
      <w:r>
        <w:rPr>
          <w:rFonts w:ascii="Times New Roman;sans-serif" w:hAnsi="Times New Roman;sans-serif"/>
          <w:b w:val="false"/>
          <w:color w:val="000000"/>
          <w:sz w:val="24"/>
          <w:u w:val="single"/>
        </w:rPr>
        <w:t>Captions</w:t>
      </w:r>
      <w:r>
        <w:rPr>
          <w:rFonts w:ascii="Times New Roman;sans-serif" w:hAnsi="Times New Roman;sans-serif"/>
          <w:b w:val="false"/>
          <w:color w:val="000000"/>
          <w:sz w:val="24"/>
        </w:rPr>
        <w:t>. Captions provided herein are for convenience only and are not to serve as a basis for interpretation or construction of this Award Agreement.</w:t>
      </w:r>
    </w:p>
    <w:p>
      <w:pPr>
        <w:pStyle w:val="TextBody"/>
        <w:spacing w:lineRule="auto" w:line="304" w:before="0" w:after="240"/>
        <w:ind w:left="0" w:right="0" w:firstLine="720"/>
        <w:jc w:val="both"/>
        <w:rPr/>
      </w:pPr>
      <w:r>
        <w:rPr>
          <w:rFonts w:ascii="Times New Roman;sans-serif" w:hAnsi="Times New Roman;sans-serif"/>
          <w:b w:val="false"/>
          <w:color w:val="000000"/>
          <w:sz w:val="24"/>
        </w:rPr>
        <w:t>22.    </w:t>
      </w:r>
      <w:r>
        <w:rPr>
          <w:rFonts w:ascii="Times New Roman;sans-serif" w:hAnsi="Times New Roman;sans-serif"/>
          <w:b w:val="false"/>
          <w:color w:val="000000"/>
          <w:sz w:val="24"/>
          <w:u w:val="single"/>
        </w:rPr>
        <w:t>Agreement Severable</w:t>
      </w:r>
      <w:r>
        <w:rPr>
          <w:rFonts w:ascii="Times New Roman;sans-serif" w:hAnsi="Times New Roman;sans-serif"/>
          <w:b w:val="false"/>
          <w:color w:val="000000"/>
          <w:sz w:val="24"/>
        </w:rPr>
        <w:t>. In the event that any provision in this Award</w:t>
      </w:r>
      <w:r>
        <w:rPr>
          <w:color w:val="000000"/>
        </w:rPr>
        <w:t xml:space="preserve"> </w:t>
      </w:r>
      <w:r>
        <w:rPr>
          <w:rFonts w:ascii="Times New Roman;sans-serif" w:hAnsi="Times New Roman;sans-serif"/>
          <w:b w:val="false"/>
          <w:color w:val="000000"/>
          <w:sz w:val="24"/>
        </w:rPr>
        <w:t>Agreement will be held invalid or unenforceable, such provision will be severable from, and such invalidity or unenforceability will not be construed to have any effect on, the remaining provisions of this Award Agreement.</w:t>
      </w:r>
    </w:p>
    <w:p>
      <w:pPr>
        <w:pStyle w:val="TextBody"/>
        <w:spacing w:lineRule="auto" w:line="304" w:before="0" w:after="240"/>
        <w:ind w:left="0" w:right="0" w:firstLine="720"/>
        <w:jc w:val="both"/>
        <w:rPr/>
      </w:pPr>
      <w:r>
        <w:rPr>
          <w:rFonts w:ascii="Times New Roman;sans-serif" w:hAnsi="Times New Roman;sans-serif"/>
          <w:b w:val="false"/>
          <w:color w:val="000000"/>
          <w:sz w:val="24"/>
        </w:rPr>
        <w:t>23.    </w:t>
      </w:r>
      <w:r>
        <w:rPr>
          <w:rFonts w:ascii="Times New Roman;sans-serif" w:hAnsi="Times New Roman;sans-serif"/>
          <w:b w:val="false"/>
          <w:color w:val="000000"/>
          <w:sz w:val="24"/>
          <w:u w:val="single"/>
        </w:rPr>
        <w:t>Modifications to the Agreement</w:t>
      </w:r>
      <w:r>
        <w:rPr>
          <w:rFonts w:ascii="Times New Roman;sans-serif" w:hAnsi="Times New Roman;sans-serif"/>
          <w:b w:val="false"/>
          <w:color w:val="000000"/>
          <w:sz w:val="24"/>
        </w:rPr>
        <w:t>. This Award</w:t>
      </w:r>
      <w:r>
        <w:rPr>
          <w:color w:val="000000"/>
        </w:rPr>
        <w:t xml:space="preserve"> </w:t>
      </w:r>
      <w:r>
        <w:rPr>
          <w:rFonts w:ascii="Times New Roman;sans-serif" w:hAnsi="Times New Roman;sans-serif"/>
          <w:b w:val="false"/>
          <w:color w:val="000000"/>
          <w:sz w:val="24"/>
        </w:rPr>
        <w:t>Agreement constitutes the entire understanding of the parties on the subjects covered. Participant expressly warrants that he or she is not accepting this Award</w:t>
      </w:r>
      <w:r>
        <w:rPr>
          <w:color w:val="000000"/>
        </w:rPr>
        <w:t xml:space="preserve"> </w:t>
      </w:r>
      <w:r>
        <w:rPr>
          <w:rFonts w:ascii="Times New Roman;sans-serif" w:hAnsi="Times New Roman;sans-serif"/>
          <w:b w:val="false"/>
          <w:color w:val="000000"/>
          <w:sz w:val="24"/>
        </w:rPr>
        <w:t>Agreement in reliance on any promises, representations, or inducements other than those contained herein. The Company may amend the terms of this Award Agreement, provided no amendment or modification that adversely affects the Participant’s rights under the Award in any material way may be made without the Participant’s written consent. Notwithstanding anything to the contrary in the Plan or this Award</w:t>
      </w:r>
      <w:r>
        <w:rPr>
          <w:color w:val="000000"/>
        </w:rPr>
        <w:t xml:space="preserve"> </w:t>
      </w:r>
      <w:r>
        <w:rPr>
          <w:rFonts w:ascii="Times New Roman;sans-serif" w:hAnsi="Times New Roman;sans-serif"/>
          <w:b w:val="false"/>
          <w:color w:val="000000"/>
          <w:sz w:val="24"/>
        </w:rPr>
        <w:t xml:space="preserve">Agreement, </w:t>
      </w:r>
      <w:r>
        <w:br w:type="page"/>
      </w:r>
    </w:p>
    <w:p>
      <w:pPr>
        <w:pStyle w:val="TextBody"/>
        <w:spacing w:before="0" w:after="0"/>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293370"/>
                <wp:effectExtent l="0" t="0" r="0" b="0"/>
                <wp:wrapNone/>
                <wp:docPr id="131" name="Frame131"/>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170773909-v7\NA_DMS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170773909-v7\NA_DMS</w:t>
                      </w:r>
                    </w:p>
                  </w:txbxContent>
                </v:textbox>
              </v:rect>
            </w:pict>
          </mc:Fallback>
        </mc:AlternateContent>
      </w:r>
    </w:p>
    <w:p>
      <w:pPr>
        <w:pStyle w:val="TextBody"/>
        <w:spacing w:lineRule="auto" w:line="304"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reserves the right to revise this Award Agreement as it deems necessary or advisable, in its sole discretion and without the consent of Participant, to the extent necessary or desirable to facilitate compliance with Applicable Laws or to comply with Section 409A or to otherwise avoid imposition of any additional tax or income recognition under Section 409A in connection to this Award of Restricted Stock Units, but the Company shall not be under any obligation to make any such revision. Furthermore, nothing in this Award Agreement or the Plan shall provide a basis for any person to take action against the Company or any Parent or Subsidiary based on matters covered by Section 409A, including the tax treatment of any Restricted Stock Unit settled or amount paid or Restricted Stock Units granted under this Award Agreement, and neither the Company nor any Parent or Subsidiary shall under any circumstances have any liability to Participant or his or her estate or any other party for any taxes, penalties or interest due on amounts paid or payable under this Award Agreement, including taxes, penalties or interest imposed under Section 409A.</w:t>
      </w:r>
    </w:p>
    <w:p>
      <w:pPr>
        <w:pStyle w:val="TextBody"/>
        <w:spacing w:lineRule="auto" w:line="276" w:before="0" w:after="240"/>
        <w:ind w:left="0" w:right="0" w:firstLine="720"/>
        <w:jc w:val="both"/>
        <w:rPr/>
      </w:pPr>
      <w:r>
        <w:rPr>
          <w:rFonts w:ascii="Times New Roman;sans-serif" w:hAnsi="Times New Roman;sans-serif"/>
          <w:b w:val="false"/>
          <w:color w:val="000000"/>
          <w:sz w:val="24"/>
        </w:rPr>
        <w:t>24.    </w:t>
      </w:r>
      <w:r>
        <w:rPr>
          <w:rFonts w:ascii="Times New Roman;sans-serif" w:hAnsi="Times New Roman;sans-serif"/>
          <w:b w:val="false"/>
          <w:color w:val="000000"/>
          <w:sz w:val="24"/>
          <w:u w:val="single"/>
        </w:rPr>
        <w:t>Amendment, Suspension or Termination of the Plan</w:t>
      </w:r>
      <w:r>
        <w:rPr>
          <w:rFonts w:ascii="Times New Roman;sans-serif" w:hAnsi="Times New Roman;sans-serif"/>
          <w:b w:val="false"/>
          <w:color w:val="000000"/>
          <w:sz w:val="24"/>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w:t>
      </w:r>
    </w:p>
    <w:p>
      <w:pPr>
        <w:pStyle w:val="TextBody"/>
        <w:spacing w:lineRule="auto" w:line="276" w:before="0" w:after="240"/>
        <w:ind w:left="0" w:right="0" w:firstLine="720"/>
        <w:jc w:val="both"/>
        <w:rPr/>
      </w:pPr>
      <w:r>
        <w:rPr>
          <w:rFonts w:ascii="Times New Roman;sans-serif" w:hAnsi="Times New Roman;sans-serif"/>
          <w:b w:val="false"/>
          <w:color w:val="000000"/>
          <w:sz w:val="24"/>
        </w:rPr>
        <w:t>25.    </w:t>
      </w:r>
      <w:r>
        <w:rPr>
          <w:rFonts w:ascii="Times New Roman;sans-serif" w:hAnsi="Times New Roman;sans-serif"/>
          <w:b w:val="false"/>
          <w:color w:val="000000"/>
          <w:sz w:val="24"/>
          <w:u w:val="single"/>
        </w:rPr>
        <w:t>Governing Law and Venue</w:t>
      </w:r>
      <w:r>
        <w:rPr>
          <w:rFonts w:ascii="Times New Roman;sans-serif" w:hAnsi="Times New Roman;sans-serif"/>
          <w:b w:val="false"/>
          <w:color w:val="000000"/>
          <w:sz w:val="24"/>
        </w:rPr>
        <w:t>. This Award Agreement will be governed by the laws of the State of California, without giving effect to the conflict of law principles thereof. For purposes of litigating any dispute that arises under this Award of Restricted Stock or this Award Agreement, the parties hereby submit to and consent to the jurisdiction of the State of California</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and agree that such litigation will be conducted in the courts of Santa Clara County, California</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or the federal courts for the United States for the Northern District of California, and no other courts, where this Award of Restricted Stock is made and/or to be performed.</w:t>
      </w:r>
    </w:p>
    <w:p>
      <w:pPr>
        <w:pStyle w:val="TextBody"/>
        <w:spacing w:lineRule="auto" w:line="240" w:before="0" w:after="240"/>
        <w:ind w:left="0" w:right="0" w:firstLine="720"/>
        <w:jc w:val="both"/>
        <w:rPr/>
      </w:pPr>
      <w:r>
        <w:rPr>
          <w:rFonts w:ascii="Times New Roman;sans-serif" w:hAnsi="Times New Roman;sans-serif"/>
          <w:b w:val="false"/>
          <w:color w:val="000000"/>
          <w:sz w:val="24"/>
        </w:rPr>
        <w:t>26.    </w:t>
      </w:r>
      <w:r>
        <w:rPr>
          <w:rFonts w:ascii="Times New Roman;sans-serif" w:hAnsi="Times New Roman;sans-serif"/>
          <w:b w:val="false"/>
          <w:color w:val="000000"/>
          <w:sz w:val="24"/>
          <w:u w:val="single"/>
        </w:rPr>
        <w:t>Language</w:t>
      </w:r>
      <w:r>
        <w:rPr>
          <w:rFonts w:ascii="Times New Roman;sans-serif" w:hAnsi="Times New Roman;sans-serif"/>
          <w:b w:val="false"/>
          <w:color w:val="000000"/>
          <w:sz w:val="24"/>
        </w:rPr>
        <w:t>. Participant acknowledges that he or she is proficient in the English language, or has consulted with an advisor who is sufficiently proficient in English, so as to allow Participant to understand the terms and conditions of this Award Agreement. If Participant has received this Award Agreement or any other document related to the Plan translated into a language other than English and if the meaning of the translated version is different than the English version, the English version will control unless otherwise required by Applicable Laws.</w:t>
      </w:r>
    </w:p>
    <w:p>
      <w:pPr>
        <w:pStyle w:val="TextBody"/>
        <w:spacing w:lineRule="auto" w:line="240" w:before="0" w:after="240"/>
        <w:ind w:left="0" w:right="0" w:firstLine="720"/>
        <w:jc w:val="both"/>
        <w:rPr/>
      </w:pPr>
      <w:r>
        <w:rPr>
          <w:rFonts w:ascii="Times New Roman;sans-serif" w:hAnsi="Times New Roman;sans-serif"/>
          <w:b w:val="false"/>
          <w:color w:val="000000"/>
          <w:sz w:val="24"/>
        </w:rPr>
        <w:t>27.    </w:t>
      </w:r>
      <w:r>
        <w:rPr>
          <w:rFonts w:ascii="Times New Roman;sans-serif" w:hAnsi="Times New Roman;sans-serif"/>
          <w:b w:val="false"/>
          <w:color w:val="000000"/>
          <w:sz w:val="24"/>
          <w:u w:val="single"/>
        </w:rPr>
        <w:t>Addendum</w:t>
      </w:r>
      <w:r>
        <w:rPr>
          <w:rFonts w:ascii="Times New Roman;sans-serif" w:hAnsi="Times New Roman;sans-serif"/>
          <w:b w:val="false"/>
          <w:color w:val="000000"/>
          <w:sz w:val="24"/>
        </w:rPr>
        <w:t>. Notwithstanding any provisions in the Award Agreement, the Restricted Stock Unit grant shall be subject to any additional terms and conditions set forth in the Addendum, attached hereto, for Participant’s country. Moreover, if Participant relocates to one of the countries included in the Addendum, the terms and conditions for such country, if any, will apply to Participant, to the extent the Company determines that the application of such terms and conditions is necessary or advisable for legal or administrative reasons. The Addendum constitutes part of the Award Agreement.</w:t>
      </w:r>
    </w:p>
    <w:p>
      <w:pPr>
        <w:pStyle w:val="TextBody"/>
        <w:spacing w:lineRule="auto" w:line="240"/>
        <w:ind w:left="0" w:right="0" w:firstLine="720"/>
        <w:jc w:val="both"/>
        <w:rPr/>
      </w:pPr>
      <w:r>
        <w:rPr>
          <w:rFonts w:ascii="Times New Roman;sans-serif" w:hAnsi="Times New Roman;sans-serif"/>
          <w:b w:val="false"/>
          <w:color w:val="000000"/>
          <w:sz w:val="24"/>
        </w:rPr>
        <w:t>28.    </w:t>
      </w:r>
      <w:r>
        <w:rPr>
          <w:rFonts w:ascii="Times New Roman;sans-serif" w:hAnsi="Times New Roman;sans-serif"/>
          <w:b w:val="false"/>
          <w:color w:val="000000"/>
          <w:sz w:val="24"/>
          <w:u w:val="single"/>
        </w:rPr>
        <w:t>Imposition of Other Requirements</w:t>
      </w:r>
      <w:r>
        <w:rPr>
          <w:rFonts w:ascii="Times New Roman;sans-serif" w:hAnsi="Times New Roman;sans-serif"/>
          <w:b w:val="false"/>
          <w:color w:val="000000"/>
          <w:sz w:val="24"/>
        </w:rPr>
        <w:t xml:space="preserve">. The Company reserves the right to impose other requirements on Participant’s participation in the Plan, on the Restricted Stock Unit and on any Shares acquired under the Plan, to the extent the Company determines it is necessary or </w:t>
      </w:r>
      <w:r>
        <w:br w:type="page"/>
      </w:r>
    </w:p>
    <w:p>
      <w:pPr>
        <w:pStyle w:val="TextBody"/>
        <w:spacing w:before="0" w:after="0"/>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293370"/>
                <wp:effectExtent l="0" t="0" r="0" b="0"/>
                <wp:wrapNone/>
                <wp:docPr id="132" name="Frame132"/>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170773909-v7\NA_DMS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170773909-v7\NA_DMS</w:t>
                      </w:r>
                    </w:p>
                  </w:txbxContent>
                </v:textbox>
              </v:rect>
            </w:pict>
          </mc:Fallback>
        </mc:AlternateContent>
      </w:r>
    </w:p>
    <w:p>
      <w:pPr>
        <w:pStyle w:val="TextBody"/>
        <w:spacing w:lineRule="auto" w:line="240" w:before="0" w:after="0"/>
        <w:jc w:val="both"/>
        <w:rPr/>
      </w:pPr>
      <w:r>
        <w:rPr>
          <w:rFonts w:ascii="Times New Roman;sans-serif" w:hAnsi="Times New Roman;sans-serif"/>
          <w:b w:val="false"/>
          <w:color w:val="000000"/>
          <w:sz w:val="24"/>
        </w:rPr>
        <w:t>advisable for legal or administrative reasons, and to require Participant</w:t>
      </w:r>
      <w:r>
        <w:rPr>
          <w:color w:val="000000"/>
        </w:rPr>
        <w:t xml:space="preserve"> </w:t>
      </w:r>
      <w:r>
        <w:rPr>
          <w:rFonts w:ascii="Times New Roman;sans-serif" w:hAnsi="Times New Roman;sans-serif"/>
          <w:b w:val="false"/>
          <w:color w:val="000000"/>
          <w:sz w:val="24"/>
        </w:rPr>
        <w:t>to sign any additional agreements or undertakings that may be necessary to accomplish the foregoing.</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29.    </w:t>
      </w:r>
      <w:r>
        <w:rPr>
          <w:rFonts w:ascii="Times New Roman;sans-serif" w:hAnsi="Times New Roman;sans-serif"/>
          <w:b w:val="false"/>
          <w:color w:val="000000"/>
          <w:sz w:val="24"/>
          <w:u w:val="single"/>
        </w:rPr>
        <w:t>Insider Trading / Market Abuse Restrictions</w:t>
      </w:r>
      <w:r>
        <w:rPr>
          <w:rFonts w:ascii="Times New Roman;sans-serif" w:hAnsi="Times New Roman;sans-serif"/>
          <w:b w:val="false"/>
          <w:color w:val="000000"/>
          <w:sz w:val="24"/>
        </w:rPr>
        <w:t>. Depending on Participant’s country of residence or the designated broker's country or the country where the Shares are listed, Participant may be subject to insider trading restrictions and/or market abuse laws in applicable jurisdictions, which may affect Participant’s ability to, directly or indirectly, accept, acquire, sell, attempt to sell or otherwise dispose of Shares or rights to Shares (</w:t>
      </w:r>
      <w:r>
        <w:rPr>
          <w:rFonts w:ascii="Times New Roman;sans-serif" w:hAnsi="Times New Roman;sans-serif"/>
          <w:b w:val="false"/>
          <w:i/>
          <w:color w:val="000000"/>
          <w:sz w:val="24"/>
        </w:rPr>
        <w:t>e.g.</w:t>
      </w:r>
      <w:r>
        <w:rPr>
          <w:rFonts w:ascii="Times New Roman;sans-serif" w:hAnsi="Times New Roman;sans-serif"/>
          <w:b w:val="false"/>
          <w:color w:val="000000"/>
          <w:sz w:val="24"/>
        </w:rPr>
        <w:t>, the Restricted Stock Units) under the Plan during such times as Participant is considered to have “inside information” regarding the Company (as defined by the laws in the applicable jurisdictions or Participant’s country). Local insider trading laws and regulations may prohibit the cancellation or amendment of orders Participant placed before Participant possessed inside information. Furthermore, Participant could be prohibited from (i) disclosing the inside information to any third party and (ii) “tipping” third parties or causing them otherwise to buy or sell securities (third parties may include fellow employees). Any restrictions under these laws or regulations are separate from and in addition to any restrictions that may be imposed under any applicable Company insider trading policy. Participant is responsible for ensuring Participant’s compliance with any applicable restrictions and is advised to speak with his or her personal legal advisor on this matter.</w:t>
      </w:r>
    </w:p>
    <w:p>
      <w:pPr>
        <w:pStyle w:val="TextBody"/>
        <w:spacing w:before="0" w:after="0"/>
        <w:ind w:left="0" w:right="0" w:firstLine="720"/>
        <w:jc w:val="both"/>
        <w:rPr/>
      </w:pPr>
      <w:r>
        <w:rPr/>
      </w:r>
    </w:p>
    <w:p>
      <w:pPr>
        <w:pStyle w:val="TextBody"/>
        <w:spacing w:lineRule="auto" w:line="228" w:before="0" w:after="0"/>
        <w:ind w:left="0" w:right="0" w:firstLine="720"/>
        <w:jc w:val="both"/>
        <w:rPr/>
      </w:pPr>
      <w:r>
        <w:rPr>
          <w:rFonts w:ascii="Times New Roman;sans-serif" w:hAnsi="Times New Roman;sans-serif"/>
          <w:b w:val="false"/>
          <w:color w:val="000000"/>
          <w:sz w:val="24"/>
        </w:rPr>
        <w:t>30.    </w:t>
      </w:r>
      <w:r>
        <w:rPr>
          <w:rFonts w:ascii="Times New Roman;sans-serif" w:hAnsi="Times New Roman;sans-serif"/>
          <w:b w:val="false"/>
          <w:color w:val="000000"/>
          <w:sz w:val="24"/>
          <w:u w:val="single"/>
        </w:rPr>
        <w:t>Foreign Asset/Account, Exchange Control, and Tax Reporting</w:t>
      </w:r>
      <w:r>
        <w:rPr>
          <w:rFonts w:ascii="Times New Roman;sans-serif" w:hAnsi="Times New Roman;sans-serif"/>
          <w:b w:val="false"/>
          <w:color w:val="000000"/>
          <w:sz w:val="24"/>
        </w:rPr>
        <w:t>. Depending on Participant’s country, Participant may be subject to foreign asset/account, exchange control and/or tax reporting requirements as a result of the vesting of the Restricted Stock Units, the acquisition, holding, and/or transfer of Shares or cash resulting from participation in the Plan and/or the opening and maintenance of a brokerage or bank account in connection with the Plan. Participant may be required to report such assets, accounts, account balances and values and/or related transactions to the applicable authorities in his or her country. Participant also may be required to repatriate sale proceeds from the sale of Shares or other funds received as a result of participation in the Plan to Participant’s country through a designated bank or broker within a certain time after receipt. In addition, Participant agrees to take any and all actions required by the Company or any Parent or Subsidiary or the local laws, rules and regulations in the Participant’s country of residence (and country of employment, if different) that may be required to comply with such laws, rules and regulations. Participant acknowledges that he or she is responsible for ensuring compliance with any applicable foreign asset/account, exchange control and tax reporting requirements. Participant further understands that he or she should consult Participant’s personal legal advisor on these matters.</w:t>
      </w:r>
    </w:p>
    <w:p>
      <w:pPr>
        <w:pStyle w:val="TextBody"/>
        <w:spacing w:before="0" w:after="0"/>
        <w:ind w:left="0" w:right="0" w:firstLine="720"/>
        <w:jc w:val="both"/>
        <w:rPr/>
      </w:pPr>
      <w:r>
        <w:rPr/>
      </w:r>
    </w:p>
    <w:p>
      <w:pPr>
        <w:pStyle w:val="TextBody"/>
        <w:spacing w:lineRule="auto" w:line="228" w:before="0" w:after="0"/>
        <w:ind w:left="0" w:right="0" w:firstLine="720"/>
        <w:jc w:val="both"/>
        <w:rPr/>
      </w:pPr>
      <w:r>
        <w:rPr>
          <w:rFonts w:ascii="Times New Roman;sans-serif" w:hAnsi="Times New Roman;sans-serif"/>
          <w:b w:val="false"/>
          <w:color w:val="000000"/>
          <w:sz w:val="24"/>
        </w:rPr>
        <w:t>31.    </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Participant acknowledges that a waiver by the Company of breach of any provision of this Award Agreement shall not operate or be construed as a waiver of any other provision of this Award Agreement, or of any subsequent breach by Participant or any other Participant.</w:t>
      </w:r>
    </w:p>
    <w:p>
      <w:pPr>
        <w:pStyle w:val="TextBody"/>
        <w:spacing w:before="0" w:after="0"/>
        <w:ind w:left="0" w:right="0" w:firstLine="720"/>
        <w:jc w:val="both"/>
        <w:rPr/>
      </w:pPr>
      <w:r>
        <w:rPr/>
      </w:r>
    </w:p>
    <w:p>
      <w:pPr>
        <w:pStyle w:val="TextBody"/>
        <w:spacing w:lineRule="auto" w:line="228" w:before="0" w:after="0"/>
        <w:ind w:left="0" w:right="0" w:firstLine="720"/>
        <w:jc w:val="both"/>
        <w:rPr/>
      </w:pPr>
      <w:r>
        <w:rPr>
          <w:rFonts w:ascii="Times New Roman;sans-serif" w:hAnsi="Times New Roman;sans-serif"/>
          <w:b w:val="false"/>
          <w:color w:val="000000"/>
          <w:sz w:val="24"/>
        </w:rPr>
        <w:t>32.    </w:t>
      </w:r>
      <w:r>
        <w:rPr>
          <w:rFonts w:ascii="Times New Roman;sans-serif" w:hAnsi="Times New Roman;sans-serif"/>
          <w:b w:val="false"/>
          <w:color w:val="000000"/>
          <w:sz w:val="24"/>
          <w:u w:val="single"/>
        </w:rPr>
        <w:t>Recovery of Erroneously Awarded Compensation</w:t>
      </w:r>
      <w:r>
        <w:rPr>
          <w:rFonts w:ascii="Times New Roman;sans-serif" w:hAnsi="Times New Roman;sans-serif"/>
          <w:b w:val="false"/>
          <w:color w:val="000000"/>
          <w:sz w:val="24"/>
        </w:rPr>
        <w:t xml:space="preserve">. As an additional condition of receiving this Award, Participant agrees that the Restricted Stock Unit and any proceeds or other benefits Participant may receive hereunder shall be subject to clawback, recovery or recoupment provisions by the Company to the extent and in the manner required (i) under the terms of any clawback policy adopted by the Company, as may be amended from time to time, pursuant to the listing standards and/or the rules and regulations of any national securities exchange or association on which the Shares are listed, or (ii) to comply with any requirements imposed under Applicable Laws including, without limitation, the Dodd-Frank Wall Street Reform and Consumer Protection Act. Further, as the Committee determines necessary or appropriate, the Committee may impose a reacquisition right with respect to previously-acquired Shares or other cash or property upon the occurrence of cause (as determined by the Committee). </w:t>
      </w:r>
    </w:p>
    <w:p>
      <w:pPr>
        <w:pStyle w:val="TextBody"/>
        <w:spacing w:before="0" w:after="0"/>
        <w:jc w:val="both"/>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293370"/>
                <wp:effectExtent l="0" t="0" r="0" b="0"/>
                <wp:wrapNone/>
                <wp:docPr id="133" name="Frame133"/>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170773909-v7\NA_DMS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170773909-v7\NA_DMS</w:t>
                      </w:r>
                    </w:p>
                  </w:txbxContent>
                </v:textbox>
              </v:rect>
            </w:pict>
          </mc:Fallback>
        </mc:AlternateConten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ADDENDUM TO</w:t>
        <w:br/>
        <w:t>RESTRICTED STOCK UNIT AWARD AGREEMENT</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AND</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PERFORMANCE STOCK UNIT AWARD AGREEMENT</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Capitalized terms used but not defined herein shall have the meanings set forth in the Plan, the Notice of Grant and/or the Restricted Stock Unit Award Agreement or Performance Stock Unit Award Agreement.</w:t>
      </w:r>
    </w:p>
    <w:p>
      <w:pPr>
        <w:pStyle w:val="TextBody"/>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Addendum includes additional terms and conditions that govern the Restricted Stock Units and Performance-Based Stock Units (collectively, the “Stock Units”) granted to Participant under the Plan if Participant resides and/or works in one of the countries listed below. This Addendum forms part of the Award Agreement. </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If Participant is a citizen or resident of a country other than the one in which Participant is currently working, is considered a resident of another country for local law purposes or transfers employment and/or residency between countries after the Date of Grant, the Company shall, in its sole discretion, determine to what extent the additional terms and conditions included herein will apply to Participant under these circumstances.</w:t>
      </w:r>
    </w:p>
    <w:p>
      <w:pPr>
        <w:pStyle w:val="TextBody"/>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This Addendum also includes notices regarding exchange controls and certain other issues of which Participant should be aware with respect to Participant’s participation in the Plan. The information is based on the securities, exchange control and other laws in effect in Participant’s country as of February 2023. Such laws are often complex and change frequently. As a result, the Company strongly recommends that Participant not rely on the information noted herein as the only source of information relating to the consequences of Participant’s participation in the Plan because the information may be out of date at the time Participant vests in the Stock Units or sells Shares acquired under the Plan.</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the information contained herein is general in nature and may not apply to Participant’s particular situation, and the Company is not in a position to assure Participant of any particular result. Accordingly, Participant should seek appropriate professional advice as to how the relevant laws in Participant’s country may apply to Participant’s situation.</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Finally, if Participant is a citizen or resident of a country other than the one in which Participant is currently working, is considered a resident of another country for local law purposes or transfers employment and/or residency between countries after the Date of Grant, the information contained herein may not be applicable in the same manner to Participant. </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293370"/>
                <wp:effectExtent l="0" t="0" r="0" b="0"/>
                <wp:wrapNone/>
                <wp:docPr id="134" name="Frame134"/>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EUROPEAN UNION / EUROPEAN ECONOMIC AREA INCLUDING THE UNITED KINGDOM</w:t>
      </w:r>
    </w:p>
    <w:p>
      <w:pPr>
        <w:pStyle w:val="TextBody"/>
        <w:spacing w:before="0" w:after="0"/>
        <w:rPr/>
      </w:pPr>
      <w:r>
        <w:rPr/>
      </w:r>
    </w:p>
    <w:p>
      <w:pPr>
        <w:pStyle w:val="TextBody"/>
        <w:spacing w:lineRule="auto" w:line="240" w:before="0" w:after="0"/>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spacing w:before="0" w:after="0"/>
        <w:rPr/>
      </w:pPr>
      <w:r>
        <w:rPr/>
      </w:r>
    </w:p>
    <w:p>
      <w:pPr>
        <w:pStyle w:val="TextBody"/>
        <w:spacing w:lineRule="auto" w:line="240" w:before="0" w:after="0"/>
        <w:rPr/>
      </w:pPr>
      <w:r>
        <w:rPr>
          <w:rFonts w:ascii="Times New Roman;sans-serif" w:hAnsi="Times New Roman;sans-serif"/>
          <w:b/>
          <w:color w:val="000000"/>
          <w:sz w:val="24"/>
        </w:rPr>
        <w:t>Authorization to Release and Transfer Necessary Personal Information</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This provision replaces in its entirety Section 13 (Data Privacy) of the Award Agreement:</w:t>
      </w:r>
    </w:p>
    <w:p>
      <w:pPr>
        <w:pStyle w:val="TextBody"/>
        <w:spacing w:before="0" w:after="0"/>
        <w:rPr/>
      </w:pPr>
      <w:r>
        <w:rPr/>
      </w:r>
    </w:p>
    <w:p>
      <w:pPr>
        <w:pStyle w:val="TextBody"/>
        <w:spacing w:lineRule="auto" w:line="240" w:before="0" w:after="0"/>
        <w:ind w:left="0" w:right="0" w:hanging="360"/>
        <w:jc w:val="both"/>
        <w:rPr/>
      </w:pPr>
      <w:r>
        <w:rPr>
          <w:rFonts w:ascii="Times New Roman;sans-serif" w:hAnsi="Times New Roman;sans-serif"/>
          <w:b w:val="false"/>
          <w:color w:val="000000"/>
          <w:sz w:val="22"/>
        </w:rPr>
        <w:t>(a)</w:t>
      </w:r>
      <w:r>
        <w:rPr>
          <w:rFonts w:ascii="Times New Roman;sans-serif" w:hAnsi="Times New Roman;sans-serif"/>
          <w:b w:val="false"/>
          <w:color w:val="000000"/>
          <w:sz w:val="24"/>
        </w:rPr>
        <w:t>Participant is hereby notified of the collection, use and transfer outside of the European Economic Area, as described in the Award Agreement, in electronic or other form, of Participant’s Data (defined below) by and among, as applicable, the Company and its Subsidiaries</w:t>
      </w:r>
      <w:r>
        <w:rPr>
          <w:color w:val="000000"/>
        </w:rPr>
        <w:t xml:space="preserve"> </w:t>
      </w:r>
      <w:r>
        <w:rPr>
          <w:rFonts w:ascii="Times New Roman;sans-serif" w:hAnsi="Times New Roman;sans-serif"/>
          <w:b w:val="false"/>
          <w:color w:val="000000"/>
          <w:sz w:val="24"/>
        </w:rPr>
        <w:t xml:space="preserve">for the exclusive and legitimate purpose of implementing, administering and managing Participant’s participation in the Plan. </w:t>
      </w:r>
    </w:p>
    <w:p>
      <w:pPr>
        <w:pStyle w:val="TextBody"/>
        <w:spacing w:before="0" w:after="0"/>
        <w:rPr/>
      </w:pPr>
      <w:r>
        <w:rPr/>
      </w:r>
    </w:p>
    <w:p>
      <w:pPr>
        <w:pStyle w:val="TextBody"/>
        <w:spacing w:lineRule="auto" w:line="240" w:before="0" w:after="0"/>
        <w:ind w:left="0" w:right="0" w:hanging="360"/>
        <w:jc w:val="both"/>
        <w:rPr/>
      </w:pPr>
      <w:r>
        <w:rPr>
          <w:rFonts w:ascii="Times New Roman;sans-serif" w:hAnsi="Times New Roman;sans-serif"/>
          <w:b w:val="false"/>
          <w:color w:val="000000"/>
          <w:sz w:val="22"/>
        </w:rPr>
        <w:t>(b)</w:t>
      </w:r>
      <w:r>
        <w:rPr>
          <w:rFonts w:ascii="Times New Roman;sans-serif" w:hAnsi="Times New Roman;sans-serif"/>
          <w:b w:val="false"/>
          <w:color w:val="000000"/>
          <w:sz w:val="24"/>
        </w:rPr>
        <w:t>Participant understands that the Company and its Subsidiaries may hold certain personal information about Participant, including, but not limited to, Participant’s name, home address and telephone number, email address, date of birth, social insurance, passport or other identification number, salary, nationality, job title, any shares of stock or directorships held in the Company, details of all entitlement to Shares awarded, canceled, vested, unvested, exercised or outstanding in Participant’s favor (“Data”), for the purpose of implementing, administering and managing the Plan.</w:t>
      </w:r>
    </w:p>
    <w:p>
      <w:pPr>
        <w:pStyle w:val="TextBody"/>
        <w:spacing w:before="0" w:after="0"/>
        <w:jc w:val="both"/>
        <w:rPr/>
      </w:pPr>
      <w:r>
        <w:rPr/>
      </w:r>
    </w:p>
    <w:p>
      <w:pPr>
        <w:pStyle w:val="TextBody"/>
        <w:spacing w:lineRule="auto" w:line="240" w:before="0" w:after="0"/>
        <w:ind w:left="0" w:right="0" w:hanging="360"/>
        <w:jc w:val="both"/>
        <w:rPr/>
      </w:pPr>
      <w:r>
        <w:rPr>
          <w:rFonts w:ascii="Times New Roman;sans-serif" w:hAnsi="Times New Roman;sans-serif"/>
          <w:b w:val="false"/>
          <w:color w:val="000000"/>
          <w:sz w:val="20"/>
        </w:rPr>
        <w:t>(c)</w:t>
      </w:r>
      <w:r>
        <w:rPr>
          <w:rFonts w:ascii="Times New Roman;sans-serif" w:hAnsi="Times New Roman;sans-serif"/>
          <w:b w:val="false"/>
          <w:color w:val="000000"/>
          <w:sz w:val="24"/>
        </w:rPr>
        <w:t xml:space="preserve">Participant understands that providing the Company with this Data is necessary for the performance of the Award Agreement and that Participant’s refusal to provide the Data would make it impossible for the Company to perform its contractual obligations and may affect Participant’s ability to participate in the Plan. Participant’s Data will be accessible within the Company as described in the Fortinet Data Privacy Policy and only by the persons specifically charged with Data processing operations and by the persons that need to access the Data because of their duties and position in relation to the performance of the Award Agreement. </w:t>
      </w:r>
    </w:p>
    <w:p>
      <w:pPr>
        <w:pStyle w:val="TextBody"/>
        <w:spacing w:before="0" w:after="0"/>
        <w:jc w:val="both"/>
        <w:rPr/>
      </w:pPr>
      <w:r>
        <w:rPr/>
      </w:r>
    </w:p>
    <w:p>
      <w:pPr>
        <w:pStyle w:val="TextBody"/>
        <w:spacing w:lineRule="auto" w:line="240" w:before="0" w:after="0"/>
        <w:ind w:left="0" w:right="0" w:hanging="360"/>
        <w:jc w:val="both"/>
        <w:rPr/>
      </w:pPr>
      <w:r>
        <w:rPr>
          <w:rFonts w:ascii="Times New Roman;sans-serif" w:hAnsi="Times New Roman;sans-serif"/>
          <w:b w:val="false"/>
          <w:color w:val="000000"/>
          <w:sz w:val="20"/>
        </w:rPr>
        <w:t>(d)</w:t>
      </w:r>
      <w:r>
        <w:rPr>
          <w:rFonts w:ascii="Times New Roman;sans-serif" w:hAnsi="Times New Roman;sans-serif"/>
          <w:b w:val="false"/>
          <w:color w:val="000000"/>
          <w:sz w:val="24"/>
        </w:rPr>
        <w:t>The Company will use Participant’s Data only as long as is necessary to implement, administer and manage Participant’s participation in the Plan or as required to comply with legal or regulatory obligations, including under tax and security laws. When the Company no longer needs Participant’s Data, it will remove it from it from its systems. If the Company keeps data longer, it would be to satisfy legal or regulatory obligations and the Company’s legal basis would be relevant laws or regulations. The collection, use and transfer of Data for the purpose of implementing, administering and managing Participant’s participation in the Plan is conducted in accordance with the Fortinet Data Privacy Policy.</w:t>
      </w:r>
    </w:p>
    <w:p>
      <w:pPr>
        <w:pStyle w:val="TextBody"/>
        <w:spacing w:before="0" w:after="0"/>
        <w:rPr/>
      </w:pPr>
      <w:r>
        <w:rPr/>
      </w:r>
    </w:p>
    <w:p>
      <w:pPr>
        <w:pStyle w:val="TextBody"/>
        <w:spacing w:lineRule="auto" w:line="240" w:before="0" w:after="0"/>
        <w:ind w:left="0" w:right="0" w:hanging="360"/>
        <w:jc w:val="both"/>
        <w:rPr/>
      </w:pPr>
      <w:r>
        <w:rPr>
          <w:rFonts w:ascii="Times New Roman;sans-serif" w:hAnsi="Times New Roman;sans-serif"/>
          <w:b w:val="false"/>
          <w:color w:val="000000"/>
          <w:sz w:val="22"/>
        </w:rPr>
        <w:t>(e)</w:t>
      </w:r>
      <w:r>
        <w:rPr>
          <w:rFonts w:ascii="Times New Roman;sans-serif" w:hAnsi="Times New Roman;sans-serif"/>
          <w:b w:val="false"/>
          <w:color w:val="000000"/>
          <w:sz w:val="24"/>
        </w:rPr>
        <w:t>Further, Participant understands that the Company will transfer Data to E*TRADE Financial Corporation (“E*TRADE”), and/or such other third parties as may be selected by the Company, which are assisting the Company with the implementation, administration and management of the Plan. The Company may select a different service provider or additional service providers and share Data with such other provider(s) serving in a similar manner. Participant may be asked to agree on separate terms and data processing practices with the service provider, with such agreement being a condition of the ability to participate in the Plan.</w:t>
      </w:r>
    </w:p>
    <w:p>
      <w:pPr>
        <w:pStyle w:val="TextBody"/>
        <w:spacing w:before="0" w:after="0"/>
        <w:jc w:val="both"/>
        <w:rPr/>
      </w:pPr>
      <w:r>
        <w:rPr/>
      </w:r>
    </w:p>
    <w:p>
      <w:pPr>
        <w:pStyle w:val="TextBody"/>
        <w:spacing w:lineRule="auto" w:line="240"/>
        <w:ind w:left="0" w:right="0" w:hanging="360"/>
        <w:jc w:val="both"/>
        <w:rPr/>
      </w:pPr>
      <w:r>
        <w:rPr>
          <w:rFonts w:ascii="Times New Roman;sans-serif" w:hAnsi="Times New Roman;sans-serif"/>
          <w:b w:val="false"/>
          <w:color w:val="000000"/>
          <w:sz w:val="20"/>
        </w:rPr>
        <w:t>(f)</w:t>
      </w:r>
      <w:r>
        <w:rPr>
          <w:rFonts w:ascii="Times New Roman;sans-serif" w:hAnsi="Times New Roman;sans-serif"/>
          <w:b w:val="false"/>
          <w:color w:val="000000"/>
          <w:sz w:val="24"/>
        </w:rPr>
        <w:t xml:space="preserve">E*TRADE is based in the United States. If Participant is outside of the United States, Participant should note that his or her country has enacted data privacy laws that are different from the United States. When transferring Data to E*TRADE, the Company and its Subsidiaries provide appropriate safeguards described in the Fortinet Data Privacy </w:t>
      </w:r>
      <w:r>
        <w:br w:type="page"/>
      </w:r>
    </w:p>
    <w:p>
      <w:pPr>
        <w:pStyle w:val="TextBody"/>
        <w:spacing w:before="0" w:after="0"/>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293370"/>
                <wp:effectExtent l="0" t="0" r="0" b="0"/>
                <wp:wrapNone/>
                <wp:docPr id="135" name="Frame135"/>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Policy. By participating in the Plan, Participant agrees to the transfer of his or her Data to E*TRADE for the exclusive purpose of administering participation in the Plan. </w:t>
      </w:r>
    </w:p>
    <w:p>
      <w:pPr>
        <w:pStyle w:val="TextBody"/>
        <w:spacing w:before="0" w:after="0"/>
        <w:rPr/>
      </w:pPr>
      <w:r>
        <w:rPr/>
      </w:r>
    </w:p>
    <w:p>
      <w:pPr>
        <w:pStyle w:val="TextBody"/>
        <w:spacing w:lineRule="auto" w:line="240" w:before="0" w:after="240"/>
        <w:jc w:val="both"/>
        <w:rPr/>
      </w:pPr>
      <w:r>
        <w:rPr>
          <w:rFonts w:ascii="Times New Roman;sans-serif" w:hAnsi="Times New Roman;sans-serif"/>
          <w:b w:val="false"/>
          <w:color w:val="000000"/>
          <w:sz w:val="24"/>
        </w:rPr>
        <w:t xml:space="preserve">Finally, Participant may choose to opt out of allowing the Company to share Data with E*TRADE and others as described above, although execution of such choice may mean the Company cannot grant awards under the Plan to Participant. For questions about this choice or to make this choice, you should refer to the Fortinet Data Privacy Policy or contact </w:t>
      </w:r>
      <w:r>
        <w:rPr>
          <w:rFonts w:ascii="Times New Roman;sans-serif" w:hAnsi="Times New Roman;sans-serif"/>
          <w:b w:val="false"/>
          <w:color w:val="0000FF"/>
          <w:sz w:val="24"/>
          <w:u w:val="single"/>
        </w:rPr>
        <w:t>privacy@fortinet.com</w:t>
      </w:r>
      <w:r>
        <w:rPr>
          <w:color w:val="000000"/>
        </w:rPr>
        <w:t xml:space="preserve"> </w:t>
      </w:r>
      <w:r>
        <w:rPr>
          <w:rFonts w:ascii="Times New Roman;sans-serif" w:hAnsi="Times New Roman;sans-serif"/>
          <w:b w:val="false"/>
          <w:color w:val="000000"/>
          <w:sz w:val="24"/>
        </w:rPr>
        <w:t>if there are additional questions.</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ALGERIA</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jc w:val="both"/>
        <w:rPr/>
      </w:pPr>
      <w:r>
        <w:rPr>
          <w:rFonts w:ascii="Times New Roman;sans-serif" w:hAnsi="Times New Roman;sans-serif"/>
          <w:b/>
          <w:color w:val="000000"/>
          <w:sz w:val="24"/>
        </w:rPr>
        <w:t>Stock Units Payable Only in Cash</w:t>
      </w:r>
      <w:r>
        <w:rPr>
          <w:rFonts w:ascii="Times New Roman;sans-serif" w:hAnsi="Times New Roman;sans-serif"/>
          <w:b w:val="false"/>
          <w:color w:val="000000"/>
          <w:sz w:val="24"/>
        </w:rPr>
        <w:t>. Notwithstanding Section 2 of the Award Agreement, the grant of Stock Units does not provide any right for Participant to receive Shares. Stock Units granted to Participants in Algeria shall be paid only in cash through local payroll in an amount equal to the value of the Shares on the vesting date less any Tax-Related Items. Participant agrees to bear any currency fluctuation risk between the time the Stock Units vest and the time the cash payment is distributed to Participant through local payroll.</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ARGENTINA</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 xml:space="preserve">Securities Law Information. </w:t>
      </w:r>
      <w:r>
        <w:rPr>
          <w:rFonts w:ascii="Times New Roman;sans-serif" w:hAnsi="Times New Roman;sans-serif"/>
          <w:b w:val="false"/>
          <w:color w:val="000000"/>
          <w:sz w:val="24"/>
        </w:rPr>
        <w:t xml:space="preserve">The offering of the Stock Units pursuant to the Award Agreement is a private transaction. Neither the Stock Units nor the underlying Shares are publicly offered or listed on any stock exchange in Argentina. </w:t>
      </w:r>
    </w:p>
    <w:p>
      <w:pPr>
        <w:pStyle w:val="TextBody"/>
        <w:spacing w:lineRule="auto" w:line="240" w:before="0" w:after="24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Following the sale of Shares and/or the receipt of dividends, Argentine residents may be subject to certain restrictions in bringing such funds back into Argentina. Argentine residents are solely responsible for complying with the exchange control rules that may apply in connection with participation in the Plan and/or the transfer of proceeds from the sale of Shares acquired under the Plan into Argentina. Prior to selling any Shares or transferring cash proceeds into Argentina, Argentine residents should consult their local bank and/or exchange control advisor to confirm the requirements as interpretations of the applicable Argentine Central Bank regulations</w:t>
      </w:r>
    </w:p>
    <w:p>
      <w:pPr>
        <w:pStyle w:val="TextBody"/>
        <w:spacing w:lineRule="auto" w:line="240" w:before="0" w:after="240"/>
        <w:jc w:val="both"/>
        <w:rPr/>
      </w:pPr>
      <w:r>
        <w:rPr>
          <w:rFonts w:ascii="Times New Roman;sans-serif" w:hAnsi="Times New Roman;sans-serif"/>
          <w:b/>
          <w:color w:val="000000"/>
          <w:sz w:val="24"/>
        </w:rPr>
        <w:t>Foreign Asset/Account Information.</w:t>
      </w:r>
      <w:r>
        <w:rPr>
          <w:color w:val="000000"/>
        </w:rPr>
        <w:t xml:space="preserve"> </w:t>
      </w:r>
      <w:r>
        <w:rPr>
          <w:rFonts w:ascii="Times New Roman;sans-serif" w:hAnsi="Times New Roman;sans-serif"/>
          <w:b w:val="false"/>
          <w:color w:val="000000"/>
          <w:sz w:val="24"/>
        </w:rPr>
        <w:t>If Participant holds Shares as of December 31 of any year, Participant is required to report the holding of the Shares on his or her personal tax return for the relevant year.</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AUSTRALIA</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jc w:val="both"/>
        <w:rPr/>
      </w:pPr>
      <w:r>
        <w:rPr>
          <w:rFonts w:ascii="Times New Roman;sans-serif" w:hAnsi="Times New Roman;sans-serif"/>
          <w:b/>
          <w:color w:val="000000"/>
          <w:sz w:val="24"/>
        </w:rPr>
        <w:t xml:space="preserve">Securities Law Information. </w:t>
      </w:r>
      <w:r>
        <w:rPr>
          <w:rFonts w:ascii="Times New Roman;sans-serif" w:hAnsi="Times New Roman;sans-serif"/>
          <w:b w:val="false"/>
          <w:color w:val="000000"/>
          <w:sz w:val="24"/>
        </w:rPr>
        <w:t>This offer of Stock Units is made under Division 1A Part 7.12 of the Corporations Act 2001 (Cth). If Participant offers Shares acquired under the Plan for sale to a person or entity resident in Australia, Participant’s offer may be subject to disclosure requirements under Australian law. Participant should obtain legal advice on any disclosure obligations prior to making any such offer.</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r>
        <w:br w:type="page"/>
      </w:r>
    </w:p>
    <w:p>
      <w:pPr>
        <w:pStyle w:val="TextBody"/>
        <w:spacing w:before="0" w:after="0"/>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293370"/>
                <wp:effectExtent l="0" t="0" r="0" b="0"/>
                <wp:wrapNone/>
                <wp:docPr id="136" name="Frame136"/>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both"/>
        <w:rPr/>
      </w:pPr>
      <w:r>
        <w:rPr>
          <w:rFonts w:ascii="Times New Roman;sans-serif" w:hAnsi="Times New Roman;sans-serif"/>
          <w:b/>
          <w:color w:val="000000"/>
          <w:sz w:val="24"/>
        </w:rPr>
        <w:t>Tax Information.</w:t>
      </w:r>
      <w:r>
        <w:rPr>
          <w:color w:val="000000"/>
        </w:rPr>
        <w:t xml:space="preserve"> </w:t>
      </w:r>
      <w:r>
        <w:rPr>
          <w:rFonts w:ascii="Times New Roman;sans-serif" w:hAnsi="Times New Roman;sans-serif"/>
          <w:b w:val="false"/>
          <w:color w:val="000000"/>
          <w:sz w:val="24"/>
        </w:rPr>
        <w:t>The Plan is a plan to which subdivision 83A-C of the Income Tax Assessment Act 1997 (Cth) applies (subject to conditions in the Act).</w:t>
      </w:r>
    </w:p>
    <w:p>
      <w:pPr>
        <w:pStyle w:val="TextBody"/>
        <w:spacing w:lineRule="auto" w:line="240" w:before="0" w:after="240"/>
        <w:jc w:val="both"/>
        <w:rPr/>
      </w:pPr>
      <w:r>
        <w:rPr>
          <w:rFonts w:ascii="Times New Roman;sans-serif" w:hAnsi="Times New Roman;sans-serif"/>
          <w:b/>
          <w:color w:val="000000"/>
          <w:sz w:val="24"/>
        </w:rPr>
        <w:t>Exchange Control Information</w:t>
      </w:r>
      <w:r>
        <w:rPr>
          <w:rFonts w:ascii="Times New Roman;sans-serif" w:hAnsi="Times New Roman;sans-serif"/>
          <w:b w:val="false"/>
          <w:color w:val="000000"/>
          <w:sz w:val="24"/>
        </w:rPr>
        <w:t>. Exchange control reporting is required for cash transactions exceeding A$10,000 and international fund transfers. The Australian bank assisting with the transaction will file the report. If there is no Australian bank involved in the transfer, then Participant will be required to file the report.</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AUSTRIA</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If Participant holds Shares acquired under the Plan or cash (including proceeds from the sale of Shares) outside of Austria, Participant may be subject to reporting obligations to the Austrian National Bank.</w:t>
      </w:r>
    </w:p>
    <w:p>
      <w:pPr>
        <w:pStyle w:val="TextBody"/>
        <w:spacing w:lineRule="auto" w:line="240" w:before="0" w:after="24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If Participant holds securities (including Shares acquired under the Plan) or cash (including proceeds from the sale of Shares) outside of Austria, he or she may be subject to reporting obligations to the Austrian National Bank. If the value of the Shares meets or exceeds a certain threshold, Participant must report the securities held on a quarterly basis to the Austrian National Bank as of the last day of the quarter, on or before the 15th day of the month following the end of the calendar quarter. In all other cases, an annual reporting obligation applies and the report has to be filed as of December 31 on or before January 31 of the following year using the form P2. Where the cash amounts held outside of Austria meet or exceed a certain threshold, monthly reporting obligations apply as explained in the next paragraph.</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If Participant sells Shares, or receives any cash dividends, Participant may have exchange control obligations if Participant holds the cash proceeds outside Austria. If the transaction volume of all Participant’s accounts abroad meets or exceeds a certain threshold, Participant must report to the Austrian National Bank the movements and balances of all accounts on a monthly basis, as of the last day of the month, on or before the 15th day of the following month, on the prescribed form (Meldungen SI-Forderungen und/oder SI-Verpflichtungen).</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BELGIUM</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Foreign Asset/Account Information.</w:t>
      </w:r>
      <w:r>
        <w:rPr>
          <w:color w:val="000000"/>
        </w:rPr>
        <w:t xml:space="preserve"> </w:t>
      </w:r>
      <w:r>
        <w:rPr>
          <w:rFonts w:ascii="Times New Roman;sans-serif" w:hAnsi="Times New Roman;sans-serif"/>
          <w:b w:val="false"/>
          <w:color w:val="000000"/>
          <w:sz w:val="24"/>
        </w:rPr>
        <w:t>Belgian residents are required to report any security or bank accounts (including brokerage accounts) opened and maintained outside Belgium on his or her annual tax return. In a separate report, they must provide the National Bank of Belgium with certain details regarding such foreign accounts (including the account number, bank name, and country in which such account was opened). The forms to complete this report are available on the website of the National Bank of Belgium.</w:t>
      </w:r>
    </w:p>
    <w:p>
      <w:pPr>
        <w:pStyle w:val="TextBody"/>
        <w:spacing w:lineRule="auto" w:line="240" w:before="0" w:after="240"/>
        <w:jc w:val="both"/>
        <w:rPr/>
      </w:pPr>
      <w:r>
        <w:rPr>
          <w:rFonts w:ascii="Times New Roman;sans-serif" w:hAnsi="Times New Roman;sans-serif"/>
          <w:b/>
          <w:color w:val="000000"/>
          <w:sz w:val="24"/>
        </w:rPr>
        <w:t>Stock Exchange Tax.</w:t>
      </w:r>
      <w:r>
        <w:rPr>
          <w:color w:val="000000"/>
        </w:rPr>
        <w:t xml:space="preserve"> </w:t>
      </w:r>
      <w:r>
        <w:rPr>
          <w:rFonts w:ascii="Times New Roman;sans-serif" w:hAnsi="Times New Roman;sans-serif"/>
          <w:b w:val="false"/>
          <w:color w:val="000000"/>
          <w:sz w:val="24"/>
        </w:rPr>
        <w:t xml:space="preserve">A stock exchange tax applies to transactions executed by a Belgian resident through a non-Belgian financial intermediary, such as a U.S. broker. The stock exchange tax likely will apply when the Shares are sold. Participant should consult with his or her personal tax advisor for additional details on obligations with respect to the stock exchange tax. </w:t>
      </w:r>
    </w:p>
    <w:p>
      <w:pPr>
        <w:pStyle w:val="TextBody"/>
        <w:spacing w:lineRule="auto" w:line="240" w:before="0" w:after="240"/>
        <w:jc w:val="both"/>
        <w:rPr/>
      </w:pPr>
      <w:r>
        <w:rPr>
          <w:rFonts w:ascii="Times New Roman;sans-serif" w:hAnsi="Times New Roman;sans-serif"/>
          <w:b/>
          <w:color w:val="000000"/>
          <w:sz w:val="24"/>
        </w:rPr>
        <w:t>Annual Securities Accounts Tax Information.</w:t>
      </w:r>
      <w:r>
        <w:rPr>
          <w:color w:val="000000"/>
        </w:rPr>
        <w:t xml:space="preserve"> </w:t>
      </w:r>
      <w:r>
        <w:rPr>
          <w:rFonts w:ascii="Times New Roman;sans-serif" w:hAnsi="Times New Roman;sans-serif"/>
          <w:b w:val="false"/>
          <w:color w:val="000000"/>
          <w:sz w:val="24"/>
        </w:rPr>
        <w:t xml:space="preserve">If the total value of securities held in a Belgian or foreign securities account exceeds EUR 1 million on average on four reference dates within the relevant reporting period (i.e. December 31, March 31, June 30 and September 30), an “annual securities accounts tax” applies. Participant should consult with a professional tax or </w:t>
      </w:r>
      <w:r>
        <w:br w:type="page"/>
      </w:r>
    </w:p>
    <w:p>
      <w:pPr>
        <w:pStyle w:val="TextBody"/>
        <w:spacing w:before="0" w:after="0"/>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293370"/>
                <wp:effectExtent l="0" t="0" r="0" b="0"/>
                <wp:wrapNone/>
                <wp:docPr id="137" name="Frame137"/>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financial advisor for more information regarding their annual securities accounts tax payment obligations.</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BRAZIL</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jc w:val="both"/>
        <w:rPr/>
      </w:pPr>
      <w:r>
        <w:rPr>
          <w:rFonts w:ascii="Times New Roman;sans-serif" w:hAnsi="Times New Roman;sans-serif"/>
          <w:b/>
          <w:color w:val="000000"/>
          <w:sz w:val="24"/>
        </w:rPr>
        <w:t xml:space="preserve">Compliance with Law. </w:t>
      </w:r>
      <w:r>
        <w:rPr>
          <w:rFonts w:ascii="Times New Roman;sans-serif" w:hAnsi="Times New Roman;sans-serif"/>
          <w:b w:val="false"/>
          <w:color w:val="000000"/>
          <w:sz w:val="24"/>
        </w:rPr>
        <w:t>By accepting the Stock Units, Participant acknowledges his or her agreement to comply with applicable Brazilian laws and to pay any and all applicable taxes associated with the vesting of the Stock Units, and the sale of Shares acquired under the Plan and the receipt of any dividends or Dividend Equivalents.</w:t>
      </w:r>
    </w:p>
    <w:p>
      <w:pPr>
        <w:pStyle w:val="TextBody"/>
        <w:spacing w:lineRule="auto" w:line="240" w:before="0" w:after="240"/>
        <w:jc w:val="both"/>
        <w:rPr/>
      </w:pPr>
      <w:r>
        <w:rPr>
          <w:rFonts w:ascii="Times New Roman;sans-serif" w:hAnsi="Times New Roman;sans-serif"/>
          <w:b/>
          <w:color w:val="000000"/>
          <w:sz w:val="24"/>
        </w:rPr>
        <w:t>Labor Law Acknowledgement</w:t>
      </w:r>
      <w:r>
        <w:rPr>
          <w:rFonts w:ascii="Times New Roman;sans-serif" w:hAnsi="Times New Roman;sans-serif"/>
          <w:b w:val="false"/>
          <w:color w:val="000000"/>
          <w:sz w:val="24"/>
        </w:rPr>
        <w:t>. By accepting the Stock Units, Participant agrees that Participant is (i) making an investment decision, (ii) Shares will be issued to Participant only if the vesting conditions are met and (iii) the value of the underlying Shares is not fixed and may increase or decrease in value over the vesting period without compensation to Participant.</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If Participant is resident or domiciled in Brazil, Participant will be required to submit annually a declaration of assets and rights held outside of Brazil to the Central Bank of Brazil if the aggregate value of such assets and rights is equal to or greater than US$100,000. Assets and rights that must be reported include Shares acquired under the Plan.</w:t>
      </w:r>
    </w:p>
    <w:p>
      <w:pPr>
        <w:pStyle w:val="TextBody"/>
        <w:spacing w:lineRule="auto" w:line="240" w:before="0" w:after="240"/>
        <w:jc w:val="both"/>
        <w:rPr/>
      </w:pPr>
      <w:r>
        <w:rPr>
          <w:rFonts w:ascii="Times New Roman;sans-serif" w:hAnsi="Times New Roman;sans-serif"/>
          <w:b/>
          <w:color w:val="000000"/>
          <w:sz w:val="24"/>
        </w:rPr>
        <w:t>Tax on Financial Transactions (IOF)</w:t>
      </w:r>
      <w:r>
        <w:rPr>
          <w:rFonts w:ascii="Times New Roman;sans-serif" w:hAnsi="Times New Roman;sans-serif"/>
          <w:b w:val="false"/>
          <w:color w:val="000000"/>
          <w:sz w:val="24"/>
        </w:rPr>
        <w:t>. Repatriation of funds into Brazil and the conversion between BRL and USD associated with such fund transfers may be subject to the Tax on Financial Transactions. It is Participant’s responsibility to comply with any applicable Tax on Financial Transactions arising from Participant’s participation in the Plan. Participant should consult with his or her personal tax advisor for additional details.</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 xml:space="preserve">CAMBODIA </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There are no country-specific provisions.</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CANADA</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jc w:val="both"/>
        <w:rPr/>
      </w:pPr>
      <w:r>
        <w:rPr>
          <w:rFonts w:ascii="Times New Roman;sans-serif" w:hAnsi="Times New Roman;sans-serif"/>
          <w:b/>
          <w:color w:val="000000"/>
          <w:sz w:val="24"/>
        </w:rPr>
        <w:t>Stock Units Payable Only in Shares.</w:t>
      </w:r>
      <w:r>
        <w:rPr>
          <w:color w:val="000000"/>
        </w:rPr>
        <w:t xml:space="preserve"> </w:t>
      </w:r>
      <w:r>
        <w:rPr>
          <w:rFonts w:ascii="Times New Roman;sans-serif" w:hAnsi="Times New Roman;sans-serif"/>
          <w:b w:val="false"/>
          <w:color w:val="000000"/>
          <w:sz w:val="24"/>
        </w:rPr>
        <w:t>Notwithstanding any discretion in the Plan or anything to the contrary in the Award Agreement, the grant of Stock Units does not provide any right for Participant to receive a cash payment, and the Stock Units are payable in Shares only.</w:t>
      </w:r>
    </w:p>
    <w:p>
      <w:pPr>
        <w:pStyle w:val="TextBody"/>
        <w:spacing w:lineRule="auto" w:line="240" w:before="0" w:after="240"/>
        <w:jc w:val="both"/>
        <w:rPr/>
      </w:pPr>
      <w:r>
        <w:rPr>
          <w:rFonts w:ascii="Times New Roman;sans-serif" w:hAnsi="Times New Roman;sans-serif"/>
          <w:b/>
          <w:color w:val="000000"/>
          <w:sz w:val="24"/>
        </w:rPr>
        <w:t>Forfeiture upon Termination of Status as a Service Provider</w:t>
      </w:r>
      <w:r>
        <w:rPr>
          <w:rFonts w:ascii="Times New Roman;sans-serif" w:hAnsi="Times New Roman;sans-serif"/>
          <w:b w:val="false"/>
          <w:color w:val="000000"/>
          <w:sz w:val="24"/>
        </w:rPr>
        <w:t>. The following provision replaces Section 6 of the Award Agreement:</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Notwithstanding any contrary provision of this Award Agreement, the balance of the Stock Units that have not vested as of the time of Participant’s termination as a Service Provider, for any or no reason and Participant’s right to acquire any Shares hereunder, will immediately terminate upon Participant’s termination as a Service Provider. For purposes of the Stock Units, Participant's status as a Service Provider will be considered terminated as of the date that is the earlier of (1) the date Participant’s service ends, no matter how the termination of service arises; or (2) the date Participant receives written notice of termination of the Service Provider from the Company or the Employer. In either case, the date shall exclude any period during which notice, pay in lieu of notice or related payments or damages are provided or required to be provided </w:t>
      </w:r>
      <w:r>
        <w:br w:type="page"/>
      </w:r>
    </w:p>
    <w:p>
      <w:pPr>
        <w:pStyle w:val="TextBody"/>
        <w:spacing w:before="0" w:after="0"/>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293370"/>
                <wp:effectExtent l="0" t="0" r="0" b="0"/>
                <wp:wrapNone/>
                <wp:docPr id="138" name="Frame138"/>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under local law. For greater certainty, Participant will not earn or be entitled to any pro-rated vesting for that portion of time before the date on which Participant’s right to vest terminates, nor will Participant be entitled to any compensation for lost vesting. Notwithstanding the foregoing, if applicable employment standards legislation explicitly requires continued vesting during a statutory notice period, Participant’s right to vest in the Stock Units, if any, will terminate effective as of the last day of Participant’s minimum statutory notice period, but Participant will not earn or be entitled to pro-rated vesting if the vesting date falls after the end of Participant’s statutory notice period, nor will Participant be entitled to any compensation for lost vesting. The Administrator shall have the exclusive discretion to determine when Participant is no longer actively providing service for purposes of the Stock Units grant (including whether Participant may still be considered to be a Service Provider while on a leave of absence).</w:t>
      </w:r>
    </w:p>
    <w:p>
      <w:pPr>
        <w:pStyle w:val="TextBody"/>
        <w:spacing w:lineRule="auto" w:line="240" w:before="0" w:after="240"/>
        <w:rPr/>
      </w:pPr>
      <w:r>
        <w:rPr>
          <w:rFonts w:ascii="Times New Roman;sans-serif" w:hAnsi="Times New Roman;sans-serif"/>
          <w:b/>
          <w:color w:val="000000"/>
          <w:sz w:val="24"/>
          <w:u w:val="single"/>
        </w:rPr>
        <w:t>The following provisions will apply if Participant is a resident of Quebec</w:t>
      </w:r>
      <w:r>
        <w:rPr>
          <w:rFonts w:ascii="Times New Roman;sans-serif" w:hAnsi="Times New Roman;sans-serif"/>
          <w:b/>
          <w:color w:val="000000"/>
          <w:sz w:val="24"/>
        </w:rPr>
        <w:t>:</w:t>
      </w:r>
    </w:p>
    <w:p>
      <w:pPr>
        <w:pStyle w:val="TextBody"/>
        <w:spacing w:lineRule="auto" w:line="240" w:before="0" w:after="240"/>
        <w:jc w:val="both"/>
        <w:rPr/>
      </w:pPr>
      <w:r>
        <w:rPr>
          <w:rFonts w:ascii="Times New Roman;sans-serif" w:hAnsi="Times New Roman;sans-serif"/>
          <w:b/>
          <w:color w:val="000000"/>
          <w:sz w:val="24"/>
        </w:rPr>
        <w:t xml:space="preserve">Language Consent. </w:t>
      </w:r>
      <w:r>
        <w:rPr>
          <w:rFonts w:ascii="Times New Roman;sans-serif" w:hAnsi="Times New Roman;sans-serif"/>
          <w:b w:val="false"/>
          <w:color w:val="000000"/>
          <w:sz w:val="24"/>
        </w:rPr>
        <w:t>A French translation of the Plan and the Award Agreement can be made available as soon as reasonably practicable upon request. Participant understands that, from time to time, additional information related to the offering of the Plan might be provided in English and such information may not be immediately available in French. However, upon request, the Company will translate into French documents related to the offering of the Plan as soon as reasonably practicable.</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Une traduction française du Plan et de l'Accord de Récompense peuvent être disponible dès que raisonnablement possible sur demande. Participant comprend que, de temps à autre, des informations supplémentaires liées à l'offre du Plan peuvent être fournies en anglais et que ces informations peuvent ne pas être immédiatement disponibles en français. Cependant, sur demande, la Compagnie traduira en français les documents relatifs à l'offre du Plan dès que raisonnablement possible.</w:t>
      </w:r>
    </w:p>
    <w:p>
      <w:pPr>
        <w:pStyle w:val="TextBody"/>
        <w:spacing w:lineRule="auto" w:line="240" w:before="0" w:after="240"/>
        <w:jc w:val="both"/>
        <w:rPr/>
      </w:pPr>
      <w:r>
        <w:rPr>
          <w:rFonts w:ascii="Times New Roman;sans-serif" w:hAnsi="Times New Roman;sans-serif"/>
          <w:b/>
          <w:color w:val="000000"/>
          <w:sz w:val="24"/>
        </w:rPr>
        <w:t xml:space="preserve">Data Privacy Notice and Consent. </w:t>
      </w:r>
      <w:r>
        <w:rPr>
          <w:rFonts w:ascii="Times New Roman;sans-serif" w:hAnsi="Times New Roman;sans-serif"/>
          <w:b w:val="false"/>
          <w:color w:val="000000"/>
          <w:sz w:val="24"/>
        </w:rPr>
        <w:t xml:space="preserve">This provision supplements Section 13 of the Award Agreement: </w:t>
      </w:r>
    </w:p>
    <w:p>
      <w:pPr>
        <w:pStyle w:val="TextBody"/>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Participant hereby authorizes the Company and the Company’s representatives to discuss with and obtain all relevant information from all personnel, professional or not, involved in the administration and operation of the Plan. Participant acknowledges that their Data, including and sensitive personal information, may be transferred or disclosed outside of the province of Quebec, including to the United States. Participant further authorizes the Company and/or any Parent or Subsidiary to record such information in his or her employee file. If applicable, Participant also acknowledges that the Company, E*TRADE Financial Corporation and/or any Parent or Subsidiary may use technology for profiling purposes and make automated decisions that may have an impact on Participant’s participation in the Plan or the administration of the Plan.</w:t>
      </w:r>
    </w:p>
    <w:p>
      <w:pPr>
        <w:pStyle w:val="TextBody"/>
        <w:spacing w:lineRule="auto" w:line="276"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76" w:before="0" w:after="240"/>
        <w:jc w:val="both"/>
        <w:rPr/>
      </w:pPr>
      <w:r>
        <w:rPr>
          <w:rFonts w:ascii="Times New Roman;sans-serif" w:hAnsi="Times New Roman;sans-serif"/>
          <w:b/>
          <w:color w:val="000000"/>
          <w:sz w:val="24"/>
        </w:rPr>
        <w:t xml:space="preserve">Securities Law Information. </w:t>
      </w:r>
      <w:r>
        <w:rPr>
          <w:rFonts w:ascii="Times New Roman;sans-serif" w:hAnsi="Times New Roman;sans-serif"/>
          <w:b w:val="false"/>
          <w:color w:val="000000"/>
          <w:sz w:val="24"/>
        </w:rPr>
        <w:t>Participant is permitted to sell Shares acquired under the Plan through the designated broker appointed under the Plan, if any, provided the resale of Shares acquired under the Plan takes place outside of Canada through the facilities of a stock exchange on which the Shares are listed. The Shares are currently listed on the Nasdaq.</w:t>
      </w:r>
    </w:p>
    <w:p>
      <w:pPr>
        <w:pStyle w:val="TextBody"/>
        <w:spacing w:lineRule="auto" w:line="276" w:before="0" w:after="24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 xml:space="preserve">Foreign specified property (including shares of Common Stock acquired under the Plan) of a non-Canadian company held by a Canadian </w:t>
      </w:r>
      <w:r>
        <w:br w:type="page"/>
      </w:r>
    </w:p>
    <w:p>
      <w:pPr>
        <w:pStyle w:val="TextBody"/>
        <w:spacing w:before="0" w:after="0"/>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293370"/>
                <wp:effectExtent l="0" t="0" r="0" b="0"/>
                <wp:wrapNone/>
                <wp:docPr id="139" name="Frame139"/>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resident must be reported annually on form T1135 (Foreign Income Verification Statement) if the total cost of the foreign specified property exceeds C$100,000 at any time in the year. The option to purchase Shares must be reported (generally at nil cost) if the C$100,000 threshold is exceeded because of other foreign specified property held. Foreign specified property also includes Shares acquired under the Plan and their cost is generally the adjusted cost base (“ACB”) of the Shares. The ACB ordinarily would equal the fair market value of the Shares at acquisition, but if a participant owns other Shares, this ACB may have to be averaged with the ACB of the other shares. The form must be filed by April 30 of the following year. Participant should consult his or her personal legal advisor to ensure compliance with applicable reporting obligations.</w:t>
      </w:r>
    </w:p>
    <w:p>
      <w:pPr>
        <w:pStyle w:val="TextBody"/>
        <w:spacing w:lineRule="auto" w:line="276" w:before="0" w:after="240"/>
        <w:jc w:val="center"/>
        <w:rPr>
          <w:rFonts w:ascii="Times New Roman;sans-serif" w:hAnsi="Times New Roman;sans-serif"/>
          <w:b/>
          <w:color w:val="000000"/>
          <w:sz w:val="24"/>
        </w:rPr>
      </w:pPr>
      <w:r>
        <w:rPr>
          <w:rFonts w:ascii="Times New Roman;sans-serif" w:hAnsi="Times New Roman;sans-serif"/>
          <w:b/>
          <w:color w:val="000000"/>
          <w:sz w:val="24"/>
        </w:rPr>
        <w:t>CHILE</w:t>
      </w:r>
    </w:p>
    <w:p>
      <w:pPr>
        <w:pStyle w:val="TextBody"/>
        <w:spacing w:lineRule="auto" w:line="276" w:before="0" w:after="240"/>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20"/>
        <w:jc w:val="both"/>
        <w:rPr/>
      </w:pPr>
      <w:r>
        <w:rPr>
          <w:rFonts w:ascii="Times New Roman;sans-serif" w:hAnsi="Times New Roman;sans-serif"/>
          <w:b/>
          <w:color w:val="000000"/>
          <w:sz w:val="24"/>
        </w:rPr>
        <w:t>Securities Law Information.</w:t>
      </w:r>
      <w:r>
        <w:rPr>
          <w:color w:val="000000"/>
        </w:rPr>
        <w:t xml:space="preserve"> </w:t>
      </w:r>
      <w:r>
        <w:rPr>
          <w:rFonts w:ascii="Times New Roman;sans-serif" w:hAnsi="Times New Roman;sans-serif"/>
          <w:b w:val="false"/>
          <w:color w:val="000000"/>
          <w:sz w:val="24"/>
        </w:rPr>
        <w:t>This grant of Stock Units constitutes a private offering of securities in Chile effective as of the grant date. This offer of Stock Units is made subject to general ruling n° 336 of the Chilean Commission for the Financial Market (“CMF”). The offer refers to securities not registered at the securities registry or at the foreign securities registry of the CMF, and, therefore, such securities are not subject to oversight of the CMF. Given that the Stock Units are not registered in Chile, the Company is not required to provide public information about the Stock Units or the Shares in Chile. Unless the Stock Units and/or the Shares are registered with the CMF, a public offering of such securities cannot be made in Chile.</w:t>
      </w:r>
    </w:p>
    <w:p>
      <w:pPr>
        <w:pStyle w:val="TextBody"/>
        <w:spacing w:lineRule="auto" w:line="276"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Esta Oferta de Unidades de Acciones Restringidas constituye una oferta privada de valores en Chile y se inicia en la fecha de la oferta. Esta oferta de Unidades de Acciones Restringidas se acoge a las disposiciones de la Norma de Carácter General Nº 336 (“NCG 336”) de la Comision para el Mercado Financiero de Chile (“CMF”).  Esta oferta versa sobre valores no inscritos en el Registro de Valores o en el Registro de Valores Extranjeros que lleva la CMF, por lo que tales valores no están sujetos a la fiscalización de ésta. Por tratarse de valores no inscritos en Chile no existe la obligación por parte de la Compañía de entregar en Chile información pública respecto de los mismos. Estos valores no podrán ser objeto de oferta pública en Chile mientras no sean inscritos en el Registro de Valores correspondiente.</w:t>
      </w:r>
    </w:p>
    <w:p>
      <w:pPr>
        <w:pStyle w:val="TextBody"/>
        <w:spacing w:lineRule="auto" w:line="276" w:before="0" w:after="240"/>
        <w:jc w:val="both"/>
        <w:rPr/>
      </w:pPr>
      <w:r>
        <w:rPr>
          <w:rFonts w:ascii="Times New Roman;sans-serif" w:hAnsi="Times New Roman;sans-serif"/>
          <w:b/>
          <w:color w:val="000000"/>
          <w:sz w:val="24"/>
        </w:rPr>
        <w:t>Exchange Control and Tax Information.</w:t>
      </w:r>
      <w:r>
        <w:rPr>
          <w:color w:val="000000"/>
        </w:rPr>
        <w:t xml:space="preserve"> </w:t>
      </w:r>
      <w:r>
        <w:rPr>
          <w:rFonts w:ascii="Times New Roman;sans-serif" w:hAnsi="Times New Roman;sans-serif"/>
          <w:b w:val="false"/>
          <w:color w:val="000000"/>
          <w:sz w:val="24"/>
        </w:rPr>
        <w:t>Chilean residents are not required to repatriate funds obtained from the sale of Shares or the receipt of any dividends. However, if Chilean residents decide to repatriate such funds, they must do so through the Formal Exchange Market if the amount of the funds exceeds US$10,000. In such case, Chilean residents must report the payment to a commercial bank or registered foreign exchange office receiving the funds.</w:t>
      </w:r>
    </w:p>
    <w:p>
      <w:pPr>
        <w:pStyle w:val="TextBody"/>
        <w:spacing w:lineRule="auto" w:line="276" w:before="0" w:after="24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The Chilean Internal Revenue Service (the “CIRS”) requires all taxpayers to provide information annually regarding (i) the results of investments held abroad and (ii) any taxes paid abroad which the taxpayers will use as a credit against Chilean income tax. The Form 1929 disclosing this information (or Formularios) must be submitted electronically through the CIRS website in accordance with applicable deadlines: www.sii.cl. In addition, shares of Common Stock acquired upon settlement of the Units must be registered with the CIRS’s Foreign Investment Registry. Chilean taxpayers who fail to meet these requirements may be ineligible to receive certain foreign tax credits.</w:t>
      </w:r>
      <w:r>
        <w:br w:type="page"/>
      </w:r>
    </w:p>
    <w:p>
      <w:pPr>
        <w:pStyle w:val="TextBody"/>
        <w:spacing w:before="0" w:after="0"/>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293370"/>
                <wp:effectExtent l="0" t="0" r="0" b="0"/>
                <wp:wrapNone/>
                <wp:docPr id="140" name="Frame140"/>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CHINA</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jc w:val="both"/>
        <w:rPr/>
      </w:pPr>
      <w:r>
        <w:rPr>
          <w:rFonts w:ascii="Times New Roman;sans-serif" w:hAnsi="Times New Roman;sans-serif"/>
          <w:b/>
          <w:color w:val="000000"/>
          <w:sz w:val="24"/>
          <w:u w:val="single"/>
        </w:rPr>
        <w:t>The following provisions will apply to Participants who are subject to PRC exchange control restrictions, as determined by the Company in its sole discretion</w:t>
      </w:r>
      <w:r>
        <w:rPr>
          <w:rFonts w:ascii="Times New Roman;sans-serif" w:hAnsi="Times New Roman;sans-serif"/>
          <w:b/>
          <w:color w:val="000000"/>
          <w:sz w:val="24"/>
        </w:rPr>
        <w:t>:</w:t>
      </w:r>
    </w:p>
    <w:p>
      <w:pPr>
        <w:pStyle w:val="TextBody"/>
        <w:spacing w:lineRule="auto" w:line="240" w:before="0" w:after="240"/>
        <w:jc w:val="both"/>
        <w:rPr/>
      </w:pPr>
      <w:r>
        <w:rPr>
          <w:rFonts w:ascii="Times New Roman;sans-serif" w:hAnsi="Times New Roman;sans-serif"/>
          <w:b/>
          <w:color w:val="000000"/>
          <w:sz w:val="24"/>
        </w:rPr>
        <w:t xml:space="preserve">Immediate Sale Restriction. </w:t>
      </w:r>
      <w:r>
        <w:rPr>
          <w:rFonts w:ascii="Times New Roman;sans-serif" w:hAnsi="Times New Roman;sans-serif"/>
          <w:b w:val="false"/>
          <w:color w:val="000000"/>
          <w:sz w:val="24"/>
        </w:rPr>
        <w:t xml:space="preserve">Notwithstanding anything to the contrary in the Plan or Award Agreement, due to exchange control laws in China, Participant agrees that any Shares acquired at vesting of the Stock Units may be immediately sold at vesting or, at the Company’s discretion, at a later time (including when Participant’s status as a Service Provider terminates). If, however, the sale of the Shares is not permissible under the Company’s insider trading policy, or if any requisite exchange control approval for the Plan in China has not been obtained, the Company retains the discretion to postpone the issuance of the Shares subject to Participant’s vested Stock Units until such time that the sale is again permissible and to then immediately sell the Shares subject to the Stock Units. Participant further agrees that the Company is authorized to instruct its designated broker to assist with the mandatory sale of the Shares (on Participant’s behalf pursuant to this authorization), and Participant expressly authorizes such broker to complete the sale of such Shares. Participant acknowledges that the Company’s designated broker is under no obligation to arrange for the sale of the Shares at any particular price. Upon the sale of the Shares, the Company agrees to pay the cash proceeds from the sale, less any brokerage fees or commissions, to Participant in accordance with applicable exchange control laws and regulations and provided any liability for Tax-Related Items resulting from the vesting of the Stock Units has been satisfied. Due to fluctuations in the Share price and/or the US dollar exchange rate between the vesting date and (if later) the date on which the Shares are sold, the sale proceeds may be more or less than the market value of the Shares on the vesting date (which is the amount relevant to determining Participant’s tax liability). Participant understands and agrees that the Company is not responsible for the amount of any loss Participant may incur and that the Company assumes no liability for any fluctuations in the Share price and/or US dollar exchange rate. In the event Participant is allowed to hold Shares, Participant must maintain Shares acquired under the Plan in an account maintained by the Company’s designated broker or such other stock plan provider as may be selected by the Company. </w:t>
      </w:r>
    </w:p>
    <w:p>
      <w:pPr>
        <w:pStyle w:val="TextBody"/>
        <w:spacing w:lineRule="auto" w:line="240" w:before="0" w:after="24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 xml:space="preserve">Participant understands and agrees that, to facilitate compliance with exchange control laws in China, Participant may be required to immediately repatriate to China the cash proceeds from the sale of any Shares acquired at vesting of the Stock Units and any dividends or Dividend Equivalents received in relation to the Shares. Participant further understands that, under local law, such repatriation of the cash proceeds may need to be effectuated through a special exchange control account established by the Company or any Parent or Subsidiary, and Participant hereby consents and agrees that the proceeds from the sale of Shares acquired under the Plan and any dividends received in relation to the Shares may be transferred to such special account prior to being delivered to Participant. </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proceeds may be paid to Participant in U.S. dollars or local currency at the Company’s discretion. In the event the proceeds are paid to Participant in U.S. dollars, Participant understands that Participant will be required to set up a U.S. dollar bank account in China and provide the bank account details to the Employer and/or the Company so that the proceeds may be deposited into this account. </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Participant agrees to bear any currency fluctuation risk between the time the Shares are sold or dividends or Dividend Equivalents are paid and the time the proceeds are distributed to Participant through any such special account.</w:t>
      </w:r>
      <w:r>
        <w:br w:type="page"/>
      </w:r>
    </w:p>
    <w:p>
      <w:pPr>
        <w:pStyle w:val="TextBody"/>
        <w:spacing w:before="0" w:after="0"/>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293370"/>
                <wp:effectExtent l="0" t="0" r="0" b="0"/>
                <wp:wrapNone/>
                <wp:docPr id="141" name="Frame141"/>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Participant further agrees to comply with any other requirements that may be imposed by the Company in the future in order to facilitate compliance with exchange control requirements in China. </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COLOMBIA</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jc w:val="both"/>
        <w:rPr/>
      </w:pPr>
      <w:r>
        <w:rPr>
          <w:rFonts w:ascii="Times New Roman;sans-serif" w:hAnsi="Times New Roman;sans-serif"/>
          <w:b/>
          <w:color w:val="000000"/>
          <w:sz w:val="24"/>
        </w:rPr>
        <w:t>Labor Laws Acknowledgement.</w:t>
      </w:r>
      <w:r>
        <w:rPr>
          <w:color w:val="000000"/>
        </w:rPr>
        <w:t xml:space="preserve"> </w:t>
      </w:r>
      <w:r>
        <w:rPr>
          <w:rFonts w:ascii="Times New Roman;sans-serif" w:hAnsi="Times New Roman;sans-serif"/>
          <w:b w:val="false"/>
          <w:color w:val="000000"/>
          <w:sz w:val="24"/>
        </w:rPr>
        <w:t>The following provision supplements Section 11 of the Award Agreement:</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Participants acknowledges that pursuant to Article 128 of the Colombian Labor Code, the Plan and related benefits do not constitute a component of “salary” for any purpose. </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0"/>
        <w:jc w:val="both"/>
        <w:rPr/>
      </w:pPr>
      <w:r>
        <w:rPr>
          <w:rFonts w:ascii="Times New Roman;sans-serif" w:hAnsi="Times New Roman;sans-serif"/>
          <w:b/>
          <w:color w:val="000000"/>
          <w:sz w:val="24"/>
        </w:rPr>
        <w:t>Securities Law Information</w:t>
      </w:r>
      <w:r>
        <w:rPr>
          <w:rFonts w:ascii="Times New Roman;sans-serif" w:hAnsi="Times New Roman;sans-serif"/>
          <w:b w:val="false"/>
          <w:color w:val="000000"/>
          <w:sz w:val="24"/>
        </w:rPr>
        <w:t>. The Shares subject to the Stock Units are not and will not be registered with the Colombian registry of publicly traded securities (Registro Nacional de Valores y Emisores) and therefore the Shares may not be offered to the public in Colombia. Nothing in this document should be construed as the making of a public offer of securities in Colombia. An offer of Shares to employees will not be considered a public offer provided that it meets the conditions set forth in Article 6.1.1.1.1 in Decree 2555, 2010.</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Participant is responsible for complying with any and all Colombian foreign exchange restrictions, approvals and reporting requirements in connection with the Stock Units and any Shares acquired or funds received under the Plan. This may include reporting obligations to the Central Bank (Banco de la República). If applicable, Participant will be required to register the investment in Shares with the Central Bank, regardless of the value of the investment. Participant should consult with his or her legal advisor regarding any obligations in connection with this reporting requirement.</w:t>
      </w:r>
    </w:p>
    <w:p>
      <w:pPr>
        <w:pStyle w:val="TextBody"/>
        <w:spacing w:before="0" w:after="0"/>
        <w:rPr/>
      </w:pPr>
      <w:r>
        <w:rPr/>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COSTA RICA</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There are no country-specific provisions.</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CZECH REPUBLIC</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The Czech National Bank may require residents of the Czech Republic to fulfill certain notification duties in relation to the opening and maintenance of a foreign account. In addition, Participant may need to report certain events even in the absence of a request from the Czech National Bank. Because exchange control regulations change frequently and without notice, residents of the Czech Republic should consult with their legal advisor prior to the sale of Shares to ensure compliance with current regulations. It is the Czech resident’s responsibility to comply with Czech exchange control laws, and neither the Company nor the Employer will be liable for any resulting fines or penalties.</w:t>
      </w:r>
    </w:p>
    <w:p>
      <w:pPr>
        <w:pStyle w:val="TextBody"/>
        <w:spacing w:before="0" w:after="240"/>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293370"/>
                <wp:effectExtent l="0" t="0" r="0" b="0"/>
                <wp:wrapNone/>
                <wp:docPr id="142" name="Frame142"/>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DENMARK</w:t>
      </w:r>
    </w:p>
    <w:p>
      <w:pPr>
        <w:pStyle w:val="TextBody"/>
        <w:spacing w:lineRule="auto" w:line="240" w:before="0" w:after="0"/>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color w:val="000000"/>
          <w:sz w:val="24"/>
        </w:rPr>
        <w:t>Danish Stock Option Act</w:t>
      </w:r>
      <w:r>
        <w:rPr>
          <w:rFonts w:ascii="Times New Roman;sans-serif" w:hAnsi="Times New Roman;sans-serif"/>
          <w:b w:val="false"/>
          <w:color w:val="000000"/>
          <w:sz w:val="24"/>
        </w:rPr>
        <w:t xml:space="preserve">. By participating in the Plan, Participant acknowledges that he or she received an Employer Statement translated into Danish, which is being provided to comply with the Danish Stock Option Act to the extent the Danish Stock Option Act applies. </w:t>
      </w:r>
    </w:p>
    <w:p>
      <w:pPr>
        <w:pStyle w:val="TextBody"/>
        <w:spacing w:before="0" w:after="0"/>
        <w:rPr/>
      </w:pPr>
      <w:r>
        <w:rPr/>
      </w:r>
    </w:p>
    <w:p>
      <w:pPr>
        <w:pStyle w:val="TextBody"/>
        <w:spacing w:lineRule="auto" w:line="240" w:before="0" w:after="0"/>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before="0" w:after="0"/>
        <w:rPr/>
      </w:pPr>
      <w:r>
        <w:rPr/>
      </w:r>
    </w:p>
    <w:p>
      <w:pPr>
        <w:pStyle w:val="TextBody"/>
        <w:spacing w:lineRule="auto" w:line="240" w:before="0" w:after="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The establishment of an account holding Shares or an account holding cash outside Denmark must be reported to the Danish Tax Administration. The form which should be used in this respect may be obtained from a local bank. (Please note that these obligations are separate from and in addition to the securities/tax reporting obligations described below.)</w:t>
      </w:r>
    </w:p>
    <w:p>
      <w:pPr>
        <w:pStyle w:val="TextBody"/>
        <w:spacing w:before="0" w:after="0"/>
        <w:rPr/>
      </w:pPr>
      <w:r>
        <w:rPr/>
      </w:r>
    </w:p>
    <w:p>
      <w:pPr>
        <w:pStyle w:val="TextBody"/>
        <w:spacing w:before="0" w:after="0"/>
        <w:rPr/>
      </w:pPr>
      <w:r>
        <w:rPr/>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DOMINICAN REPUBLIC</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There are no country-specific provisions.</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 xml:space="preserve">EGYPT </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If Participant transfers funds into Egypt in connection with the sale of Shares or the receipt of Dividend Equivalents, Participant may be required to do so through a registered bank in Egypt.</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FINLAND</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There are no country-specific provisions.</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FRANCE</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jc w:val="both"/>
        <w:rPr/>
      </w:pPr>
      <w:r>
        <w:rPr>
          <w:rFonts w:ascii="Times New Roman;sans-serif" w:hAnsi="Times New Roman;sans-serif"/>
          <w:b/>
          <w:color w:val="000000"/>
          <w:sz w:val="24"/>
        </w:rPr>
        <w:t>French Language Provision.</w:t>
      </w:r>
      <w:r>
        <w:rPr>
          <w:color w:val="000000"/>
        </w:rPr>
        <w:t xml:space="preserve"> </w:t>
      </w:r>
      <w:r>
        <w:rPr>
          <w:rFonts w:ascii="Times New Roman;sans-serif" w:hAnsi="Times New Roman;sans-serif"/>
          <w:b w:val="false"/>
          <w:color w:val="000000"/>
          <w:sz w:val="24"/>
        </w:rPr>
        <w:t>By accepting the Award Agreement providing for the terms and conditions of Participant’s grant, Participant confirms having read and understood the documents relating to this grant (the Plan and the Award Agreement) which were provided in English language. Participant accepts the terms of those documents accordingly.</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En acceptant le Contrat d’Attribution décrivant les termes et conditions de l’attribution, le participant confirme ainsi avoir lu et compris les documents relatifs à cette attribution (le Plan U.S. et le Contrat d’Attribution) qui ont été communiqués en langue anglaise. Le participant accepte les termes en connaissance de cause.</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Tax Information.</w:t>
      </w:r>
      <w:r>
        <w:rPr>
          <w:color w:val="000000"/>
        </w:rPr>
        <w:t xml:space="preserve"> </w:t>
      </w:r>
      <w:r>
        <w:rPr>
          <w:rFonts w:ascii="Times New Roman;sans-serif" w:hAnsi="Times New Roman;sans-serif"/>
          <w:b w:val="false"/>
          <w:color w:val="000000"/>
          <w:sz w:val="24"/>
        </w:rPr>
        <w:t>The Stock Units are not intended to be French tax-qualified Awards.</w:t>
      </w:r>
    </w:p>
    <w:p>
      <w:pPr>
        <w:pStyle w:val="TextBody"/>
        <w:spacing w:lineRule="auto" w:line="240" w:before="0" w:after="24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 xml:space="preserve">If Participant retains Shares acquired under the Plan outside of France or maintains a foreign bank account, Participant is required to report such to the French tax authorities when filing Participant’s annual tax return. Additional </w:t>
      </w:r>
      <w:r>
        <w:br w:type="page"/>
      </w:r>
    </w:p>
    <w:p>
      <w:pPr>
        <w:pStyle w:val="TextBody"/>
        <w:spacing w:before="0" w:after="0"/>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293370"/>
                <wp:effectExtent l="0" t="0" r="0" b="0"/>
                <wp:wrapNone/>
                <wp:docPr id="143" name="Frame143"/>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monthly reporting obligations may apply if Participant’s foreign account balances exceed €1,000,000.</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GERMANY</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Cross-border payments in excess of €12,500 in connection with the sale of securities (including Shares acquired under the Plan) or the receipt of any dividends must be reported monthly to the German Federal Bank. The report must be made by the 5th day of the month following the month in which the payment was received and must be filed electronically. The form of report (“</w:t>
      </w:r>
      <w:r>
        <w:rPr>
          <w:rFonts w:ascii="Times New Roman;sans-serif" w:hAnsi="Times New Roman;sans-serif"/>
          <w:b w:val="false"/>
          <w:i/>
          <w:color w:val="000000"/>
          <w:sz w:val="24"/>
        </w:rPr>
        <w:t>Allgemeine Meldeportal Statistik</w:t>
      </w:r>
      <w:r>
        <w:rPr>
          <w:color w:val="000000"/>
        </w:rPr>
        <w:t>”</w:t>
      </w:r>
      <w:r>
        <w:rPr>
          <w:rFonts w:ascii="Times New Roman;sans-serif" w:hAnsi="Times New Roman;sans-serif"/>
          <w:b w:val="false"/>
          <w:color w:val="000000"/>
          <w:sz w:val="24"/>
        </w:rPr>
        <w:t xml:space="preserve">) can be accessed via the </w:t>
      </w:r>
      <w:r>
        <w:rPr>
          <w:rFonts w:ascii="Times New Roman;sans-serif" w:hAnsi="Times New Roman;sans-serif"/>
          <w:b w:val="false"/>
          <w:i/>
          <w:color w:val="000000"/>
          <w:sz w:val="24"/>
        </w:rPr>
        <w:t>Bundesbank’s</w:t>
      </w:r>
      <w:r>
        <w:rPr>
          <w:color w:val="000000"/>
        </w:rPr>
        <w:t xml:space="preserve"> </w:t>
      </w:r>
      <w:r>
        <w:rPr>
          <w:rFonts w:ascii="Times New Roman;sans-serif" w:hAnsi="Times New Roman;sans-serif"/>
          <w:b w:val="false"/>
          <w:color w:val="000000"/>
          <w:sz w:val="24"/>
        </w:rPr>
        <w:t>website (</w:t>
      </w:r>
      <w:r>
        <w:rPr>
          <w:rFonts w:ascii="Times New Roman;sans-serif" w:hAnsi="Times New Roman;sans-serif"/>
          <w:b w:val="false"/>
          <w:color w:val="0000FF"/>
          <w:sz w:val="24"/>
          <w:u w:val="single"/>
        </w:rPr>
        <w:t>www.bundesbank.de</w:t>
      </w:r>
      <w:r>
        <w:rPr>
          <w:rFonts w:ascii="Times New Roman;sans-serif" w:hAnsi="Times New Roman;sans-serif"/>
          <w:b w:val="false"/>
          <w:color w:val="000000"/>
          <w:sz w:val="24"/>
        </w:rPr>
        <w:t>) and is available in both German and English. Participant is responsible for satisfying the reporting obligation.</w:t>
      </w:r>
    </w:p>
    <w:p>
      <w:pPr>
        <w:pStyle w:val="TextBody"/>
        <w:spacing w:lineRule="auto" w:line="240" w:before="0" w:after="240"/>
        <w:jc w:val="both"/>
        <w:rPr/>
      </w:pPr>
      <w:r>
        <w:rPr>
          <w:rFonts w:ascii="Times New Roman;sans-serif" w:hAnsi="Times New Roman;sans-serif"/>
          <w:b/>
          <w:color w:val="000000"/>
          <w:sz w:val="24"/>
        </w:rPr>
        <w:t>Foreign Asset / Account Reporting</w:t>
      </w:r>
      <w:r>
        <w:rPr>
          <w:rFonts w:ascii="Times New Roman;sans-serif" w:hAnsi="Times New Roman;sans-serif"/>
          <w:b w:val="false"/>
          <w:color w:val="000000"/>
          <w:sz w:val="24"/>
        </w:rPr>
        <w:t>. German residents holding Shares exceeding 1% of the Company’s total share capital, must notify their local tax office of the acquisition of Shares if the acquisition costs for all Shares held exceeds €150,000 or if the resident holds 10% or more in the Company’s total shares of common stock.</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HONG KONG</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jc w:val="both"/>
        <w:rPr/>
      </w:pPr>
      <w:r>
        <w:rPr>
          <w:rFonts w:ascii="Times New Roman;sans-serif" w:hAnsi="Times New Roman;sans-serif"/>
          <w:b/>
          <w:color w:val="000000"/>
          <w:sz w:val="24"/>
        </w:rPr>
        <w:t>Stock Units Payable Only in Shares.</w:t>
      </w:r>
      <w:r>
        <w:rPr>
          <w:color w:val="000000"/>
        </w:rPr>
        <w:t xml:space="preserve"> </w:t>
      </w:r>
      <w:r>
        <w:rPr>
          <w:rFonts w:ascii="Times New Roman;sans-serif" w:hAnsi="Times New Roman;sans-serif"/>
          <w:b w:val="false"/>
          <w:color w:val="000000"/>
          <w:sz w:val="24"/>
        </w:rPr>
        <w:t>Notwithstanding any discretion in the Plan or anything to the contrary in the Award Agreement, the grant of Stock Units does not provide any right for Participant to receive a cash payment, and the Stock Units are payable in Shares only.</w:t>
      </w:r>
    </w:p>
    <w:p>
      <w:pPr>
        <w:pStyle w:val="TextBody"/>
        <w:spacing w:lineRule="auto" w:line="240" w:before="0" w:after="240"/>
        <w:jc w:val="both"/>
        <w:rPr/>
      </w:pPr>
      <w:r>
        <w:rPr>
          <w:rFonts w:ascii="Times New Roman;sans-serif" w:hAnsi="Times New Roman;sans-serif"/>
          <w:b/>
          <w:color w:val="000000"/>
          <w:sz w:val="24"/>
        </w:rPr>
        <w:t>Sale of Shares.</w:t>
      </w:r>
      <w:r>
        <w:rPr>
          <w:color w:val="000000"/>
        </w:rPr>
        <w:t xml:space="preserve"> </w:t>
      </w:r>
      <w:r>
        <w:rPr>
          <w:rFonts w:ascii="Times New Roman;sans-serif" w:hAnsi="Times New Roman;sans-serif"/>
          <w:b w:val="false"/>
          <w:color w:val="000000"/>
          <w:sz w:val="24"/>
        </w:rPr>
        <w:t>Shares received at vesting are accepted as a personal investment. In the event that the Stock Units vest and Shares are issued to Participant within six months of the Date of Grant, Participant agrees that the Shares will not be offered to the public or otherwise disposed of prior to the six-month anniversary of the Date of Grant.</w:t>
      </w:r>
    </w:p>
    <w:p>
      <w:pPr>
        <w:pStyle w:val="TextBody"/>
        <w:spacing w:lineRule="auto" w:line="240" w:before="0" w:after="240"/>
        <w:jc w:val="both"/>
        <w:rPr/>
      </w:pPr>
      <w:r>
        <w:rPr>
          <w:rFonts w:ascii="Times New Roman;sans-serif" w:hAnsi="Times New Roman;sans-serif"/>
          <w:b/>
          <w:color w:val="000000"/>
          <w:sz w:val="24"/>
        </w:rPr>
        <w:t xml:space="preserve">Securities Law Information. </w:t>
      </w:r>
      <w:r>
        <w:rPr>
          <w:rFonts w:ascii="Times New Roman;sans-serif" w:hAnsi="Times New Roman;sans-serif"/>
          <w:b w:val="false"/>
          <w:i/>
          <w:color w:val="000000"/>
          <w:sz w:val="24"/>
        </w:rPr>
        <w:t>WARNING:</w:t>
      </w:r>
      <w:r>
        <w:rPr>
          <w:color w:val="000000"/>
        </w:rPr>
        <w:t xml:space="preserve"> </w:t>
      </w:r>
      <w:r>
        <w:rPr>
          <w:rFonts w:ascii="Times New Roman;sans-serif" w:hAnsi="Times New Roman;sans-serif"/>
          <w:b w:val="false"/>
          <w:i/>
          <w:color w:val="000000"/>
          <w:sz w:val="24"/>
        </w:rPr>
        <w:t>The grant of Stock Units under the terms of the Award Agreement and the Plan and the issuance of Shares at vesting of Stock Units do not constitute a public offering of securities, and they are available only to Service Providers.</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Please be aware that the contents of the Award Agreement, including this Addendum, and the Plan have not been reviewed by any regulatory authority in Hong Kong. Participant is advised to exercise caution in relation to the right to acquire Shares at vesting of the Stock Units, or otherwise, under the Plan. If Participant is in any doubt about any of the contents of the Award Agreement, including this Addendum, or the Plan, Participant should obtain independent professional advice.</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HUNGARY</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There are no country-specific provisions.</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INDIA</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 xml:space="preserve">Participant must repatriate any cash dividends paid on Shares within one-hundred eighty (180) days and all proceeds received from the sale of Shares to India </w:t>
      </w:r>
      <w:r>
        <w:br w:type="page"/>
      </w:r>
    </w:p>
    <w:p>
      <w:pPr>
        <w:pStyle w:val="TextBody"/>
        <w:spacing w:before="0" w:after="0"/>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293370"/>
                <wp:effectExtent l="0" t="0" r="0" b="0"/>
                <wp:wrapNone/>
                <wp:docPr id="144" name="Frame144"/>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within ninety (90) days of receipt. Participant must obtain evidence of the repatriation of funds in the form of a foreign inward remittance certificate (the “FIRC”) from the bank where Participant deposited the foreign currency. Participant must retain the FIRC in Participant’s records to present to the Reserve Bank of India or Participant’s Employer in the event that proof of repatriation is requested. </w:t>
      </w:r>
    </w:p>
    <w:p>
      <w:pPr>
        <w:pStyle w:val="TextBody"/>
        <w:spacing w:lineRule="auto" w:line="240" w:before="0" w:after="240"/>
        <w:jc w:val="both"/>
        <w:rPr/>
      </w:pPr>
      <w:r>
        <w:rPr>
          <w:rFonts w:ascii="Times New Roman;sans-serif" w:hAnsi="Times New Roman;sans-serif"/>
          <w:b/>
          <w:color w:val="000000"/>
          <w:sz w:val="24"/>
        </w:rPr>
        <w:t>Foreign Asset/Account Reporting Information</w:t>
      </w:r>
      <w:r>
        <w:rPr>
          <w:rFonts w:ascii="Times New Roman;sans-serif" w:hAnsi="Times New Roman;sans-serif"/>
          <w:b w:val="false"/>
          <w:color w:val="000000"/>
          <w:sz w:val="24"/>
        </w:rPr>
        <w:t>. </w:t>
      </w:r>
      <w:r>
        <w:rPr>
          <w:color w:val="000000"/>
        </w:rPr>
        <w:t xml:space="preserve"> </w:t>
      </w:r>
      <w:r>
        <w:rPr>
          <w:rFonts w:ascii="Times New Roman;sans-serif" w:hAnsi="Times New Roman;sans-serif"/>
          <w:b w:val="false"/>
          <w:color w:val="000000"/>
          <w:sz w:val="24"/>
        </w:rPr>
        <w:t>Participant is required to declare his or her foreign bank accounts and any foreign financial assets (including Shares  held outside India) in Participant’s annual tax return.  It is Participant’s responsibility to comply with this reporting obligation and Participant should consult his or her personal advisor in this regard.</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INDONESIA</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If Participant remits funds into Indonesia (</w:t>
      </w:r>
      <w:r>
        <w:rPr>
          <w:rFonts w:ascii="Times New Roman;sans-serif" w:hAnsi="Times New Roman;sans-serif"/>
          <w:b w:val="false"/>
          <w:i/>
          <w:color w:val="000000"/>
          <w:sz w:val="24"/>
        </w:rPr>
        <w:t>e.g</w:t>
      </w:r>
      <w:r>
        <w:rPr>
          <w:rFonts w:ascii="Times New Roman;sans-serif" w:hAnsi="Times New Roman;sans-serif"/>
          <w:b w:val="false"/>
          <w:color w:val="000000"/>
          <w:sz w:val="24"/>
        </w:rPr>
        <w:t>., proceeds from the sale of Shares), the Indonesian Bank through which the transaction is made will submit a report of the transaction to the Bank of Indonesia for statistical reporting purposes. For transactions of US$10,000 or more, a description of the transaction must be included in the report. Although the bank through which the transaction is made is required to make the report, Participant must complete a “Transfer Report Form.” The Transfer Report Form should be provided to Participant by the bank through which the transaction is to be made.</w:t>
      </w:r>
    </w:p>
    <w:p>
      <w:pPr>
        <w:pStyle w:val="TextBody"/>
        <w:spacing w:lineRule="auto" w:line="240" w:before="0" w:after="240"/>
        <w:jc w:val="both"/>
        <w:rPr/>
      </w:pPr>
      <w:r>
        <w:rPr>
          <w:rFonts w:ascii="Times New Roman;sans-serif" w:hAnsi="Times New Roman;sans-serif"/>
          <w:b w:val="false"/>
          <w:color w:val="000000"/>
          <w:sz w:val="24"/>
        </w:rPr>
        <w:t>For foreign currency transactions exceeding US$25,000, the underlying document of that transaction will have to be submitted to the relevant local bank. If there is a change of position in any foreign assets held (including Shares acquired under the Plan), this change in position (</w:t>
      </w:r>
      <w:r>
        <w:rPr>
          <w:rFonts w:ascii="Times New Roman;sans-serif" w:hAnsi="Times New Roman;sans-serif"/>
          <w:b w:val="false"/>
          <w:i/>
          <w:color w:val="000000"/>
          <w:sz w:val="24"/>
        </w:rPr>
        <w:t>e.g.,</w:t>
      </w:r>
      <w:r>
        <w:rPr>
          <w:color w:val="000000"/>
        </w:rPr>
        <w:t xml:space="preserve"> </w:t>
      </w:r>
      <w:r>
        <w:rPr>
          <w:rFonts w:ascii="Times New Roman;sans-serif" w:hAnsi="Times New Roman;sans-serif"/>
          <w:b w:val="false"/>
          <w:color w:val="000000"/>
          <w:sz w:val="24"/>
        </w:rPr>
        <w:t>sale of such shares) must be reported to the Bank of Indonesia no later than the 15th day of the month following the change in position.</w:t>
      </w:r>
    </w:p>
    <w:p>
      <w:pPr>
        <w:pStyle w:val="TextBody"/>
        <w:spacing w:lineRule="auto" w:line="240" w:before="0" w:after="240"/>
        <w:jc w:val="both"/>
        <w:rPr/>
      </w:pPr>
      <w:r>
        <w:rPr>
          <w:rFonts w:ascii="Times New Roman;sans-serif" w:hAnsi="Times New Roman;sans-serif"/>
          <w:b/>
          <w:color w:val="000000"/>
          <w:sz w:val="24"/>
        </w:rPr>
        <w:t>Foreign Asset / Account Reporting Information.</w:t>
      </w:r>
      <w:r>
        <w:rPr>
          <w:color w:val="000000"/>
        </w:rPr>
        <w:t xml:space="preserve"> </w:t>
      </w:r>
      <w:r>
        <w:rPr>
          <w:rFonts w:ascii="Times New Roman;sans-serif" w:hAnsi="Times New Roman;sans-serif"/>
          <w:b w:val="false"/>
          <w:color w:val="000000"/>
          <w:sz w:val="24"/>
        </w:rPr>
        <w:t>Indonesian residents have the obligation to report their worldwide assets (including any foreign bank or brokerage accounts and Shares under the Plan) in their annual individual income tax return.</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IRELAND</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 xml:space="preserve">Director Notification Obligation. </w:t>
      </w:r>
      <w:r>
        <w:rPr>
          <w:rFonts w:ascii="Times New Roman;sans-serif" w:hAnsi="Times New Roman;sans-serif"/>
          <w:b w:val="false"/>
          <w:color w:val="000000"/>
          <w:sz w:val="24"/>
        </w:rPr>
        <w:t>If Participant is a director, shadow director or secretary of an Irish Parent or Subsidiary, and holds 1% or more of the share capital of the Company, Participant must notify the Irish Parent or Subsidiary in writing within five business days of receiving or disposing of an interest in the Company (</w:t>
      </w:r>
      <w:r>
        <w:rPr>
          <w:rFonts w:ascii="Times New Roman;sans-serif" w:hAnsi="Times New Roman;sans-serif"/>
          <w:b w:val="false"/>
          <w:i/>
          <w:color w:val="000000"/>
          <w:sz w:val="24"/>
        </w:rPr>
        <w:t>e.g</w:t>
      </w:r>
      <w:r>
        <w:rPr>
          <w:rFonts w:ascii="Times New Roman;sans-serif" w:hAnsi="Times New Roman;sans-serif"/>
          <w:b w:val="false"/>
          <w:color w:val="000000"/>
          <w:sz w:val="24"/>
        </w:rPr>
        <w:t>., Stock Units, etc.), or within five business days of becoming aware of the event giving rise to the notification requirement or within five days of becoming a director or secretary if such an interest exists at the time. This notification requirement also applies with respect to the interests of a spouse or children under the age of 18 (whose interests will be attributed to the director, shadow director or secretary).</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ISLE OF MAN</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There are no country-specific provisions.</w:t>
      </w:r>
    </w:p>
    <w:p>
      <w:pPr>
        <w:pStyle w:val="TextBody"/>
        <w:spacing w:before="0" w:after="240"/>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293370"/>
                <wp:effectExtent l="0" t="0" r="0" b="0"/>
                <wp:wrapNone/>
                <wp:docPr id="145" name="Frame145"/>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ISRAEL</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The Following Provisions Apply if Participant is Located in Israel on the Date of Grant</w:t>
      </w:r>
    </w:p>
    <w:p>
      <w:pPr>
        <w:pStyle w:val="TextBody"/>
        <w:spacing w:lineRule="auto" w:line="240" w:before="0" w:after="240"/>
        <w:jc w:val="both"/>
        <w:rPr/>
      </w:pPr>
      <w:r>
        <w:rPr>
          <w:rFonts w:ascii="Times New Roman;sans-serif" w:hAnsi="Times New Roman;sans-serif"/>
          <w:b/>
          <w:color w:val="000000"/>
          <w:sz w:val="24"/>
        </w:rPr>
        <w:t>Trust Arrangement</w:t>
      </w:r>
      <w:r>
        <w:rPr>
          <w:rFonts w:ascii="Times New Roman;sans-serif" w:hAnsi="Times New Roman;sans-serif"/>
          <w:b w:val="false"/>
          <w:color w:val="000000"/>
          <w:sz w:val="24"/>
        </w:rPr>
        <w:t>. Participant understands and agrees that the Stock Units are offered subject to and in accordance with the terms of the Plan, the sub-plan to the Plan for Israel (the “</w:t>
      </w:r>
      <w:r>
        <w:rPr>
          <w:rFonts w:ascii="Times New Roman;sans-serif" w:hAnsi="Times New Roman;sans-serif"/>
          <w:b/>
          <w:color w:val="000000"/>
          <w:sz w:val="24"/>
        </w:rPr>
        <w:t>Israeli Sub-Plan</w:t>
      </w:r>
      <w:r>
        <w:rPr>
          <w:color w:val="000000"/>
        </w:rPr>
        <w:t>”</w:t>
      </w:r>
      <w:r>
        <w:rPr>
          <w:rFonts w:ascii="Times New Roman;sans-serif" w:hAnsi="Times New Roman;sans-serif"/>
          <w:b w:val="false"/>
          <w:color w:val="000000"/>
          <w:sz w:val="24"/>
        </w:rPr>
        <w:t>), the Trust Agreement (the “</w:t>
      </w:r>
      <w:r>
        <w:rPr>
          <w:rFonts w:ascii="Times New Roman;sans-serif" w:hAnsi="Times New Roman;sans-serif"/>
          <w:b/>
          <w:color w:val="000000"/>
          <w:sz w:val="24"/>
        </w:rPr>
        <w:t>Trust Agreement</w:t>
      </w:r>
      <w:r>
        <w:rPr>
          <w:color w:val="000000"/>
        </w:rPr>
        <w:t>”</w:t>
      </w:r>
      <w:r>
        <w:rPr>
          <w:rFonts w:ascii="Times New Roman;sans-serif" w:hAnsi="Times New Roman;sans-serif"/>
          <w:b w:val="false"/>
          <w:color w:val="000000"/>
          <w:sz w:val="24"/>
        </w:rPr>
        <w:t>) between the Company and the Company’s trustee appointed by the Company or its subsidiary or affiliate in Israel, ESOP Trust Company (the “</w:t>
      </w:r>
      <w:r>
        <w:rPr>
          <w:rFonts w:ascii="Times New Roman;sans-serif" w:hAnsi="Times New Roman;sans-serif"/>
          <w:b/>
          <w:color w:val="000000"/>
          <w:sz w:val="24"/>
        </w:rPr>
        <w:t>Trustee</w:t>
      </w:r>
      <w:r>
        <w:rPr>
          <w:color w:val="000000"/>
        </w:rPr>
        <w:t>”</w:t>
      </w:r>
      <w:r>
        <w:rPr>
          <w:rFonts w:ascii="Times New Roman;sans-serif" w:hAnsi="Times New Roman;sans-serif"/>
          <w:b w:val="false"/>
          <w:color w:val="000000"/>
          <w:sz w:val="24"/>
        </w:rPr>
        <w:t>), and the Award Agreement. In the event of any inconsistencies between the Israeli Sub-Plan, the Award Agreement and/or the Plan, the Israeli Sub-Plan will govern the Stock Units granted to Participants in Israel.</w:t>
      </w:r>
    </w:p>
    <w:p>
      <w:pPr>
        <w:pStyle w:val="TextBody"/>
        <w:spacing w:lineRule="auto" w:line="240" w:before="0" w:after="240"/>
        <w:jc w:val="both"/>
        <w:rPr/>
      </w:pPr>
      <w:r>
        <w:rPr>
          <w:rFonts w:ascii="Times New Roman;sans-serif" w:hAnsi="Times New Roman;sans-serif"/>
          <w:b/>
          <w:color w:val="000000"/>
          <w:sz w:val="24"/>
        </w:rPr>
        <w:t>Written Acceptance</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If Participant has not already executed a Section 102 Capital Gains Award confirmation letter (“</w:t>
      </w:r>
      <w:r>
        <w:rPr>
          <w:rFonts w:ascii="Times New Roman;sans-serif" w:hAnsi="Times New Roman;sans-serif"/>
          <w:b/>
          <w:color w:val="000000"/>
          <w:sz w:val="24"/>
        </w:rPr>
        <w:t>Confirmation Letter</w:t>
      </w:r>
      <w:r>
        <w:rPr>
          <w:color w:val="000000"/>
        </w:rPr>
        <w:t>”</w:t>
      </w:r>
      <w:r>
        <w:rPr>
          <w:rFonts w:ascii="Times New Roman;sans-serif" w:hAnsi="Times New Roman;sans-serif"/>
          <w:b w:val="false"/>
          <w:color w:val="000000"/>
          <w:sz w:val="24"/>
        </w:rPr>
        <w:t>) in connection with grants made under the Israeli Sub-Plan to the Plan, Participant must print, sign and deliver a signed copy of the Confirmation Letter within forty five (45) days of the Date of Grant. If Participant does not submit the signed Confirmation Letter within forty five (45) days of the Date of Grant, the Stock Units may not qualify for preferential tax treatment.</w:t>
      </w:r>
    </w:p>
    <w:p>
      <w:pPr>
        <w:pStyle w:val="TextBody"/>
        <w:spacing w:lineRule="auto" w:line="240" w:before="0" w:after="240"/>
        <w:jc w:val="both"/>
        <w:rPr/>
      </w:pPr>
      <w:r>
        <w:rPr>
          <w:rFonts w:ascii="Times New Roman;sans-serif" w:hAnsi="Times New Roman;sans-serif"/>
          <w:b/>
          <w:color w:val="000000"/>
          <w:sz w:val="24"/>
        </w:rPr>
        <w:t>Nature of Grant</w:t>
      </w:r>
      <w:r>
        <w:rPr>
          <w:rFonts w:ascii="Times New Roman;sans-serif" w:hAnsi="Times New Roman;sans-serif"/>
          <w:b w:val="false"/>
          <w:color w:val="000000"/>
          <w:sz w:val="24"/>
        </w:rPr>
        <w:t>. The following provision supplements Section 11 of the Award Agreement:</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Stock Units are intended to be 102 Capital Gains Track Grants that qualify for the 102 Capital Gains Track tax treatment. Notwithstanding the foregoing, by accepting the Stock Units, Participant acknowledges that the Company cannot guarantee or represent that the 102 Capital Gains Track tax treatment will apply to the Stock Units.</w:t>
      </w:r>
    </w:p>
    <w:p>
      <w:pPr>
        <w:pStyle w:val="TextBody"/>
        <w:spacing w:lineRule="auto" w:line="240" w:before="0" w:after="240"/>
        <w:jc w:val="both"/>
        <w:rPr/>
      </w:pPr>
      <w:r>
        <w:rPr>
          <w:rFonts w:ascii="Times New Roman;sans-serif" w:hAnsi="Times New Roman;sans-serif"/>
          <w:b w:val="false"/>
          <w:color w:val="000000"/>
          <w:sz w:val="24"/>
        </w:rPr>
        <w:t>By accepting the Stock Units, Participant: (a) acknowledges receipt of and represents that Participant has read and is familiar with the Plan, the Israeli Sub-Plan, and the Award Agreement; (b) accepts the Stock Units subject to all of the terms and conditions of this Award Agreement, the Plan and the Israeli Sub-Plan; and (c) agrees that the Stock Units will be issued to and deposited with the Trustee and shall be held in trust for Participant’s benefit as required by the ITO, the Rules and any approval by the Israeli Tax Authority (“</w:t>
      </w:r>
      <w:r>
        <w:rPr>
          <w:rFonts w:ascii="Times New Roman;sans-serif" w:hAnsi="Times New Roman;sans-serif"/>
          <w:b/>
          <w:color w:val="000000"/>
          <w:sz w:val="24"/>
        </w:rPr>
        <w:t>ITA</w:t>
      </w:r>
      <w:r>
        <w:rPr>
          <w:color w:val="000000"/>
        </w:rPr>
        <w:t>”</w:t>
      </w:r>
      <w:r>
        <w:rPr>
          <w:rFonts w:ascii="Times New Roman;sans-serif" w:hAnsi="Times New Roman;sans-serif"/>
          <w:b w:val="false"/>
          <w:color w:val="000000"/>
          <w:sz w:val="24"/>
        </w:rPr>
        <w:t>) pursuant to the terms of the ITO, the Rules and the Trust Agreement. Furthermore, by accepting the Stock Units, Participant confirms that he or she is familiar with the terms and provisions of Section 102 of the ITO, particularly the Capital Gains Track described in subsection (b)(2) and (b)(3) thereof, and agrees that he or she will not require the Trustee to release the Stock Units or shares of Common Stock to him or her, or to sell the Stock Units or shares of Common Stock to a third party, during the Required Holding Period, unless permitted to do so by the ITO or the Rules.</w:t>
      </w:r>
    </w:p>
    <w:p>
      <w:pPr>
        <w:pStyle w:val="TextBody"/>
        <w:spacing w:lineRule="auto" w:line="240" w:before="0" w:after="240"/>
        <w:jc w:val="both"/>
        <w:rPr/>
      </w:pPr>
      <w:r>
        <w:rPr>
          <w:rFonts w:ascii="Times New Roman;sans-serif" w:hAnsi="Times New Roman;sans-serif"/>
          <w:b/>
          <w:color w:val="000000"/>
          <w:sz w:val="24"/>
        </w:rPr>
        <w:t>Dividend Equivalent Rights Distributions</w:t>
      </w:r>
      <w:r>
        <w:rPr>
          <w:rFonts w:ascii="Times New Roman;sans-serif" w:hAnsi="Times New Roman;sans-serif"/>
          <w:b w:val="false"/>
          <w:color w:val="000000"/>
          <w:sz w:val="24"/>
        </w:rPr>
        <w:t>. The following provision supplements Section 5 of the Award Agreement:</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For the sake of clarity, if Dividend Equivalent Rights are issued as rights to shares of Common Stock, such Dividend Equivalent Units will be deposited with the Trustee and will be subject to the same Section 102 rules under the Israeli Sub-Plan as the Stock Units.</w:t>
      </w:r>
    </w:p>
    <w:p>
      <w:pPr>
        <w:pStyle w:val="TextBody"/>
        <w:spacing w:lineRule="auto" w:line="240" w:before="0" w:after="240"/>
        <w:jc w:val="both"/>
        <w:rPr/>
      </w:pPr>
      <w:r>
        <w:rPr>
          <w:rFonts w:ascii="Times New Roman;sans-serif" w:hAnsi="Times New Roman;sans-serif"/>
          <w:b/>
          <w:color w:val="000000"/>
          <w:sz w:val="24"/>
        </w:rPr>
        <w:t>Withholding Taxes</w:t>
      </w:r>
      <w:r>
        <w:rPr>
          <w:rFonts w:ascii="Times New Roman;sans-serif" w:hAnsi="Times New Roman;sans-serif"/>
          <w:b w:val="false"/>
          <w:color w:val="000000"/>
          <w:sz w:val="24"/>
        </w:rPr>
        <w:t>. The following provision supplements Section 8 of the Award Agreement:</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Participant agrees that he or she shall not be liable for the Employer’s component of payments to the National Insurance Institute unless and to the extent such payments by the Employer are a result of Participant’s election to sell the Shares before the end of the Required Holding Period (if allowed by the ITO and the Rules).</w:t>
      </w:r>
      <w:r>
        <w:br w:type="page"/>
      </w:r>
    </w:p>
    <w:p>
      <w:pPr>
        <w:pStyle w:val="TextBody"/>
        <w:spacing w:before="0" w:after="0"/>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293370"/>
                <wp:effectExtent l="0" t="0" r="0" b="0"/>
                <wp:wrapNone/>
                <wp:docPr id="146" name="Frame146"/>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If the Stock Units vest during the Required Holding Period, the shares of Common Stock issued upon the vesting of such Stock Units shall be issued to and deposited with, or under the supervision of, the Trustee for the benefit of Participant and shall be held in trust as required by the ITO, the Rules and any approval by the ITA. In the event that such vesting occurs after the end of the Required Holding Period, the Shares issued upon the vesting of the Stock Units shall either: (i) be issued to and deposited with, or under the supervision of, the Trustee; or (ii) be transferred to Participant directly upon Participant’s request, provided that Participant first complies with his or her obligations with respect to Tax-Related Items. In the event that Participant elects to have the shares of Common Stock transferred to Participant without selling such shares of Common Stock, Participant shall become liable to pay taxes immediately in accordance with the provisions of the ITO and Section 8 of the Award Agreement, as supplemented by this Addendum.</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Capitalized terms are defined in the Israeli Sub-Plan if not defined in this Addendum.</w:t>
      </w:r>
    </w:p>
    <w:p>
      <w:pPr>
        <w:pStyle w:val="TextBody"/>
        <w:spacing w:lineRule="auto" w:line="240" w:before="0" w:after="240"/>
        <w:jc w:val="both"/>
        <w:rPr/>
      </w:pPr>
      <w:r>
        <w:rPr>
          <w:rFonts w:ascii="Times New Roman;sans-serif" w:hAnsi="Times New Roman;sans-serif"/>
          <w:b/>
          <w:color w:val="000000"/>
          <w:sz w:val="24"/>
        </w:rPr>
        <w:t xml:space="preserve">Immediate Sale Restriction Upon Transfer of Jurisdiction. </w:t>
      </w:r>
      <w:r>
        <w:rPr>
          <w:rFonts w:ascii="Times New Roman;sans-serif" w:hAnsi="Times New Roman;sans-serif"/>
          <w:b w:val="false"/>
          <w:color w:val="000000"/>
          <w:sz w:val="24"/>
        </w:rPr>
        <w:t>Participants transferring into Israel after the Date of Grant may be required to sell their Shares immediately upon vesting of the Stock Units in order to comply with local tax withholding requirements.</w:t>
      </w:r>
      <w:r>
        <w:rPr>
          <w:color w:val="000000"/>
        </w:rPr>
        <w:t xml:space="preserve"> </w:t>
      </w:r>
      <w:r>
        <w:rPr>
          <w:rFonts w:ascii="Times New Roman;sans-serif" w:hAnsi="Times New Roman;sans-serif"/>
          <w:b w:val="false"/>
          <w:color w:val="000000"/>
          <w:sz w:val="24"/>
        </w:rPr>
        <w:t>Participant acknowledges that the Company’s designated broker is under no obligation to arrange for the sale of the Shares at any particular price. Upon the sale of the Shares, the Company agrees to pay the cash proceeds from the sale, less any brokerage fees or commissions, to Participant, provided any liability for Tax-Related Items has been satisfied. Participant understands and agrees that the Company is not responsible for the amount of any loss Participant may incur and that the Company assumes no liability for any fluctuations in the Share price and/or US dollar exchange rate.</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Securities Law Information</w:t>
      </w:r>
      <w:r>
        <w:rPr>
          <w:rFonts w:ascii="Times New Roman;sans-serif" w:hAnsi="Times New Roman;sans-serif"/>
          <w:b w:val="false"/>
          <w:color w:val="000000"/>
          <w:sz w:val="24"/>
        </w:rPr>
        <w:t>. The Company has obtained an exemption to the prospectus filing requirement from the Israeli Securities Authority. Accordingly, Stock Units are granted pursuant to an exemption from filing a prospectus granted to the Company by the Israeli Securities Authority. Copies of the Plan and Form S-8 registration statement for the Plan filed with the U.S. Securities and Exchange Commission are available from the Company.</w:t>
      </w: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293370"/>
                <wp:effectExtent l="0" t="0" r="0" b="0"/>
                <wp:wrapNone/>
                <wp:docPr id="147" name="Frame147"/>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324"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Fortinet, Inc. Letterhead</w:t>
      </w:r>
    </w:p>
    <w:p>
      <w:pPr>
        <w:pStyle w:val="TextBody"/>
        <w:spacing w:before="0" w:after="0"/>
        <w:jc w:val="center"/>
        <w:rPr/>
      </w:pPr>
      <w:r>
        <w:rPr/>
      </w:r>
    </w:p>
    <w:p>
      <w:pPr>
        <w:pStyle w:val="TextBody"/>
        <w:spacing w:lineRule="auto" w:line="324"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Confirmation Letter - 102 Capital Gains Awards</w:t>
      </w:r>
    </w:p>
    <w:p>
      <w:pPr>
        <w:pStyle w:val="TextBody"/>
        <w:spacing w:before="0" w:after="0"/>
        <w:jc w:val="center"/>
        <w:rPr/>
      </w:pPr>
      <w:r>
        <w:rPr/>
      </w:r>
    </w:p>
    <w:p>
      <w:pPr>
        <w:pStyle w:val="TextBody"/>
        <w:spacing w:before="0" w:after="0"/>
        <w:jc w:val="center"/>
        <w:rPr/>
      </w:pPr>
      <w:r>
        <w:rPr/>
      </w:r>
    </w:p>
    <w:p>
      <w:pPr>
        <w:pStyle w:val="TextBody"/>
        <w:spacing w:lineRule="auto" w:line="240" w:before="0" w:after="240"/>
        <w:jc w:val="both"/>
        <w:rPr/>
      </w:pPr>
      <w:r>
        <w:rPr>
          <w:rFonts w:ascii="Times New Roman;sans-serif" w:hAnsi="Times New Roman;sans-serif"/>
          <w:b w:val="false"/>
          <w:color w:val="000000"/>
          <w:sz w:val="24"/>
        </w:rPr>
        <w:t>I undertake and confirm the following (and such undertaking is deemed incorporated into any documents signed by me in connection with the grant of such Awards) with respect to any award of options, Stock Units or other equity-based grants that have been granted to me previously and/or as shall be granted to me in the future by Fortinet, Inc.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whether under the Company’s Amended and Restated 2009 Equity Incentive Plan or other plans maintained by the Company, pursuant to the Capital Gain Track under Section 102(b)(2) or l02(b)(3) of the Israeli Income Tax Ordinance and any regulations and rules promulgated thereunder (“</w:t>
      </w:r>
      <w:r>
        <w:rPr>
          <w:rFonts w:ascii="Times New Roman;sans-serif" w:hAnsi="Times New Roman;sans-serif"/>
          <w:b/>
          <w:color w:val="000000"/>
          <w:sz w:val="24"/>
        </w:rPr>
        <w:t>Section 102</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color w:val="000000"/>
          <w:sz w:val="24"/>
        </w:rPr>
        <w:t>Awards</w:t>
      </w:r>
      <w:r>
        <w:rPr>
          <w:color w:val="000000"/>
        </w:rPr>
        <w:t>”</w:t>
      </w:r>
      <w:r>
        <w:rPr>
          <w:rFonts w:ascii="Times New Roman;sans-serif" w:hAnsi="Times New Roman;sans-serif"/>
          <w:b w:val="false"/>
          <w:color w:val="000000"/>
          <w:sz w:val="24"/>
        </w:rPr>
        <w:t>, respectively).</w:t>
      </w:r>
    </w:p>
    <w:p>
      <w:pPr>
        <w:pStyle w:val="TextBody"/>
        <w:spacing w:lineRule="auto" w:line="240" w:before="0" w:after="240"/>
        <w:ind w:left="0" w:right="0" w:hanging="540"/>
        <w:jc w:val="both"/>
        <w:rPr>
          <w:rFonts w:ascii="Times New Roman;sans-serif" w:hAnsi="Times New Roman;sans-serif"/>
          <w:b w:val="false"/>
          <w:color w:val="000000"/>
          <w:sz w:val="24"/>
        </w:rPr>
      </w:pPr>
      <w:r>
        <w:rPr>
          <w:rFonts w:ascii="Times New Roman;sans-serif" w:hAnsi="Times New Roman;sans-serif"/>
          <w:b w:val="false"/>
          <w:color w:val="000000"/>
          <w:sz w:val="24"/>
        </w:rPr>
        <w:t>1.I understand and accept the provisions of Section 102 in general, and the tax arrangement under the Capital Gain Track in particular, and its tax consequences, as they apply to the Awards;</w:t>
      </w:r>
    </w:p>
    <w:p>
      <w:pPr>
        <w:pStyle w:val="TextBody"/>
        <w:spacing w:lineRule="auto" w:line="240" w:before="0" w:after="240"/>
        <w:ind w:left="0" w:right="0" w:hanging="540"/>
        <w:jc w:val="both"/>
        <w:rPr/>
      </w:pPr>
      <w:r>
        <w:rPr>
          <w:rFonts w:ascii="Times New Roman;sans-serif" w:hAnsi="Times New Roman;sans-serif"/>
          <w:b w:val="false"/>
          <w:color w:val="000000"/>
          <w:sz w:val="24"/>
        </w:rPr>
        <w:t>2.I agree that the Awards and any shares or rights that may be issued upon exercise of the Awards (or otherwise in relation to the Awards), will be held by a trustee appointed pursuant to Section l02 (the “</w:t>
      </w:r>
      <w:r>
        <w:rPr>
          <w:rFonts w:ascii="Times New Roman;sans-serif" w:hAnsi="Times New Roman;sans-serif"/>
          <w:b/>
          <w:color w:val="000000"/>
          <w:sz w:val="24"/>
        </w:rPr>
        <w:t>Trustee</w:t>
      </w:r>
      <w:r>
        <w:rPr>
          <w:color w:val="000000"/>
        </w:rPr>
        <w:t>’’</w:t>
      </w:r>
      <w:r>
        <w:rPr>
          <w:rFonts w:ascii="Times New Roman;sans-serif" w:hAnsi="Times New Roman;sans-serif"/>
          <w:b w:val="false"/>
          <w:color w:val="000000"/>
          <w:sz w:val="24"/>
        </w:rPr>
        <w:t>) for at least the duration of the Holding Period, as defined in Section 102, and I hereby confirm that I shall not release from trust and/or sell such Awards, shares or rights, before the end of the Holding Period. I understand that any release of such Awards, shares or rights from trust, or any sale of any of them prior to the termination of the Holding Period, will result in taxation at marginal tax rates, in addition to deductions of appropriate social security, health tax contributions or other compulsory payments;</w:t>
      </w:r>
    </w:p>
    <w:p>
      <w:pPr>
        <w:pStyle w:val="TextBody"/>
        <w:spacing w:lineRule="auto" w:line="240" w:before="0" w:after="240"/>
        <w:ind w:left="0" w:right="0" w:hanging="540"/>
        <w:jc w:val="both"/>
        <w:rPr>
          <w:rFonts w:ascii="Times New Roman;sans-serif" w:hAnsi="Times New Roman;sans-serif"/>
          <w:b w:val="false"/>
          <w:color w:val="000000"/>
          <w:sz w:val="24"/>
        </w:rPr>
      </w:pPr>
      <w:r>
        <w:rPr>
          <w:rFonts w:ascii="Times New Roman;sans-serif" w:hAnsi="Times New Roman;sans-serif"/>
          <w:b w:val="false"/>
          <w:color w:val="000000"/>
          <w:sz w:val="24"/>
        </w:rPr>
        <w:t>3.I understand that the grant of the Awards is subject to the receipt of all required approvals from the Israeli Tax Authority and compliance with the requirements of Section 102. Accordingly, to the extent that for whatever reason the Awards and underlying shares of common stock shall not be subject to the Capital Gains Route, I shall bear and pay any and all taxes and any other compulsory payments applicable to the grant, exercise, sale or other disposition of Awards or shares.</w:t>
      </w:r>
    </w:p>
    <w:p>
      <w:pPr>
        <w:pStyle w:val="TextBody"/>
        <w:spacing w:lineRule="auto" w:line="240" w:before="0" w:after="240"/>
        <w:ind w:left="0" w:right="0" w:hanging="540"/>
        <w:jc w:val="both"/>
        <w:rPr>
          <w:rFonts w:ascii="Times New Roman;sans-serif" w:hAnsi="Times New Roman;sans-serif"/>
          <w:b w:val="false"/>
          <w:color w:val="000000"/>
          <w:sz w:val="24"/>
        </w:rPr>
      </w:pPr>
      <w:r>
        <w:rPr>
          <w:rFonts w:ascii="Times New Roman;sans-serif" w:hAnsi="Times New Roman;sans-serif"/>
          <w:b w:val="false"/>
          <w:color w:val="000000"/>
          <w:sz w:val="24"/>
        </w:rPr>
        <w:t>4.I agree to be bound by the provisions of the Company’s trust agreement with the Trustee, ESOP Management and Trust Services Ltd., which holds the Awards for my benefit.</w:t>
      </w:r>
    </w:p>
    <w:p>
      <w:pPr>
        <w:pStyle w:val="TextBody"/>
        <w:spacing w:lineRule="auto" w:line="240" w:before="0" w:after="240"/>
        <w:ind w:left="0" w:right="0" w:hanging="540"/>
        <w:jc w:val="both"/>
        <w:rPr>
          <w:rFonts w:ascii="Times New Roman;sans-serif" w:hAnsi="Times New Roman;sans-serif"/>
          <w:b w:val="false"/>
          <w:color w:val="000000"/>
          <w:sz w:val="24"/>
        </w:rPr>
      </w:pPr>
      <w:r>
        <w:rPr>
          <w:rFonts w:ascii="Times New Roman;sans-serif" w:hAnsi="Times New Roman;sans-serif"/>
          <w:b w:val="false"/>
          <w:color w:val="000000"/>
          <w:sz w:val="24"/>
        </w:rPr>
        <w:t>5.I hereby confirm that I have: (i) read and understand this letter; (ii) received all the clarifications and explanations that I have requested; and (iii) had the opportunity to consult with my advisors before signing this confirmation letter.</w:t>
      </w:r>
    </w:p>
    <w:p>
      <w:pPr>
        <w:pStyle w:val="TextBody"/>
        <w:spacing w:lineRule="auto" w:line="240" w:before="0" w:after="240"/>
        <w:ind w:left="0" w:right="0" w:hanging="540"/>
        <w:jc w:val="both"/>
        <w:rPr>
          <w:rFonts w:ascii="Times New Roman;sans-serif" w:hAnsi="Times New Roman;sans-serif"/>
          <w:b w:val="false"/>
          <w:color w:val="000000"/>
          <w:sz w:val="24"/>
        </w:rPr>
      </w:pPr>
      <w:r>
        <w:rPr>
          <w:rFonts w:ascii="Times New Roman;sans-serif" w:hAnsi="Times New Roman;sans-serif"/>
          <w:b w:val="false"/>
          <w:color w:val="000000"/>
          <w:sz w:val="24"/>
        </w:rPr>
        <w:t>6.I hereby confirm that, in addition to my confirmation and agreement hereunder, the acceptance or settlement of any such Awards shall be deemed as irrevocable confirmation of my acknowledgements and undertakings herein with respect to such specific Award.</w:t>
      </w:r>
    </w:p>
    <w:p>
      <w:pPr>
        <w:pStyle w:val="TextBody"/>
        <w:spacing w:lineRule="auto" w:line="240" w:before="0" w:after="240"/>
        <w:ind w:left="0" w:right="0" w:hanging="540"/>
        <w:jc w:val="both"/>
        <w:rPr>
          <w:rFonts w:ascii="Times New Roman;sans-serif" w:hAnsi="Times New Roman;sans-serif"/>
          <w:b w:val="false"/>
          <w:color w:val="000000"/>
          <w:sz w:val="24"/>
        </w:rPr>
      </w:pPr>
      <w:r>
        <w:rPr>
          <w:rFonts w:ascii="Times New Roman;sans-serif" w:hAnsi="Times New Roman;sans-serif"/>
          <w:b w:val="false"/>
          <w:color w:val="000000"/>
          <w:sz w:val="24"/>
        </w:rPr>
        <w:t>7.I declare that I am a resident of the state of Israel for tax purposes and agrees to notify the Company upon any change in the residence address and acknowledges that if I cease to be an Israeli resident or if my engagement with the Company or any affiliate is terminated, the Awards and underlying shares of common stock shall remain subject to Section 102, the trust agreement and the applicable equity plan and grant document.</w:t>
      </w:r>
      <w:r>
        <w:br w:type="page"/>
      </w:r>
    </w:p>
    <w:p>
      <w:pPr>
        <w:pStyle w:val="TextBody"/>
        <w:spacing w:before="0" w:after="0"/>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293370"/>
                <wp:effectExtent l="0" t="0" r="0" b="0"/>
                <wp:wrapNone/>
                <wp:docPr id="148" name="Frame148"/>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ind w:left="0" w:right="0" w:hanging="540"/>
        <w:jc w:val="both"/>
        <w:rPr>
          <w:rFonts w:ascii="Times New Roman;sans-serif" w:hAnsi="Times New Roman;sans-serif"/>
          <w:b w:val="false"/>
          <w:color w:val="000000"/>
          <w:sz w:val="24"/>
        </w:rPr>
      </w:pPr>
      <w:r>
        <w:rPr>
          <w:rFonts w:ascii="Times New Roman;sans-serif" w:hAnsi="Times New Roman;sans-serif"/>
          <w:b w:val="false"/>
          <w:color w:val="000000"/>
          <w:sz w:val="24"/>
        </w:rPr>
        <w:t>8.I understand that this is a one-time Confirmation Letter, and that until Company will determine otherwise, this Confirmation Letter will apply to all future grants of Awards. I hereby confirm that by accepting this Confirmation Letter, I will be deemed to have elected to accept the terms and conditions herein in respect of any such future grant of Awards.</w:t>
      </w:r>
    </w:p>
    <w:p>
      <w:pPr>
        <w:pStyle w:val="TextBody"/>
        <w:spacing w:before="0" w:after="0"/>
        <w:jc w:val="both"/>
        <w:rPr/>
      </w:pPr>
      <w:r>
        <w:rPr/>
      </w:r>
    </w:p>
    <w:p>
      <w:pPr>
        <w:pStyle w:val="TextBody"/>
        <w:spacing w:before="0" w:after="0"/>
        <w:jc w:val="center"/>
        <w:rPr/>
      </w:pPr>
      <w:r>
        <w:rPr/>
      </w:r>
    </w:p>
    <w:p>
      <w:pPr>
        <w:pStyle w:val="TextBody"/>
        <w:spacing w:lineRule="auto" w:line="324" w:before="0" w:after="0"/>
        <w:ind w:left="0" w:right="0" w:hanging="567"/>
        <w:jc w:val="both"/>
        <w:rPr>
          <w:rFonts w:ascii="Times New Roman;sans-serif" w:hAnsi="Times New Roman;sans-serif"/>
          <w:b w:val="false"/>
          <w:color w:val="000000"/>
          <w:sz w:val="24"/>
        </w:rPr>
      </w:pPr>
      <w:r>
        <w:rPr>
          <w:rFonts w:ascii="Times New Roman;sans-serif" w:hAnsi="Times New Roman;sans-serif"/>
          <w:b w:val="false"/>
          <w:color w:val="000000"/>
          <w:sz w:val="24"/>
        </w:rPr>
        <w:t>Sincerely,</w:t>
      </w:r>
    </w:p>
    <w:p>
      <w:pPr>
        <w:pStyle w:val="TextBody"/>
        <w:spacing w:before="0" w:after="0"/>
        <w:ind w:left="0" w:right="0" w:hanging="567"/>
        <w:jc w:val="both"/>
        <w:rPr/>
      </w:pPr>
      <w:r>
        <w:rPr/>
      </w:r>
    </w:p>
    <w:p>
      <w:pPr>
        <w:pStyle w:val="TextBody"/>
        <w:spacing w:lineRule="auto" w:line="324" w:before="0" w:after="0"/>
        <w:ind w:left="0" w:right="0" w:hanging="567"/>
        <w:jc w:val="both"/>
        <w:rPr>
          <w:rFonts w:ascii="Times New Roman;sans-serif" w:hAnsi="Times New Roman;sans-serif"/>
          <w:b w:val="false"/>
          <w:i/>
          <w:color w:val="000000"/>
          <w:sz w:val="24"/>
        </w:rPr>
      </w:pPr>
      <w:r>
        <w:rPr>
          <w:rFonts w:ascii="Times New Roman;sans-serif" w:hAnsi="Times New Roman;sans-serif"/>
          <w:b w:val="false"/>
          <w:i/>
          <w:color w:val="000000"/>
          <w:sz w:val="24"/>
        </w:rPr>
        <w:t>Company Signature</w:t>
      </w:r>
    </w:p>
    <w:p>
      <w:pPr>
        <w:pStyle w:val="TextBody"/>
        <w:spacing w:before="0" w:after="0"/>
        <w:ind w:left="0" w:right="0" w:hanging="567"/>
        <w:jc w:val="both"/>
        <w:rPr/>
      </w:pPr>
      <w:r>
        <w:rPr/>
      </w:r>
    </w:p>
    <w:p>
      <w:pPr>
        <w:pStyle w:val="TextBody"/>
        <w:spacing w:before="0" w:after="0"/>
        <w:ind w:left="0" w:right="0" w:hanging="567"/>
        <w:jc w:val="both"/>
        <w:rPr/>
      </w:pPr>
      <w:r>
        <w:rPr/>
      </w:r>
    </w:p>
    <w:p>
      <w:pPr>
        <w:pStyle w:val="TextBody"/>
        <w:spacing w:before="0" w:after="0"/>
        <w:ind w:left="0" w:right="0" w:hanging="567"/>
        <w:jc w:val="both"/>
        <w:rPr/>
      </w:pPr>
      <w:r>
        <w:rPr/>
      </w:r>
    </w:p>
    <w:p>
      <w:pPr>
        <w:pStyle w:val="TextBody"/>
        <w:spacing w:before="0" w:after="0"/>
        <w:ind w:left="0" w:right="0" w:hanging="567"/>
        <w:jc w:val="both"/>
        <w:rPr/>
      </w:pPr>
      <w:r>
        <w:rPr/>
      </w:r>
    </w:p>
    <w:p>
      <w:pPr>
        <w:pStyle w:val="TextBody"/>
        <w:spacing w:lineRule="auto" w:line="324" w:before="0" w:after="0"/>
        <w:ind w:left="0" w:right="0" w:hanging="567"/>
        <w:jc w:val="both"/>
        <w:rPr>
          <w:rFonts w:ascii="Times New Roman;sans-serif" w:hAnsi="Times New Roman;sans-serif"/>
          <w:b w:val="false"/>
          <w:color w:val="000000"/>
          <w:sz w:val="24"/>
        </w:rPr>
      </w:pPr>
      <w:r>
        <w:rPr>
          <w:rFonts w:ascii="Times New Roman;sans-serif" w:hAnsi="Times New Roman;sans-serif"/>
          <w:b w:val="false"/>
          <w:color w:val="000000"/>
          <w:sz w:val="24"/>
        </w:rPr>
        <w:t>Confirmation:</w:t>
      </w:r>
    </w:p>
    <w:p>
      <w:pPr>
        <w:pStyle w:val="TextBody"/>
        <w:spacing w:before="0" w:after="0"/>
        <w:ind w:left="0" w:right="0" w:hanging="567"/>
        <w:jc w:val="both"/>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of Employee:_______________________________</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ID: ____________________________________________</w:t>
      </w:r>
    </w:p>
    <w:p>
      <w:pPr>
        <w:pStyle w:val="TextBody"/>
        <w:spacing w:before="0" w:after="0"/>
        <w:rPr/>
      </w:pPr>
      <w:r>
        <w:rPr/>
      </w:r>
    </w:p>
    <w:p>
      <w:pPr>
        <w:pStyle w:val="TextBody"/>
        <w:spacing w:lineRule="auto" w:line="324" w:before="0" w:after="0"/>
        <w:ind w:left="0" w:right="0" w:hanging="567"/>
        <w:jc w:val="both"/>
        <w:rPr>
          <w:rFonts w:ascii="Times New Roman;sans-serif" w:hAnsi="Times New Roman;sans-serif"/>
          <w:b w:val="false"/>
          <w:color w:val="000000"/>
          <w:sz w:val="24"/>
        </w:rPr>
      </w:pPr>
      <w:r>
        <w:rPr>
          <w:rFonts w:ascii="Times New Roman;sans-serif" w:hAnsi="Times New Roman;sans-serif"/>
          <w:b w:val="false"/>
          <w:color w:val="000000"/>
          <w:sz w:val="24"/>
        </w:rPr>
        <w:t>Signature:_______________________________________</w:t>
      </w:r>
    </w:p>
    <w:p>
      <w:pPr>
        <w:pStyle w:val="TextBody"/>
        <w:spacing w:before="0" w:after="0"/>
        <w:rPr/>
      </w:pPr>
      <w:r>
        <w:rPr/>
      </w:r>
    </w:p>
    <w:p>
      <w:pPr>
        <w:pStyle w:val="TextBody"/>
        <w:spacing w:before="0" w:after="24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293370"/>
                <wp:effectExtent l="0" t="0" r="0" b="0"/>
                <wp:wrapNone/>
                <wp:docPr id="149" name="Frame149"/>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ITALY</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jc w:val="both"/>
        <w:rPr/>
      </w:pPr>
      <w:r>
        <w:rPr>
          <w:rFonts w:ascii="Times New Roman;sans-serif" w:hAnsi="Times New Roman;sans-serif"/>
          <w:b/>
          <w:color w:val="000000"/>
          <w:sz w:val="24"/>
        </w:rPr>
        <w:t xml:space="preserve">Terms of Grant. </w:t>
      </w:r>
      <w:r>
        <w:rPr>
          <w:rFonts w:ascii="Times New Roman;sans-serif" w:hAnsi="Times New Roman;sans-serif"/>
          <w:b w:val="false"/>
          <w:color w:val="000000"/>
          <w:sz w:val="24"/>
        </w:rPr>
        <w:t>By accepting the Stock Units, Participant acknowledges that (1) Participant has received a copy of the Plan and the Award Agreement, including this Addendum; (2) Participant has reviewed those documents in their entirety and fully understands the contents thereof; and (3) Participant accepts all provisions of the Plan and the Award Agreement, including this Addendum. Participant further acknowledges that Participant has read and specifically and expressly approves, without limitation, the following sections of the Award Agreement: Section 6 – “Forfeiture upon Termination of Status as a Service Provider”; Section 8 – “Withholding of Taxes”; Section 10 – “No Guarantee of Continued Service”; Section 11 – “Nature of Grant”; Section 13 – “Data Privacy” as replaced by the above consent; Section 25 – “Governing Law and Venue”; and Section 26 – “Language.”</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Italian residents who, during the fiscal year, hold investments abroad or foreign financial assets (</w:t>
      </w:r>
      <w:r>
        <w:rPr>
          <w:rFonts w:ascii="Times New Roman;sans-serif" w:hAnsi="Times New Roman;sans-serif"/>
          <w:b w:val="false"/>
          <w:i/>
          <w:color w:val="000000"/>
          <w:sz w:val="24"/>
        </w:rPr>
        <w:t>e.g.</w:t>
      </w:r>
      <w:r>
        <w:rPr>
          <w:rFonts w:ascii="Times New Roman;sans-serif" w:hAnsi="Times New Roman;sans-serif"/>
          <w:b w:val="false"/>
          <w:color w:val="000000"/>
          <w:sz w:val="24"/>
        </w:rPr>
        <w:t>, cash, Shares, Stock Units)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Times New Roman;sans-serif" w:hAnsi="Times New Roman;sans-serif"/>
          <w:b w:val="false"/>
          <w:i/>
          <w:color w:val="000000"/>
          <w:sz w:val="24"/>
        </w:rPr>
        <w:t>e.g.</w:t>
      </w:r>
      <w:r>
        <w:rPr>
          <w:rFonts w:ascii="Times New Roman;sans-serif" w:hAnsi="Times New Roman;sans-serif"/>
          <w:b w:val="false"/>
          <w:color w:val="000000"/>
          <w:sz w:val="24"/>
        </w:rPr>
        <w:t>, cash, Shares, Stock Units), are beneficial owners of the investment pursuant to Italian money laundering provisions.</w:t>
      </w:r>
    </w:p>
    <w:p>
      <w:pPr>
        <w:pStyle w:val="TextBody"/>
        <w:spacing w:lineRule="auto" w:line="240" w:before="0" w:after="240"/>
        <w:jc w:val="both"/>
        <w:rPr/>
      </w:pPr>
      <w:r>
        <w:rPr>
          <w:rFonts w:ascii="Times New Roman;sans-serif" w:hAnsi="Times New Roman;sans-serif"/>
          <w:b/>
          <w:color w:val="000000"/>
          <w:sz w:val="24"/>
        </w:rPr>
        <w:t>Tax on Foreign Financial Assets.</w:t>
      </w:r>
      <w:r>
        <w:rPr>
          <w:color w:val="000000"/>
        </w:rPr>
        <w:t xml:space="preserve"> </w:t>
      </w:r>
      <w:r>
        <w:rPr>
          <w:rFonts w:ascii="Times New Roman;sans-serif" w:hAnsi="Times New Roman;sans-serif"/>
          <w:b w:val="false"/>
          <w:color w:val="000000"/>
          <w:sz w:val="24"/>
        </w:rPr>
        <w:t xml:space="preserve">A tax on the value of financial assets held outside of Italy by individuals resident in Italy will be due. The taxable amount will be the fair market value of the financial assets (including Shares) assessed at the end of each calendar year. </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JAPAN</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If Participant acquires Shares valued at more than ¥100,000,000 in a single transaction, Participant must file a Securities Acquisition Report with the Ministry of Finance through the Bank of Japan within 20 days after the acquisition of the Shares. Participant should consult with their personal tax advisor to ensure they are complying with the applicable reporting requirements.</w:t>
      </w:r>
    </w:p>
    <w:p>
      <w:pPr>
        <w:pStyle w:val="TextBody"/>
        <w:spacing w:lineRule="auto" w:line="240" w:before="0" w:after="240"/>
        <w:jc w:val="both"/>
        <w:rPr/>
      </w:pPr>
      <w:r>
        <w:rPr>
          <w:rFonts w:ascii="Times New Roman;sans-serif" w:hAnsi="Times New Roman;sans-serif"/>
          <w:b/>
          <w:color w:val="000000"/>
          <w:sz w:val="24"/>
        </w:rPr>
        <w:t xml:space="preserve">Foreign Asset / Account Reporting Information. </w:t>
      </w:r>
      <w:r>
        <w:rPr>
          <w:rFonts w:ascii="Times New Roman;sans-serif" w:hAnsi="Times New Roman;sans-serif"/>
          <w:b w:val="false"/>
          <w:color w:val="000000"/>
          <w:sz w:val="24"/>
        </w:rPr>
        <w:t>Japanese residents are required to report details of any assets (including any Shares) held outside of Japan as of December 31 each year, to the extent such assets have a total net fair market value exceeding ¥50,000,000. Such report will be due by March 15 of the following year. Participant is advised to consult with his or her personal tax advisor as to whether the reporting obligation applies to Participant and whether Participant will be required to report details of any Stock Units or Shares that Participant holds.</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KOREA</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Korean residents must declare all foreign financial accounts (</w:t>
      </w:r>
      <w:r>
        <w:rPr>
          <w:rFonts w:ascii="Times New Roman;sans-serif" w:hAnsi="Times New Roman;sans-serif"/>
          <w:b w:val="false"/>
          <w:i/>
          <w:color w:val="000000"/>
          <w:sz w:val="24"/>
        </w:rPr>
        <w:t>e.g.</w:t>
      </w:r>
      <w:r>
        <w:rPr>
          <w:rFonts w:ascii="Times New Roman;sans-serif" w:hAnsi="Times New Roman;sans-serif"/>
          <w:b w:val="false"/>
          <w:color w:val="000000"/>
          <w:sz w:val="24"/>
        </w:rPr>
        <w:t xml:space="preserve">, non-Korean bank accounts, brokerage accounts holding shares) to the Korean tax authority and file a report with respect to such accounts if the value of such accounts exceeds KRW 500 million (or an equivalent amount in foreign currency). Participant should </w:t>
      </w:r>
      <w:r>
        <w:br w:type="page"/>
      </w:r>
    </w:p>
    <w:p>
      <w:pPr>
        <w:pStyle w:val="TextBody"/>
        <w:spacing w:before="0" w:after="0"/>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293370"/>
                <wp:effectExtent l="0" t="0" r="0" b="0"/>
                <wp:wrapNone/>
                <wp:docPr id="150" name="Frame150"/>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consult with his or her personal tax advisor to determine how to value Participant’s foreign accounts for purposes of this reporting requirement and whether Participant is required to file a report with respect to such accounts.</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KUWAIT</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There are no country-specific provisions.</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MALAYSIA</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tbl>
      <w:tblPr>
        <w:tblW w:w="10205" w:type="dxa"/>
        <w:jc w:val="left"/>
        <w:tblInd w:w="0" w:type="dxa"/>
        <w:tblCellMar>
          <w:top w:w="28" w:type="dxa"/>
          <w:left w:w="28" w:type="dxa"/>
          <w:bottom w:w="28" w:type="dxa"/>
          <w:right w:w="28" w:type="dxa"/>
        </w:tblCellMar>
      </w:tblPr>
      <w:tblGrid>
        <w:gridCol w:w="1856"/>
        <w:gridCol w:w="1630"/>
        <w:gridCol w:w="1634"/>
        <w:gridCol w:w="1488"/>
        <w:gridCol w:w="1488"/>
        <w:gridCol w:w="2109"/>
      </w:tblGrid>
      <w:tr>
        <w:trPr/>
        <w:tc>
          <w:tcPr>
            <w:tcW w:w="1856" w:type="dxa"/>
            <w:tcBorders/>
            <w:shd w:fill="auto" w:val="clear"/>
            <w:vAlign w:val="center"/>
          </w:tcPr>
          <w:p>
            <w:pPr>
              <w:pStyle w:val="TableContents"/>
              <w:spacing w:before="0" w:after="283"/>
              <w:rPr>
                <w:sz w:val="4"/>
                <w:szCs w:val="4"/>
              </w:rPr>
            </w:pPr>
            <w:r>
              <w:rPr>
                <w:sz w:val="4"/>
                <w:szCs w:val="4"/>
              </w:rPr>
            </w:r>
          </w:p>
        </w:tc>
        <w:tc>
          <w:tcPr>
            <w:tcW w:w="1630" w:type="dxa"/>
            <w:tcBorders/>
            <w:shd w:fill="auto" w:val="clear"/>
            <w:vAlign w:val="center"/>
          </w:tcPr>
          <w:p>
            <w:pPr>
              <w:pStyle w:val="TableContents"/>
              <w:spacing w:before="0" w:after="283"/>
              <w:rPr>
                <w:sz w:val="4"/>
                <w:szCs w:val="4"/>
              </w:rPr>
            </w:pPr>
            <w:r>
              <w:rPr>
                <w:sz w:val="4"/>
                <w:szCs w:val="4"/>
              </w:rPr>
            </w:r>
          </w:p>
        </w:tc>
        <w:tc>
          <w:tcPr>
            <w:tcW w:w="1634" w:type="dxa"/>
            <w:tcBorders/>
            <w:shd w:fill="auto" w:val="clear"/>
            <w:vAlign w:val="center"/>
          </w:tcPr>
          <w:p>
            <w:pPr>
              <w:pStyle w:val="TableContents"/>
              <w:spacing w:before="0" w:after="283"/>
              <w:rPr>
                <w:sz w:val="4"/>
                <w:szCs w:val="4"/>
              </w:rPr>
            </w:pPr>
            <w:r>
              <w:rPr>
                <w:sz w:val="4"/>
                <w:szCs w:val="4"/>
              </w:rPr>
            </w:r>
          </w:p>
        </w:tc>
        <w:tc>
          <w:tcPr>
            <w:tcW w:w="1488" w:type="dxa"/>
            <w:tcBorders/>
            <w:shd w:fill="auto" w:val="clear"/>
            <w:vAlign w:val="center"/>
          </w:tcPr>
          <w:p>
            <w:pPr>
              <w:pStyle w:val="TableContents"/>
              <w:spacing w:before="0" w:after="283"/>
              <w:rPr>
                <w:sz w:val="4"/>
                <w:szCs w:val="4"/>
              </w:rPr>
            </w:pPr>
            <w:r>
              <w:rPr>
                <w:sz w:val="4"/>
                <w:szCs w:val="4"/>
              </w:rPr>
            </w:r>
          </w:p>
        </w:tc>
        <w:tc>
          <w:tcPr>
            <w:tcW w:w="1488" w:type="dxa"/>
            <w:tcBorders/>
            <w:shd w:fill="auto" w:val="clear"/>
            <w:vAlign w:val="center"/>
          </w:tcPr>
          <w:p>
            <w:pPr>
              <w:pStyle w:val="TableContents"/>
              <w:spacing w:before="0" w:after="283"/>
              <w:rPr>
                <w:sz w:val="4"/>
                <w:szCs w:val="4"/>
              </w:rPr>
            </w:pPr>
            <w:r>
              <w:rPr>
                <w:sz w:val="4"/>
                <w:szCs w:val="4"/>
              </w:rPr>
            </w:r>
          </w:p>
        </w:tc>
        <w:tc>
          <w:tcPr>
            <w:tcW w:w="2109" w:type="dxa"/>
            <w:tcBorders/>
            <w:shd w:fill="auto" w:val="clear"/>
            <w:vAlign w:val="center"/>
          </w:tcPr>
          <w:p>
            <w:pPr>
              <w:pStyle w:val="TableContents"/>
              <w:spacing w:before="0" w:after="283"/>
              <w:rPr>
                <w:sz w:val="4"/>
                <w:szCs w:val="4"/>
              </w:rPr>
            </w:pPr>
            <w:r>
              <w:rPr>
                <w:sz w:val="4"/>
                <w:szCs w:val="4"/>
              </w:rPr>
            </w:r>
          </w:p>
        </w:tc>
      </w:tr>
      <w:tr>
        <w:trPr/>
        <w:tc>
          <w:tcPr>
            <w:tcW w:w="512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720"/>
              <w:jc w:val="both"/>
              <w:rPr>
                <w:rFonts w:ascii="Times New Roman;sans-serif" w:hAnsi="Times New Roman;sans-serif"/>
                <w:b/>
                <w:i/>
                <w:color w:val="000000"/>
                <w:sz w:val="24"/>
              </w:rPr>
            </w:pPr>
            <w:r>
              <w:rPr>
                <w:rFonts w:ascii="Times New Roman;sans-serif" w:hAnsi="Times New Roman;sans-serif"/>
                <w:b/>
                <w:i/>
                <w:color w:val="000000"/>
                <w:sz w:val="24"/>
              </w:rPr>
              <w:t>Participant hereby explicitly and unambiguously consents to the collection, use and transfer, in electronic or other form, of Participant’s personal data as described in this Award Agreement and any other Stock Unit grant materials by and among, as applicable, the Employer, the Company and any Parent or Subsidiary for the exclusive purpose of implementing, administering and managing Participant’s participation in the Plan.</w:t>
            </w:r>
          </w:p>
          <w:p>
            <w:pPr>
              <w:pStyle w:val="TableContents"/>
              <w:spacing w:before="0" w:after="0"/>
              <w:ind w:left="0" w:right="0" w:firstLine="720"/>
              <w:jc w:val="both"/>
              <w:rPr/>
            </w:pPr>
            <w:r>
              <w:rPr/>
            </w:r>
          </w:p>
          <w:p>
            <w:pPr>
              <w:pStyle w:val="TableContents"/>
              <w:spacing w:lineRule="auto" w:line="240" w:before="0" w:after="0"/>
              <w:ind w:left="0" w:right="0" w:firstLine="720"/>
              <w:jc w:val="both"/>
              <w:rPr>
                <w:rFonts w:ascii="Times New Roman;sans-serif" w:hAnsi="Times New Roman;sans-serif"/>
                <w:b/>
                <w:i/>
                <w:color w:val="000000"/>
                <w:sz w:val="24"/>
              </w:rPr>
            </w:pPr>
            <w:r>
              <w:rPr>
                <w:rFonts w:ascii="Times New Roman;sans-serif" w:hAnsi="Times New Roman;sans-serif"/>
                <w:b/>
                <w:i/>
                <w:color w:val="000000"/>
                <w:sz w:val="24"/>
              </w:rPr>
              <w:t xml:space="preserve">Participant understands that the Company and the Employer may hold certain personal information about Participant, including, but not limited to, Participant’s name, home address and telephone number, date of birth, social insurance number or other identification number, salary, nationality, job title, any shares of stock or directorships held in the Company, details of all Stock Units or any other entitlement to shares of stock awarded, canceled, exercised, vested, unvested or outstanding in Participant’s favor (“Data”), for the exclusive purpose of implementing, administering and managing the Plan. The Data is supplied by the Employer and also by Participant through information collected in connection with the Award Agreement and the Plan. </w:t>
            </w:r>
          </w:p>
          <w:p>
            <w:pPr>
              <w:pStyle w:val="TableContents"/>
              <w:spacing w:before="0" w:after="0"/>
              <w:ind w:left="0" w:right="0" w:firstLine="720"/>
              <w:jc w:val="both"/>
              <w:rPr/>
            </w:pPr>
            <w:r>
              <w:rPr/>
            </w:r>
          </w:p>
          <w:p>
            <w:pPr>
              <w:pStyle w:val="TableContents"/>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Participant understands that Data will be transferred toE*TRADE Financial Corporation, or such other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its broker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at Fortinet Malaysia SDN BHD, Suite 33A-02/03, Level 33A, Menara Keck Seng 203, Jalan Bukit Bintang 55100 Kuala Lumpur, Malaysia. Further, Participant understands that he or she is providing the consents herein on a purely voluntary basis. If Participant does not consent, or if Participant later seeks to revoke his or her consent, his or her employment status or service and career with the Employer will not be adversely affected; the only consequence of refusing or withdrawing Participant’s consent is that the Company would not be able to grant Participant Stock Units or other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tc>
        <w:tc>
          <w:tcPr>
            <w:tcW w:w="5085" w:type="dxa"/>
            <w:gridSpan w:val="3"/>
            <w:tcBorders/>
            <w:shd w:fill="auto" w:val="clear"/>
            <w:tcMar>
              <w:top w:w="0" w:type="dxa"/>
              <w:left w:w="0" w:type="dxa"/>
              <w:bottom w:w="0" w:type="dxa"/>
              <w:right w:w="0" w:type="dxa"/>
            </w:tcMar>
            <w:vAlign w:val="center"/>
          </w:tcPr>
          <w:p>
            <w:pPr>
              <w:pStyle w:val="TableContents"/>
              <w:spacing w:lineRule="auto" w:line="240" w:before="0" w:after="240"/>
              <w:jc w:val="both"/>
              <w:rPr>
                <w:color w:val="000000"/>
              </w:rPr>
            </w:pPr>
            <w:r>
              <w:rPr>
                <w:color w:val="000000"/>
              </w:rPr>
              <w:t>    </w:t>
            </w:r>
            <w:r>
              <w:rPr>
                <w:rFonts w:ascii="Times New Roman;sans-serif" w:hAnsi="Times New Roman;sans-serif"/>
                <w:b/>
                <w:i/>
                <w:color w:val="000000"/>
                <w:sz w:val="24"/>
              </w:rPr>
              <w:t>Peserta dengan ini secara eksplisit dan tanpa sebarang keraguan mengizinkan pengumpulan, penggunaan dan pemindahan, dalam bentuk elektronik atau lain-lain, data peribadi Peserta seperti yang dinyatakan dalam Perjanjian Penganugerahan dan apa-apa bahan geran Unit Saham Terbatas yang lain oleh dan di antara, sebagaimana yang berkenaan, Majikan, Syarikat, dan mana-mana Syarikat Induk atau Anak Syarikat untuk tujuan ekslusif bagi pelaksanaan, pentadbiran dan pengurusan penyertaan Peserta dalam Pelan tersebut.</w:t>
            </w:r>
          </w:p>
          <w:p>
            <w:pPr>
              <w:pStyle w:val="TableContents"/>
              <w:spacing w:lineRule="auto" w:line="240" w:before="0" w:after="240"/>
              <w:jc w:val="both"/>
              <w:rPr>
                <w:color w:val="000000"/>
              </w:rPr>
            </w:pPr>
            <w:r>
              <w:rPr>
                <w:color w:val="000000"/>
              </w:rPr>
              <w:t>    </w:t>
            </w:r>
            <w:r>
              <w:rPr>
                <w:rFonts w:ascii="Times New Roman;sans-serif" w:hAnsi="Times New Roman;sans-serif"/>
                <w:b/>
                <w:i/>
                <w:color w:val="000000"/>
                <w:sz w:val="24"/>
              </w:rPr>
              <w:t xml:space="preserve">Peserta memahami bahawa Syarikat dan Majikan mungkin memegang maklumat peribadi tertentu tentang Peserta, termasuk, tetapi tidak terhad kepada, namanya, alamat rumah dan nombor telefon, tarikh lahir, nombor insurans sosial atau nombor pengenalan lain, gaji, kewarganegaraan, jawatan, apa-apa saham atau jawatan pengarah yang dipegang dalam Syarikat, butir-butir semua Unit Saham Terbatas atau apa-apa hak lain untuk syer dalam saham yang dianugerahkan, dibatalkan, dilaksanakan, terletak hak, tidak diletak hak ataupun yang belum dijelaskan bagi faedah Peserta (“Data”), untuk tujuan yang eksklusif bagi melaksanakan, mentadbir dan menguruskan Pelan. Data dibekalkan oleh Majikan dan juga oleh Peserta melalui maklumat yang dikumpul berkenaan dengan Perjanjian Penganugerahan dan Pelan. </w:t>
            </w:r>
          </w:p>
          <w:p>
            <w:pPr>
              <w:pStyle w:val="TableContents"/>
              <w:spacing w:lineRule="auto" w:line="240" w:before="0" w:after="240"/>
              <w:jc w:val="both"/>
              <w:rPr/>
            </w:pPr>
            <w:r>
              <w:rPr>
                <w:color w:val="000000"/>
              </w:rPr>
              <w:t>    </w:t>
            </w:r>
            <w:r>
              <w:rPr>
                <w:rFonts w:ascii="Times New Roman;sans-serif" w:hAnsi="Times New Roman;sans-serif"/>
                <w:b/>
                <w:i/>
                <w:color w:val="000000"/>
                <w:sz w:val="24"/>
              </w:rPr>
              <w:t>Peserta memahami bahawa Data akan dipindah kepadaE*TRADE Financial Corporation, atau pembekal perkhidmatan pelan saham lain yang mungkin dipilih oleh Syarikat pada masa depan yang membantu Syarikat dalam melaksanakan, mentadbir dan menguruskan Pelan tersebut.</w:t>
            </w:r>
            <w:r>
              <w:rPr>
                <w:color w:val="000000"/>
              </w:rPr>
              <w:t xml:space="preserve"> </w:t>
            </w:r>
            <w:r>
              <w:rPr>
                <w:rFonts w:ascii="Times New Roman;sans-serif" w:hAnsi="Times New Roman;sans-serif"/>
                <w:b/>
                <w:i/>
                <w:color w:val="000000"/>
                <w:sz w:val="24"/>
              </w:rPr>
              <w:t>Peserta memahami bahawa penerima-penerima Data mungkin berada di Amerika Syarikat atau di tempat lain, dan bahawa negara penerima (contohnya, Amerika Syarikat) mungkin mempunyai undang-undang privasi data dan perlindungan yang berbeza daripada negara Peserta. Peserta fahami bahawa sekiranya dia menetap di luar Amerika Syarikat, Peserta boleh meminta senarai nama dan alamat mana-mana penerima Data yang berpotensi dengan menghubungi wakil sumber manusia tempatannya. Peserta memberi kuasa kepada Syarikat, brokernya dan mana-mana penerima lain yang mungkin membantu Syarikat (pada masa kini atau masa depan) untuk melaksanakan, mentadbir dan menguruskan Pelan untuk menerima, memiliki, menggunakan, mengekalkan dan memindahkan Data, dalam bentuk elektronik atau lain-lain, dengan tujuan untuk melaksanakan, mentadbir dan menguruskan penyertaan Peserta dalam Pelan. Peserta fahami bahawa Data akan dipegang hanya untuk tempoh yang diperlukan untuk melaksanakan, mentadbir dan menguruskan penyertaan Peserta dalam Pelan. Peserta fahami bahawa sekiranya dia menetap di luar Amerika Syarikat, dia boleh, pada bila-bila masa, melihat Data, meminta maklumat tambahan mengenai penyimpanan dan pemprosesan Data, meminta bahawa pindaan-pindaan yang diperlukan dilaksanakan ke atas Data atau menolak atau menarik balik persetujuan dalam ini, dalam mana-mana kes, tanpa kos, dengan menghubungi secara bertulis wakil sumber manusia tempatannya di Fortinet Malaysia SDN BHD, Suite 33A-02/03, Level 33A, Menara Keck Seng 203, Jalan Bukit Bintang 55100 Kuala Lumpur, Malaysia. Selanjutnya, Peserta memahami bahawa dia memberikan persetujuan di sini secara sukarela. Jika Peserta tidak bersetuju, atau jika Peserta kemudian membatalkan persetujuannya, status pekerjaan atau perkhidmatan dan kerjayanya dengan Majikan tidak akan terjejas; satunya akibat jika dia tidak bersetuju atau menarik balik persetujuannya adalah bahawa Syarikat tidak akan dapat menganugerahkan kepada Peserta Unit Saham Terbatas atau Anugerah lain atau mentadbir atau mengekalkan Anugerah tersebut. Oleh itu, Peserta fahami bahawa keengganan atau penarikan balik persetujuannya boleh menjejaskan keupayaannya untuk mengambil bahagian dalam Pelan. Untuk maklumat lanjut mengenai akibat keengganannya untuk memberikan keizinan atau penarikan balik keizinan, Peserta fahami bahawa dia boleh menghubungi wakil sumber manusia tempatannya.</w:t>
            </w:r>
          </w:p>
        </w:tc>
      </w:tr>
    </w:tbl>
    <w:p>
      <w:pPr>
        <w:pStyle w:val="TextBody"/>
        <w:spacing w:lineRule="auto" w:line="240" w:before="0" w:after="240"/>
        <w:jc w:val="both"/>
        <w:rPr/>
      </w:pPr>
      <w:r>
        <w:rPr>
          <w:rFonts w:ascii="Times New Roman;sans-serif" w:hAnsi="Times New Roman;sans-serif"/>
          <w:b/>
          <w:color w:val="000000"/>
          <w:sz w:val="24"/>
        </w:rPr>
        <w:t>Director Notification Obligation</w:t>
      </w:r>
      <w:r>
        <w:rPr>
          <w:rFonts w:ascii="Times New Roman;sans-serif" w:hAnsi="Times New Roman;sans-serif"/>
          <w:b w:val="false"/>
          <w:color w:val="000000"/>
          <w:sz w:val="24"/>
        </w:rPr>
        <w:t>. If Participant is a director of a Malaysian Parent or Subsidiary, Participant is subject to certain notification requirements under the Malaysian Companies Act. Among these requirements is an obligation to notify the Company’s Malaysian Parent or Subsidiary in writing when Participant receive or dispose of an interest (</w:t>
      </w:r>
      <w:r>
        <w:rPr>
          <w:rFonts w:ascii="Times New Roman;sans-serif" w:hAnsi="Times New Roman;sans-serif"/>
          <w:b w:val="false"/>
          <w:i/>
          <w:color w:val="000000"/>
          <w:sz w:val="24"/>
        </w:rPr>
        <w:t>e.g</w:t>
      </w:r>
      <w:r>
        <w:rPr>
          <w:rFonts w:ascii="Times New Roman;sans-serif" w:hAnsi="Times New Roman;sans-serif"/>
          <w:b w:val="false"/>
          <w:color w:val="000000"/>
          <w:sz w:val="24"/>
        </w:rPr>
        <w:t>., Stock Units or Shares) in the Company or any related company. This notification must be made within 14 days of receiving or disposing of any interest in the Company or any related company.</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MEXICO</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jc w:val="both"/>
        <w:rPr/>
      </w:pPr>
      <w:r>
        <w:rPr>
          <w:rFonts w:ascii="Times New Roman;sans-serif" w:hAnsi="Times New Roman;sans-serif"/>
          <w:b/>
          <w:color w:val="000000"/>
          <w:sz w:val="24"/>
        </w:rPr>
        <w:t xml:space="preserve">No Entitlement or Claims for Compensation. </w:t>
      </w:r>
      <w:r>
        <w:rPr>
          <w:rFonts w:ascii="Times New Roman;sans-serif" w:hAnsi="Times New Roman;sans-serif"/>
          <w:b w:val="false"/>
          <w:color w:val="000000"/>
          <w:sz w:val="24"/>
        </w:rPr>
        <w:t>These provisions supplement Section 11 of the Award Agreement:</w:t>
      </w:r>
    </w:p>
    <w:p>
      <w:pPr>
        <w:pStyle w:val="TextBody"/>
        <w:spacing w:lineRule="auto" w:line="240" w:before="0" w:after="240"/>
        <w:jc w:val="both"/>
        <w:rPr/>
      </w:pPr>
      <w:r>
        <w:rPr>
          <w:rFonts w:ascii="Times New Roman;sans-serif" w:hAnsi="Times New Roman;sans-serif"/>
          <w:b/>
          <w:color w:val="000000"/>
          <w:sz w:val="24"/>
        </w:rPr>
        <w:t xml:space="preserve">Modification. </w:t>
      </w:r>
      <w:r>
        <w:rPr>
          <w:rFonts w:ascii="Times New Roman;sans-serif" w:hAnsi="Times New Roman;sans-serif"/>
          <w:b w:val="false"/>
          <w:color w:val="000000"/>
          <w:sz w:val="24"/>
        </w:rPr>
        <w:t>By accepting the Stock Units, Participant understands and agrees that any modification of the Plan or the Award Agreement or its termination shall not constitute a change or impairment of the terms and conditions of employment.</w:t>
      </w:r>
      <w:r>
        <w:br w:type="page"/>
      </w:r>
    </w:p>
    <w:p>
      <w:pPr>
        <w:pStyle w:val="TextBody"/>
        <w:spacing w:before="0" w:after="0"/>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293370"/>
                <wp:effectExtent l="0" t="0" r="0" b="0"/>
                <wp:wrapNone/>
                <wp:docPr id="151" name="Frame151"/>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both"/>
        <w:rPr/>
      </w:pPr>
      <w:r>
        <w:rPr>
          <w:rFonts w:ascii="Times New Roman;sans-serif" w:hAnsi="Times New Roman;sans-serif"/>
          <w:b/>
          <w:color w:val="000000"/>
          <w:sz w:val="24"/>
        </w:rPr>
        <w:t xml:space="preserve">Policy Statement. </w:t>
      </w:r>
      <w:r>
        <w:rPr>
          <w:rFonts w:ascii="Times New Roman;sans-serif" w:hAnsi="Times New Roman;sans-serif"/>
          <w:b w:val="false"/>
          <w:color w:val="000000"/>
          <w:sz w:val="24"/>
        </w:rPr>
        <w:t>The Award of Stock Units the Company is making under the Plan is unilateral and discretionary and, therefore, the Company reserves the absolute right to amend it and discontinue it at any time without any liability.</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with registered offices at 899 Kifer Road, Sunnyvale, CA 94086, U.S.A., is solely responsible for the administration of the Plan and participation in the Plan and the acquisition of Shares does not, in any way, establish an employment relationship between Participant and the Company since Participant is participating in the Plan on a wholly commercial basis and the sole employer is Fortinet, Inc., located at Prol. Paseo de la Reforma 115 Int. 702, Col. Lomas de Santa Fe, Del. Alvaro Obregon, Mexico, D.F. C.P. 01219, nor does it establish any rights between Participant and the Employer.</w:t>
      </w:r>
    </w:p>
    <w:p>
      <w:pPr>
        <w:pStyle w:val="TextBody"/>
        <w:spacing w:lineRule="auto" w:line="240" w:before="0" w:after="240"/>
        <w:jc w:val="both"/>
        <w:rPr/>
      </w:pPr>
      <w:r>
        <w:rPr>
          <w:rFonts w:ascii="Times New Roman;sans-serif" w:hAnsi="Times New Roman;sans-serif"/>
          <w:b/>
          <w:color w:val="000000"/>
          <w:sz w:val="24"/>
        </w:rPr>
        <w:t>Plan Document Acknowledgment.</w:t>
      </w:r>
      <w:r>
        <w:rPr>
          <w:color w:val="000000"/>
        </w:rPr>
        <w:t xml:space="preserve"> </w:t>
      </w:r>
      <w:r>
        <w:rPr>
          <w:rFonts w:ascii="Times New Roman;sans-serif" w:hAnsi="Times New Roman;sans-serif"/>
          <w:b w:val="false"/>
          <w:color w:val="000000"/>
          <w:sz w:val="24"/>
        </w:rPr>
        <w:t xml:space="preserve">By accepting the Award of Stock Units, Participant acknowledges that Participant has received copies of the Plan, has reviewed the Plan and the Award Agreement in their entirety and fully understands and accepts all provisions of the Plan and the Award Agreement. </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by accepting the Award Agreement, Participant further acknowledges that Participant has read and specifically and expressly approved the terms and conditions in the Award Agreement, in which the following is clearly described and established: (i) participation in the Plan does not constitute an acquired right; (ii) the Plan and participation in the Plan is offered by the Company on a wholly discretionary basis; (iii) participation in the Plan is voluntary; and (iv) the Company and any Parent or Subsidiary are not responsible for any decrease in the value of the Shares underlying the Stock Units.</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Finally, Participant hereby declares that Participant does not reserve any action or right to bring any claim against the Company for any compensation or damages as a result of Participant’s participation in the Plan and therefore grants a full and broad release to the Employer, the Company and any Parent or Subsidiary with respect to any claim that may arise under the Plan.</w:t>
      </w:r>
    </w:p>
    <w:p>
      <w:pPr>
        <w:pStyle w:val="TextBody"/>
        <w:spacing w:lineRule="auto" w:line="240" w:before="0" w:after="240"/>
        <w:jc w:val="both"/>
        <w:rPr>
          <w:rFonts w:ascii="Times New Roman;sans-serif" w:hAnsi="Times New Roman;sans-serif"/>
          <w:b/>
          <w:color w:val="000000"/>
          <w:sz w:val="24"/>
          <w:u w:val="single"/>
        </w:rPr>
      </w:pPr>
      <w:r>
        <w:rPr>
          <w:rFonts w:ascii="Times New Roman;sans-serif" w:hAnsi="Times New Roman;sans-serif"/>
          <w:b/>
          <w:color w:val="000000"/>
          <w:sz w:val="24"/>
          <w:u w:val="single"/>
        </w:rPr>
        <w:t>Spanish Translation</w:t>
      </w:r>
    </w:p>
    <w:p>
      <w:pPr>
        <w:pStyle w:val="TextBody"/>
        <w:spacing w:lineRule="auto" w:line="240" w:before="0" w:after="240"/>
        <w:jc w:val="both"/>
        <w:rPr/>
      </w:pPr>
      <w:r>
        <w:rPr>
          <w:rFonts w:ascii="Times New Roman;sans-serif" w:hAnsi="Times New Roman;sans-serif"/>
          <w:b/>
          <w:i/>
          <w:color w:val="000000"/>
          <w:sz w:val="24"/>
        </w:rPr>
        <w:t>Sin derecho a compensación o reclamaciones por compensación.</w:t>
      </w:r>
      <w:r>
        <w:rPr>
          <w:color w:val="000000"/>
        </w:rPr>
        <w:t xml:space="preserve"> </w:t>
      </w:r>
      <w:r>
        <w:rPr>
          <w:rFonts w:ascii="Times New Roman;sans-serif" w:hAnsi="Times New Roman;sans-serif"/>
          <w:b w:val="false"/>
          <w:i/>
          <w:color w:val="000000"/>
          <w:sz w:val="24"/>
        </w:rPr>
        <w:t>Estas disposiciones complementan el Contrato:</w:t>
      </w:r>
    </w:p>
    <w:p>
      <w:pPr>
        <w:pStyle w:val="TextBody"/>
        <w:spacing w:lineRule="auto" w:line="240" w:before="0" w:after="240"/>
        <w:jc w:val="both"/>
        <w:rPr/>
      </w:pPr>
      <w:r>
        <w:rPr>
          <w:rFonts w:ascii="Times New Roman;sans-serif" w:hAnsi="Times New Roman;sans-serif"/>
          <w:b/>
          <w:i/>
          <w:color w:val="000000"/>
          <w:sz w:val="24"/>
        </w:rPr>
        <w:t>Modificación</w:t>
      </w:r>
      <w:r>
        <w:rPr>
          <w:rFonts w:ascii="Times New Roman;sans-serif" w:hAnsi="Times New Roman;sans-serif"/>
          <w:b/>
          <w:color w:val="000000"/>
          <w:sz w:val="24"/>
        </w:rPr>
        <w:t>.</w:t>
      </w:r>
      <w:r>
        <w:rPr>
          <w:color w:val="000000"/>
        </w:rPr>
        <w:t xml:space="preserve"> </w:t>
      </w:r>
      <w:r>
        <w:rPr>
          <w:rFonts w:ascii="Times New Roman;sans-serif" w:hAnsi="Times New Roman;sans-serif"/>
          <w:b w:val="false"/>
          <w:i/>
          <w:color w:val="000000"/>
          <w:sz w:val="24"/>
        </w:rPr>
        <w:t xml:space="preserve">Al aceptar las Unidades de Acciones Restringidas, el Participante entiende y acuerda que cualquier modificación al Plan o al Contrato o su terminación no constituirá un cambio o perjuicio a los términos y condiciones de empleo. </w:t>
      </w:r>
    </w:p>
    <w:p>
      <w:pPr>
        <w:pStyle w:val="TextBody"/>
        <w:spacing w:lineRule="auto" w:line="240" w:before="0" w:after="240"/>
        <w:jc w:val="both"/>
        <w:rPr/>
      </w:pPr>
      <w:r>
        <w:rPr>
          <w:rFonts w:ascii="Times New Roman;sans-serif" w:hAnsi="Times New Roman;sans-serif"/>
          <w:b/>
          <w:i/>
          <w:color w:val="000000"/>
          <w:sz w:val="24"/>
        </w:rPr>
        <w:t xml:space="preserve">Declaración de Política. </w:t>
      </w:r>
      <w:r>
        <w:rPr>
          <w:rFonts w:ascii="Times New Roman;sans-serif" w:hAnsi="Times New Roman;sans-serif"/>
          <w:b w:val="false"/>
          <w:i/>
          <w:color w:val="000000"/>
          <w:sz w:val="24"/>
        </w:rPr>
        <w:t>El Otorgamiento de Unidades de Acciones Restringidas que la Compañía está haciendo de conformidad con el Plan es unilateral y discrecional y, por lo tanto, la Compañía se reserva el derecho absoluto de modificar y discontinuar el mismo en cualquier momento, sin responsabilidad alguna.</w:t>
      </w:r>
    </w:p>
    <w:p>
      <w:pPr>
        <w:pStyle w:val="TextBody"/>
        <w:spacing w:lineRule="auto" w:line="240" w:before="0" w:after="240"/>
        <w:jc w:val="both"/>
        <w:rPr/>
      </w:pPr>
      <w:r>
        <w:rPr>
          <w:rFonts w:ascii="Times New Roman;sans-serif" w:hAnsi="Times New Roman;sans-serif"/>
          <w:b w:val="false"/>
          <w:i/>
          <w:color w:val="000000"/>
          <w:sz w:val="24"/>
        </w:rPr>
        <w:t>La Compañía, con oficinas registradas ubicadas en 899 Kifer Road, Sunnyvale, CA 94086</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 xml:space="preserve">, EE.UU. es únicamente responsable de la administración del Plan y la participación en el Plan y la adquisición de Acciones no establece, de forma alguna, una relación de trabajo entre el Participante y la Compañía, ya que el Participante participa en el Plan de una forma totalmente comercial y el único patrón </w:t>
      </w:r>
      <w:r>
        <w:rPr>
          <w:rFonts w:ascii="Times New Roman;sans-serif" w:hAnsi="Times New Roman;sans-serif"/>
          <w:b w:val="false"/>
          <w:color w:val="000000"/>
          <w:sz w:val="24"/>
        </w:rPr>
        <w:t>es</w:t>
      </w:r>
      <w:r>
        <w:rPr>
          <w:color w:val="000000"/>
        </w:rPr>
        <w:t xml:space="preserve"> </w:t>
      </w:r>
      <w:r>
        <w:rPr>
          <w:rFonts w:ascii="Times New Roman;sans-serif" w:hAnsi="Times New Roman;sans-serif"/>
          <w:b w:val="false"/>
          <w:i/>
          <w:color w:val="000000"/>
          <w:sz w:val="24"/>
        </w:rPr>
        <w:t>Fortinet, Inc., Prol. Paseo de la Reforma 115 Int. 702, Col. Lomas de Santa Fe, Del. Alvaro Obregon, Mexico, D.F. C.P. 01219,</w:t>
      </w:r>
      <w:r>
        <w:rPr>
          <w:color w:val="000000"/>
        </w:rPr>
        <w:t xml:space="preserve"> </w:t>
      </w:r>
      <w:r>
        <w:rPr>
          <w:rFonts w:ascii="Times New Roman;sans-serif" w:hAnsi="Times New Roman;sans-serif"/>
          <w:b w:val="false"/>
          <w:i/>
          <w:color w:val="000000"/>
          <w:sz w:val="24"/>
        </w:rPr>
        <w:t>y tampoco establece ningún derecho entre el Participante y el Patrón.</w:t>
      </w:r>
    </w:p>
    <w:p>
      <w:pPr>
        <w:pStyle w:val="TextBody"/>
        <w:spacing w:lineRule="auto" w:line="240" w:before="0" w:after="240"/>
        <w:jc w:val="both"/>
        <w:rPr/>
      </w:pPr>
      <w:r>
        <w:rPr>
          <w:rFonts w:ascii="Times New Roman;sans-serif" w:hAnsi="Times New Roman;sans-serif"/>
          <w:b/>
          <w:i/>
          <w:color w:val="000000"/>
          <w:sz w:val="24"/>
        </w:rPr>
        <w:t xml:space="preserve">Reconocimiento del Documento del Plan. </w:t>
      </w:r>
      <w:r>
        <w:rPr>
          <w:rFonts w:ascii="Times New Roman;sans-serif" w:hAnsi="Times New Roman;sans-serif"/>
          <w:b w:val="false"/>
          <w:i/>
          <w:color w:val="000000"/>
          <w:sz w:val="24"/>
        </w:rPr>
        <w:t xml:space="preserve">Al aceptar el Otorgamiento de las Unidades de Acciones Restringidas, el Participante reconoce que el Participante ha recibido copias del Plan, </w:t>
      </w:r>
      <w:r>
        <w:br w:type="page"/>
      </w:r>
    </w:p>
    <w:p>
      <w:pPr>
        <w:pStyle w:val="TextBody"/>
        <w:spacing w:before="0" w:after="0"/>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293370"/>
                <wp:effectExtent l="0" t="0" r="0" b="0"/>
                <wp:wrapNone/>
                <wp:docPr id="152" name="Frame152"/>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 xml:space="preserve">ha revisado el Plan y el Contrato en su totalidad y entiende y acepta completamente todas las disposiciones contenidas en el Plan y en el Contrato. </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 xml:space="preserve">Adicionalmente, al aceptar el Contrato, el Participante reconoce que el Participante ha leído y específica y expresamente ha aprobado los términos y condiciones del Contrato, en el que claramente se ha descrito y establecido que: (i) la participación en el Plan no constituye un derecho adquirido; (ii) el Plan y la participación en el Plan es ofrecida por la Compañía de forma enteramente discrecional; (iii) la participación en el Plan es voluntaria; y (iv) la Compañía, así como su Sociedad Controlante, Subsidiaria no son responsables por cualquier disminución en el valor de las Acciones subyacentes a las Unidades de Acciones Restringidas. </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Finalmente, el Participante en este acto declara que el Participante no se reserva ninguna acción o derecho para interponer cualquier demanda o reclamación en contra de la Compañía por compensación, daño o perjuicio alguno como resultado de su participación en el Plan y, por lo tanto, otorga el más amplio finiquito al Patrón, la Compañía, así como su Sociedad Controlante, Subsidiaria con respecto a cualquier demanda o reclamación que pudiera surgir en virtud del Plan.</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 xml:space="preserve">Securities Law Information. </w:t>
      </w:r>
      <w:r>
        <w:rPr>
          <w:rFonts w:ascii="Times New Roman;sans-serif" w:hAnsi="Times New Roman;sans-serif"/>
          <w:b w:val="false"/>
          <w:color w:val="000000"/>
          <w:sz w:val="24"/>
        </w:rPr>
        <w:t>The Stock Units and any Shares acquired under the Plan have not been registered with the National Register of Securities maintained by the Mexican National Banking and Securities Commission and cannot be offered or sold publicly in Mexico. In addition, the Plan, the Award Agreement and any other document relating to the Stock Units may not be publicly distributed in Mexico. These materials are addressed to Participant because of an existing relationship with the Company and its Parent or Subsidiaries,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the Company or its Parent or Subsidiaries made in accordance with the provisions of the Mexican Securities Market Law, and any rights under such offering shall not be assigned or transferred.</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MOROCCO</w:t>
      </w:r>
    </w:p>
    <w:p>
      <w:pPr>
        <w:pStyle w:val="TextBody"/>
        <w:spacing w:lineRule="auto" w:line="240" w:before="0" w:after="0"/>
        <w:jc w:val="both"/>
        <w:rPr/>
      </w:pPr>
      <w:r>
        <w:rPr>
          <w:rFonts w:ascii="Times New Roman;sans-serif" w:hAnsi="Times New Roman;sans-serif"/>
          <w:b/>
          <w:color w:val="000000"/>
          <w:sz w:val="24"/>
        </w:rPr>
        <w:t>Stock Units Payable Only in Cash</w:t>
      </w:r>
      <w:r>
        <w:rPr>
          <w:rFonts w:ascii="Times New Roman;sans-serif" w:hAnsi="Times New Roman;sans-serif"/>
          <w:b w:val="false"/>
          <w:color w:val="000000"/>
          <w:sz w:val="24"/>
        </w:rPr>
        <w:t>. Notwithstanding Section 2 of the Award Agreement, the grant of Stock Units does not provide any right for Participant to receive Shares. Stock Units granted to Participants in Morocco shall be paid only in cash through local payroll in an amount equal to the value of the Shares on the vesting date less any Tax-Related Items. Participant agrees to bear any currency fluctuation risk between the time the Stock Units vest and the time the cash payment is distributed to Participant through local payroll.</w:t>
      </w:r>
    </w:p>
    <w:p>
      <w:pPr>
        <w:pStyle w:val="TextBody"/>
        <w:spacing w:before="0" w:after="240"/>
        <w:jc w:val="both"/>
        <w:rPr/>
      </w:pPr>
      <w:r>
        <w:rPr/>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NETHERLANDS</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There are no country-specific provisions.</w:t>
      </w:r>
    </w:p>
    <w:p>
      <w:pPr>
        <w:pStyle w:val="TextBody"/>
        <w:spacing w:before="0" w:after="240"/>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293370"/>
                <wp:effectExtent l="0" t="0" r="0" b="0"/>
                <wp:wrapNone/>
                <wp:docPr id="153" name="Frame153"/>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NEW ZEALAND</w:t>
      </w:r>
    </w:p>
    <w:p>
      <w:pPr>
        <w:pStyle w:val="TextBody"/>
        <w:spacing w:lineRule="auto" w:line="240"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color w:val="000000"/>
          <w:sz w:val="24"/>
        </w:rPr>
        <w:t>Securities Law Information</w:t>
      </w:r>
      <w:r>
        <w:rPr>
          <w:rFonts w:ascii="Times New Roman;sans-serif" w:hAnsi="Times New Roman;sans-serif"/>
          <w:b w:val="false"/>
          <w:color w:val="000000"/>
          <w:sz w:val="24"/>
        </w:rPr>
        <w:t>.</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WARNING</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is an offer of Stock Units over Shares which, if vested, will entitle Participant to acquire Shares in accordance with the terms of the Award Agreement and the Plan. Shares, if issued, will give Participant a stake in the ownership of the Company. Participant may receive a return if dividends are paid.</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If the Company runs into financial difficulties and is wound up, Participant will be paid only after all creditors have been paid. Participant may lose some or all of his or her investment, if any.</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New Zealand law normally requires people who offer financial products to give information to investors before they invest. This information is designed to help investors to make an informed decision. The usual rules do not apply to this offer because it is made under an employee share scheme. As a result, Participant may not be given all the information usually required. The Participant will also have fewer other legal protections for this investment. The Participant should ask questions, read all documents carefully, and seek independent financial advice before committing him or herself.</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Shares are quoted on the Nasdaq Global Select Market (“Nasdaq”). This means Participant may be able to sell them on the Nasdaq if there are interested buyers. Participant may get less than he or she invested. The price will depend on the demand for the Shares. </w:t>
      </w:r>
    </w:p>
    <w:p>
      <w:pPr>
        <w:pStyle w:val="TextBody"/>
        <w:spacing w:before="0" w:after="0"/>
        <w:jc w:val="both"/>
        <w:rPr/>
      </w:pPr>
      <w:r>
        <w:rPr/>
      </w:r>
    </w:p>
    <w:p>
      <w:pPr>
        <w:pStyle w:val="TextBody"/>
        <w:spacing w:lineRule="auto" w:line="240" w:before="0" w:after="240"/>
        <w:jc w:val="both"/>
        <w:rPr/>
      </w:pPr>
      <w:r>
        <w:rPr>
          <w:rFonts w:ascii="Times New Roman;sans-serif" w:hAnsi="Times New Roman;sans-serif"/>
          <w:b w:val="false"/>
          <w:color w:val="000000"/>
          <w:sz w:val="24"/>
        </w:rPr>
        <w:t xml:space="preserve">For information on risk factors impacting the Company’s business that may affect the value of the shares of Common Stock, you should refer to the risk factors discussion in the Company’s Annual Report on Form 10-K and Quarterly Reports on Form 10-Q, which are filed with the U.S. Securities and Exchange Commission and are available online at </w:t>
      </w:r>
      <w:r>
        <w:rPr>
          <w:rFonts w:ascii="Times New Roman;sans-serif" w:hAnsi="Times New Roman;sans-serif"/>
          <w:b w:val="false"/>
          <w:color w:val="0000FF"/>
          <w:sz w:val="24"/>
          <w:u w:val="single"/>
        </w:rPr>
        <w:t>www.sec.gov</w:t>
      </w:r>
      <w:r>
        <w:rPr>
          <w:rFonts w:ascii="Times New Roman;sans-serif" w:hAnsi="Times New Roman;sans-serif"/>
          <w:b w:val="false"/>
          <w:color w:val="000000"/>
          <w:sz w:val="24"/>
        </w:rPr>
        <w:t xml:space="preserve">, as well as on the Company’s “Investor Relations” website at </w:t>
      </w:r>
      <w:r>
        <w:rPr>
          <w:rFonts w:ascii="Times New Roman;sans-serif" w:hAnsi="Times New Roman;sans-serif"/>
          <w:b w:val="false"/>
          <w:color w:val="0000FF"/>
          <w:sz w:val="24"/>
          <w:u w:val="single"/>
        </w:rPr>
        <w:t>http://investor.fortinet.com/</w:t>
      </w:r>
      <w:r>
        <w:rPr>
          <w:rFonts w:ascii="Times New Roman;sans-serif" w:hAnsi="Times New Roman;sans-serif"/>
          <w:b w:val="false"/>
          <w:color w:val="000000"/>
          <w:sz w:val="24"/>
        </w:rPr>
        <w:t>.</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NIGERIA</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There are no country-specific provisions.</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NORWAY</w:t>
      </w:r>
    </w:p>
    <w:p>
      <w:pPr>
        <w:pStyle w:val="TextBody"/>
        <w:spacing w:lineRule="auto" w:line="240" w:before="0" w:after="240"/>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In general, Norwegian residents should not be subject to any foreign exchange requirements in connection with the acquisition or sale of Shares under the Plan, except normal reporting requirements to the Norwegian Currency Registry. If the transfer of funds into or out of Norway is made through a Norwegian bank, the bank will make the registration.</w:t>
      </w:r>
    </w:p>
    <w:p>
      <w:pPr>
        <w:pStyle w:val="TextBody"/>
        <w:spacing w:before="0" w:after="240"/>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293370"/>
                <wp:effectExtent l="0" t="0" r="0" b="0"/>
                <wp:wrapNone/>
                <wp:docPr id="154" name="Frame154"/>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PANAMA</w:t>
      </w:r>
    </w:p>
    <w:p>
      <w:pPr>
        <w:pStyle w:val="TextBody"/>
        <w:spacing w:lineRule="auto" w:line="240" w:before="0" w:after="0"/>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before="0" w:after="0"/>
        <w:rPr/>
      </w:pPr>
      <w:r>
        <w:rPr/>
      </w:r>
    </w:p>
    <w:p>
      <w:pPr>
        <w:pStyle w:val="TextBody"/>
        <w:spacing w:lineRule="auto" w:line="240" w:before="0" w:after="0"/>
        <w:jc w:val="both"/>
        <w:rPr/>
      </w:pPr>
      <w:r>
        <w:rPr>
          <w:rFonts w:ascii="Times New Roman;sans-serif" w:hAnsi="Times New Roman;sans-serif"/>
          <w:b/>
          <w:color w:val="000000"/>
          <w:sz w:val="24"/>
        </w:rPr>
        <w:t>Securities Law Information</w:t>
      </w:r>
      <w:r>
        <w:rPr>
          <w:rFonts w:ascii="Times New Roman;sans-serif" w:hAnsi="Times New Roman;sans-serif"/>
          <w:b w:val="false"/>
          <w:color w:val="000000"/>
          <w:sz w:val="24"/>
        </w:rPr>
        <w:t>. The Stock Units and any Shares which may be issued to Participant upon vesting and settlement of the Stock Units are not subject to registration under Panamanian Law as they are not intended for the public, but solely for Participant’s benefit.</w:t>
      </w:r>
    </w:p>
    <w:p>
      <w:pPr>
        <w:pStyle w:val="TextBody"/>
        <w:spacing w:before="0" w:after="0"/>
        <w:jc w:val="both"/>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PERU</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jc w:val="both"/>
        <w:rPr/>
      </w:pPr>
      <w:r>
        <w:rPr>
          <w:rFonts w:ascii="Times New Roman;sans-serif" w:hAnsi="Times New Roman;sans-serif"/>
          <w:b/>
          <w:color w:val="000000"/>
          <w:sz w:val="24"/>
        </w:rPr>
        <w:t xml:space="preserve">Labor Law Acknowledgment. </w:t>
      </w:r>
      <w:r>
        <w:rPr>
          <w:rFonts w:ascii="Times New Roman;sans-serif" w:hAnsi="Times New Roman;sans-serif"/>
          <w:b w:val="false"/>
          <w:color w:val="000000"/>
          <w:sz w:val="24"/>
        </w:rPr>
        <w:t xml:space="preserve">By accepting the Stock Units, Participant acknowledges that the Stock Units are being granted </w:t>
      </w:r>
      <w:r>
        <w:rPr>
          <w:rFonts w:ascii="Times New Roman;sans-serif" w:hAnsi="Times New Roman;sans-serif"/>
          <w:b w:val="false"/>
          <w:i/>
          <w:color w:val="000000"/>
          <w:sz w:val="24"/>
        </w:rPr>
        <w:t>ex gratia</w:t>
      </w:r>
      <w:r>
        <w:rPr>
          <w:color w:val="000000"/>
        </w:rPr>
        <w:t xml:space="preserve"> </w:t>
      </w:r>
      <w:r>
        <w:rPr>
          <w:rFonts w:ascii="Times New Roman;sans-serif" w:hAnsi="Times New Roman;sans-serif"/>
          <w:b w:val="false"/>
          <w:color w:val="000000"/>
          <w:sz w:val="24"/>
        </w:rPr>
        <w:t>with the purpose of rewarding Participant.</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Securities Law Information</w:t>
      </w:r>
      <w:r>
        <w:rPr>
          <w:rFonts w:ascii="Times New Roman;sans-serif" w:hAnsi="Times New Roman;sans-serif"/>
          <w:b w:val="false"/>
          <w:color w:val="000000"/>
          <w:sz w:val="24"/>
        </w:rPr>
        <w:t>. The offer of the Stock Units is considered a private offering in Peru; therefore, it is not subject to registration in Peru.</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PHILIPPINES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color w:val="000000"/>
          <w:sz w:val="24"/>
        </w:rPr>
        <w:t>Stock Units Payable Only in Cash</w:t>
      </w:r>
      <w:r>
        <w:rPr>
          <w:rFonts w:ascii="Times New Roman;sans-serif" w:hAnsi="Times New Roman;sans-serif"/>
          <w:b w:val="false"/>
          <w:color w:val="000000"/>
          <w:sz w:val="24"/>
        </w:rPr>
        <w:t>. Notwithstanding Section 2 of the Award Agreement, each Stock Unit represents the right to receive the cash equivalent of the Fair Market Value of a Share on the date it vests. For the avoidance of doubt, Participant shall not be entitled to receive any Shares pursuant to any vested Stock Units or pursuant to Dividend Equivalents.</w:t>
      </w:r>
    </w:p>
    <w:p>
      <w:pPr>
        <w:pStyle w:val="TextBody"/>
        <w:spacing w:before="0" w:after="0"/>
        <w:rPr/>
      </w:pPr>
      <w:r>
        <w:rPr/>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POLAND</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Participant acknowledges that any transfer of funds in excess of PLN15,000 into or out of Poland must be affected through a bank account in Poland. Participant understands that they are required to store all documents connected with any foreign exchange transactions they engage in for a period of five years, as measured from the end of the year in which such transaction occurred.</w:t>
      </w:r>
    </w:p>
    <w:p>
      <w:pPr>
        <w:pStyle w:val="TextBody"/>
        <w:spacing w:lineRule="auto" w:line="240" w:before="0" w:after="24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Polish residents holding foreign securities (including Shares) and/or maintaining accounts abroad must report information to the National Bank of Poland on transactions and balances of the securities and cash deposited in such accounts if the value of such securities and cash (when combined with all other assets held abroad) exceeds certain thresholds. If required, the reports must be filed on a quarterly basis on special forms available on the website of the National Bank of Poland. Polish residents should consult with their personal tax advisor to determine their personal reporting obligations.</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PORTUGAL</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jc w:val="both"/>
        <w:rPr/>
      </w:pPr>
      <w:r>
        <w:rPr>
          <w:rFonts w:ascii="Times New Roman;sans-serif" w:hAnsi="Times New Roman;sans-serif"/>
          <w:b/>
          <w:color w:val="000000"/>
          <w:sz w:val="24"/>
        </w:rPr>
        <w:t xml:space="preserve">Language Consent. </w:t>
      </w:r>
      <w:r>
        <w:rPr>
          <w:rFonts w:ascii="Times New Roman;sans-serif" w:hAnsi="Times New Roman;sans-serif"/>
          <w:b w:val="false"/>
          <w:color w:val="000000"/>
          <w:sz w:val="24"/>
        </w:rPr>
        <w:t>Participant hereby expressly declares that he or she has full knowledge of the English language and has read, understood and fully accepted and agreed with the terms and conditions established in the Plan and the Award Agreement.</w:t>
      </w:r>
      <w:r>
        <w:br w:type="page"/>
      </w:r>
    </w:p>
    <w:p>
      <w:pPr>
        <w:pStyle w:val="TextBody"/>
        <w:spacing w:before="0" w:after="0"/>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293370"/>
                <wp:effectExtent l="0" t="0" r="0" b="0"/>
                <wp:wrapNone/>
                <wp:docPr id="155" name="Frame155"/>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Conhecimento da Lingua. O Participante pelo presente declara expressamente que tem pleno conhecimento da língua inglesa e que leu, compreendeu e livremente aceitou e concordou com os termos e condições estabelecidas no Plano e no Acordo de Atribuição</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If Participant does not hold the Shares acquired at vesting with a Portuguese financial intermediary, Participant may need to file a report with the Portuguese Central Bank. If the Shares are held by a Portuguese financial intermediary, it will file the report for Participant.</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PUERTO RICO</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There are no country-specific provisions.</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QATAR</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There are no country-specific provisions.</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 xml:space="preserve">ROMANIA </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 xml:space="preserve">If Participant deposits the proceeds from the sale of Shares issued to him or her at vesting and settlement of the Shares or any Dividend Equivalents paid on such Shares in a bank account in Romania, Participant may be required to provide the Romanian bank with appropriate documentation explaining the source of the funds. </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Participant should consult his or her personal advisor to determine whether Participant will be required to submit such documentation to the Romanian bank.</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RUSSIA</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jc w:val="both"/>
        <w:rPr/>
      </w:pPr>
      <w:r>
        <w:rPr>
          <w:rFonts w:ascii="Times New Roman;sans-serif" w:hAnsi="Times New Roman;sans-serif"/>
          <w:b/>
          <w:color w:val="000000"/>
          <w:sz w:val="24"/>
        </w:rPr>
        <w:t>U.S. Transaction.</w:t>
      </w:r>
      <w:r>
        <w:rPr>
          <w:color w:val="000000"/>
        </w:rPr>
        <w:t xml:space="preserve"> </w:t>
      </w:r>
      <w:r>
        <w:rPr>
          <w:rFonts w:ascii="Times New Roman;sans-serif" w:hAnsi="Times New Roman;sans-serif"/>
          <w:b w:val="false"/>
          <w:color w:val="000000"/>
          <w:sz w:val="24"/>
        </w:rPr>
        <w:t xml:space="preserve">The Plan, the Award Agreement, including this Addendum, and all other materials Participant may receive regarding Participant’s participation in the Plan or the grant of Stock Units do not constitute advertising or an offering of securities in Russia. The issuance of Shares acquired at vesting has not and will not be registered in Russia; therefore, such Shares may not be offered or placed in public circulation in Russia. </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 no event will Shares acquired at vesting be delivered to Participant in Russia; all Shares will be maintained on Participant’s behalf in the United States.</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Participant is not permitted to sell Shares acquired at vesting directly to a Russian legal entity or resident.</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Depending on the development of local regulatory requirements, the Company reserves the right to settle the Stock Units in cash and/or to pay any proceeds related to the Stock Units to Participant through local payroll, to postpone the vesting and/or settlement of any Stock Units or to cancel such Stock Units for no consideration.</w:t>
      </w:r>
    </w:p>
    <w:p>
      <w:pPr>
        <w:pStyle w:val="TextBody"/>
        <w:spacing w:lineRule="auto" w:line="240" w:before="0" w:after="240"/>
        <w:jc w:val="both"/>
        <w:rPr/>
      </w:pPr>
      <w:r>
        <w:rPr>
          <w:rFonts w:ascii="Times New Roman;sans-serif" w:hAnsi="Times New Roman;sans-serif"/>
          <w:b/>
          <w:color w:val="000000"/>
          <w:sz w:val="24"/>
        </w:rPr>
        <w:t>Data Privacy.</w:t>
      </w:r>
      <w:r>
        <w:rPr>
          <w:color w:val="000000"/>
        </w:rPr>
        <w:t xml:space="preserve"> </w:t>
      </w:r>
      <w:r>
        <w:rPr>
          <w:rFonts w:ascii="Times New Roman;sans-serif" w:hAnsi="Times New Roman;sans-serif"/>
          <w:b w:val="false"/>
          <w:color w:val="000000"/>
          <w:sz w:val="24"/>
        </w:rPr>
        <w:t>This notification supplements Section 13 of the Award Agreement:</w:t>
      </w:r>
      <w:r>
        <w:br w:type="page"/>
      </w:r>
    </w:p>
    <w:p>
      <w:pPr>
        <w:pStyle w:val="TextBody"/>
        <w:spacing w:before="0" w:after="0"/>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293370"/>
                <wp:effectExtent l="0" t="0" r="0" b="0"/>
                <wp:wrapNone/>
                <wp:docPr id="156" name="Frame156"/>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Participant understands and agrees that he or she must complete and return a Consent to Processing of Personal Data (the “Consent”) form to the Company. Further, Participant understands and agrees that if Participant does not complete and return a Consent form to the Company, the Company will not be able to grant Stock Units to Participant or other awards or administer or maintain such awards. Therefore, Participant understands that refusing to complete a Consent form or withdrawing his or her consent may affect Participant’s ability to participate in the Plan.</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Participant may be required to repatriate certain cash amounts received with respect to the Stock Units to Russia as soon as Participant intends to use those cash amounts for any purpose, including reinvestment. If the repatriation requirement applies, such funds must initially be credited to Participant through a foreign currency account at an authorized bank in Russia. After the funds are initially received in Russia, they may be further remitted to foreign banks in accordance with Russian exchange control laws. Under the Directive N 5371-U of the Russian Central Bank (the “CBR”), the repatriation requirement may not apply in certain cases with respect to cash amounts received in an account that is considered by the CBR to be a foreign brokerage account. Statutory exceptions to the repatriation requirement also may apply. Participant should contact their personal advisor to ensure compliance with the applicable exchange control requirements prior to vesting in the Stock Units and/or selling Shares.</w:t>
      </w:r>
    </w:p>
    <w:p>
      <w:pPr>
        <w:pStyle w:val="TextBody"/>
        <w:spacing w:lineRule="auto" w:line="240" w:before="0" w:after="22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Russian residents are required to report the opening, closing or change of details of any foreign bank or brokerage account to the Russian tax authorities within one (1) month of opening, closing or change of details of such account. Russian residents are also required to report annual cash flow and/or financial assets (e.g., Shares and financial instruments) flow reporting for an offshore brokerage or bank account due by June 1 each year for the previous year. Reporting requirements were further revised to expand the reporting requirement to include financial asset (including Shares) transactions in offshore accounts. Non-compliance with the reporting obligations could impact Participant's ability to vest and receive Shares pursuant to the Stock Units, maintain the account outside of Russia and participate in the Plan. Russian residents should consult with their personal tax advisor for additional information about these reporting obligations.</w:t>
      </w:r>
    </w:p>
    <w:p>
      <w:pPr>
        <w:pStyle w:val="TextBody"/>
        <w:spacing w:lineRule="auto" w:line="240" w:before="0" w:after="220"/>
        <w:jc w:val="both"/>
        <w:rPr/>
      </w:pPr>
      <w:r>
        <w:rPr>
          <w:rFonts w:ascii="Times New Roman;sans-serif" w:hAnsi="Times New Roman;sans-serif"/>
          <w:b/>
          <w:color w:val="000000"/>
          <w:sz w:val="24"/>
        </w:rPr>
        <w:t xml:space="preserve">Anti-Corruption Information. </w:t>
      </w:r>
      <w:r>
        <w:rPr>
          <w:rFonts w:ascii="Times New Roman;sans-serif" w:hAnsi="Times New Roman;sans-serif"/>
          <w:b w:val="false"/>
          <w:color w:val="000000"/>
          <w:sz w:val="24"/>
        </w:rPr>
        <w:t>Anti-corruption laws prohibit certain public servants, their spouses and their dependent children from owning any foreign source financial instruments (</w:t>
      </w:r>
      <w:r>
        <w:rPr>
          <w:rFonts w:ascii="Times New Roman;sans-serif" w:hAnsi="Times New Roman;sans-serif"/>
          <w:b w:val="false"/>
          <w:i/>
          <w:color w:val="000000"/>
          <w:sz w:val="24"/>
        </w:rPr>
        <w:t>e.g.</w:t>
      </w:r>
      <w:r>
        <w:rPr>
          <w:rFonts w:ascii="Times New Roman;sans-serif" w:hAnsi="Times New Roman;sans-serif"/>
          <w:b w:val="false"/>
          <w:color w:val="000000"/>
          <w:sz w:val="24"/>
        </w:rPr>
        <w:t>, shares of foreign companies such as the Company). Accordingly, Participant should inform the Company if he or she is covered by these laws because Participant should not hold Shares acquired under the Plan.</w:t>
      </w:r>
    </w:p>
    <w:p>
      <w:pPr>
        <w:pStyle w:val="TextBody"/>
        <w:spacing w:lineRule="auto" w:line="240" w:before="0" w:after="240"/>
        <w:jc w:val="both"/>
        <w:rPr/>
      </w:pPr>
      <w:r>
        <w:rPr>
          <w:rFonts w:ascii="Times New Roman;sans-serif" w:hAnsi="Times New Roman;sans-serif"/>
          <w:b/>
          <w:color w:val="000000"/>
          <w:sz w:val="24"/>
        </w:rPr>
        <w:t xml:space="preserve">Labor Law Information. </w:t>
      </w:r>
      <w:r>
        <w:rPr>
          <w:rFonts w:ascii="Times New Roman;sans-serif" w:hAnsi="Times New Roman;sans-serif"/>
          <w:b w:val="false"/>
          <w:color w:val="000000"/>
          <w:sz w:val="24"/>
        </w:rPr>
        <w:t>If Participant continues to hold Shares acquired at vesting of the RSUs after an involuntary termination of status as a Service Provider, Participant may not be eligible to receive unemployment benefits in Russia.</w:t>
      </w:r>
    </w:p>
    <w:p>
      <w:pPr>
        <w:pStyle w:val="TextBody"/>
        <w:spacing w:before="0" w:after="240"/>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293370"/>
                <wp:effectExtent l="0" t="0" r="0" b="0"/>
                <wp:wrapNone/>
                <wp:docPr id="157" name="Frame157"/>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SAUDI ARABIA</w:t>
      </w:r>
    </w:p>
    <w:p>
      <w:pPr>
        <w:pStyle w:val="TextBody"/>
        <w:spacing w:lineRule="auto" w:line="240"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before="0" w:after="0"/>
        <w:jc w:val="both"/>
        <w:rPr/>
      </w:pPr>
      <w:r>
        <w:rPr/>
      </w:r>
    </w:p>
    <w:p>
      <w:pPr>
        <w:pStyle w:val="TextBody"/>
        <w:spacing w:lineRule="auto" w:line="240" w:before="0" w:after="240"/>
        <w:jc w:val="both"/>
        <w:rPr/>
      </w:pPr>
      <w:r>
        <w:rPr>
          <w:rFonts w:ascii="Times New Roman;sans-serif" w:hAnsi="Times New Roman;sans-serif"/>
          <w:b/>
          <w:color w:val="000000"/>
          <w:sz w:val="24"/>
        </w:rPr>
        <w:t>Stock Units Payable Only in Cash</w:t>
      </w:r>
      <w:r>
        <w:rPr>
          <w:rFonts w:ascii="Times New Roman;sans-serif" w:hAnsi="Times New Roman;sans-serif"/>
          <w:b w:val="false"/>
          <w:color w:val="000000"/>
          <w:sz w:val="24"/>
        </w:rPr>
        <w:t>. Notwithstanding Section 2 of the Award Agreement, the grant of Stock Units does not provide any right for Participant to receive Shares. Stock Units granted to Participants in Saudi Arabia shall be paid only in cash through local payroll in an amount equal to the value of the Shares on the vesting date less any Tax-Related Items. Participant agrees to bear any currency fluctuation risk between the time the Stock Units vest and the time the cash payment is distributed to Participant through local payroll.</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SINGAPORE</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jc w:val="both"/>
        <w:rPr/>
      </w:pPr>
      <w:r>
        <w:rPr>
          <w:rFonts w:ascii="Times New Roman;sans-serif" w:hAnsi="Times New Roman;sans-serif"/>
          <w:b/>
          <w:i/>
          <w:color w:val="000000"/>
          <w:sz w:val="24"/>
        </w:rPr>
        <w:t>Sale Restriction.</w:t>
      </w:r>
      <w:r>
        <w:rPr>
          <w:color w:val="000000"/>
        </w:rPr>
        <w:t xml:space="preserve"> </w:t>
      </w:r>
      <w:r>
        <w:rPr>
          <w:rFonts w:ascii="Times New Roman;sans-serif" w:hAnsi="Times New Roman;sans-serif"/>
          <w:b w:val="false"/>
          <w:color w:val="000000"/>
          <w:sz w:val="24"/>
        </w:rPr>
        <w:t>Participant agrees that any Shares acquired pursuant to the Stock Units will not be offered for sale in Singapore prior to the six-month anniversary of the Date of Grant unless such sale or offer is made pursuant to the exemptions under Part XIII Division (1) Subdivision (4) (other than section 280) of the Securities and Futures Act (Chapter 289, 2006 Ed.) (“SFA”), or pursuant to, and in accordance with the conditions of, any other applicable provisions of the SFA.</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i/>
          <w:color w:val="000000"/>
          <w:sz w:val="24"/>
        </w:rPr>
        <w:t>Securities Law Information.</w:t>
      </w:r>
      <w:r>
        <w:rPr>
          <w:color w:val="000000"/>
        </w:rPr>
        <w:t xml:space="preserve"> </w:t>
      </w:r>
      <w:r>
        <w:rPr>
          <w:rFonts w:ascii="Times New Roman;sans-serif" w:hAnsi="Times New Roman;sans-serif"/>
          <w:b w:val="false"/>
          <w:color w:val="000000"/>
          <w:sz w:val="24"/>
        </w:rPr>
        <w:t>The grant of Stock Units is being made to Participant in reliance on the “Qualifying Person” exemption of the SFA under which it is exempt from the prospectus and registration requirements and is not made with a view to the underlying Shares being subsequently offered for sale to any other party. The Plan has not been and will not be lodged or registered as a prospectus with the Monetary Authority of Singapore.</w:t>
      </w:r>
    </w:p>
    <w:p>
      <w:pPr>
        <w:pStyle w:val="TextBody"/>
        <w:spacing w:lineRule="auto" w:line="240" w:before="0" w:after="240"/>
        <w:jc w:val="both"/>
        <w:rPr/>
      </w:pPr>
      <w:r>
        <w:rPr>
          <w:rFonts w:ascii="Times New Roman;sans-serif" w:hAnsi="Times New Roman;sans-serif"/>
          <w:b/>
          <w:color w:val="000000"/>
          <w:sz w:val="24"/>
        </w:rPr>
        <w:t xml:space="preserve">Chief Executive Officer and Director Notification Obligation. </w:t>
      </w:r>
      <w:r>
        <w:rPr>
          <w:rFonts w:ascii="Times New Roman;sans-serif" w:hAnsi="Times New Roman;sans-serif"/>
          <w:b w:val="false"/>
          <w:color w:val="000000"/>
          <w:sz w:val="24"/>
        </w:rPr>
        <w:t>If Participant is the Chief Executive Office (“CEO”) or a director, associate director or shadow director of a Singapore Parent, Subsidiary or Affiliate, Participant understands that Participant is subject to certain notification requirements under the Singapore Companies Act. Participant acknowledges that Participant must notify the Singapore Parent, Subsidiary or Affiliate in writing of an interest (</w:t>
      </w:r>
      <w:r>
        <w:rPr>
          <w:rFonts w:ascii="Times New Roman;sans-serif" w:hAnsi="Times New Roman;sans-serif"/>
          <w:b w:val="false"/>
          <w:i/>
          <w:color w:val="000000"/>
          <w:sz w:val="24"/>
        </w:rPr>
        <w:t>e.g.</w:t>
      </w:r>
      <w:r>
        <w:rPr>
          <w:rFonts w:ascii="Times New Roman;sans-serif" w:hAnsi="Times New Roman;sans-serif"/>
          <w:b w:val="false"/>
          <w:color w:val="000000"/>
          <w:sz w:val="24"/>
        </w:rPr>
        <w:t>, unvested Stock Units, Shares, etc.) in the Company or any Parent or Subsidiary within two (2) business days of (i) its acquisition or disposal, (ii) any change in previously disclosed interest (</w:t>
      </w:r>
      <w:r>
        <w:rPr>
          <w:rFonts w:ascii="Times New Roman;sans-serif" w:hAnsi="Times New Roman;sans-serif"/>
          <w:b w:val="false"/>
          <w:i/>
          <w:color w:val="000000"/>
          <w:sz w:val="24"/>
        </w:rPr>
        <w:t>e.g.</w:t>
      </w:r>
      <w:r>
        <w:rPr>
          <w:rFonts w:ascii="Times New Roman;sans-serif" w:hAnsi="Times New Roman;sans-serif"/>
          <w:b w:val="false"/>
          <w:color w:val="000000"/>
          <w:sz w:val="24"/>
        </w:rPr>
        <w:t>, when Shares acquired at vesting are sold), or (iii) becoming the CEO and/or a director, if Participant holds such an interest at the time.</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SLOVAKIA</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Foreign Asset/Account Reporting Information</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If Participant permanently resides in the Slovak Republic and, apart from being employed, carries on business activities as an independent entrepreneur (in Slovakian, </w:t>
      </w:r>
      <w:r>
        <w:rPr>
          <w:rFonts w:ascii="Times New Roman;sans-serif" w:hAnsi="Times New Roman;sans-serif"/>
          <w:b w:val="false"/>
          <w:i/>
          <w:color w:val="000000"/>
          <w:sz w:val="24"/>
        </w:rPr>
        <w:t>podnikatel</w:t>
      </w:r>
      <w:r>
        <w:rPr>
          <w:rFonts w:ascii="Times New Roman;sans-serif" w:hAnsi="Times New Roman;sans-serif"/>
          <w:b w:val="false"/>
          <w:color w:val="000000"/>
          <w:sz w:val="24"/>
        </w:rPr>
        <w:t xml:space="preserve">), Participant will be obligated to report his or her foreign assets (including Shares) to the National Bank of Slovakia (provided that the value of the foreign assets exceeds an amount of €2,000,000). </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SLOVENIA</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There are no country-specific provisions.</w:t>
      </w:r>
      <w:r>
        <w:br w:type="page"/>
      </w:r>
    </w:p>
    <w:p>
      <w:pPr>
        <w:pStyle w:val="TextBody"/>
        <w:spacing w:before="0" w:after="0"/>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293370"/>
                <wp:effectExtent l="0" t="0" r="0" b="0"/>
                <wp:wrapNone/>
                <wp:docPr id="158" name="Frame158"/>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SOUTH AFRICA</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jc w:val="both"/>
        <w:rPr/>
      </w:pPr>
      <w:r>
        <w:rPr>
          <w:rFonts w:ascii="Times New Roman;sans-serif" w:hAnsi="Times New Roman;sans-serif"/>
          <w:b/>
          <w:color w:val="000000"/>
          <w:sz w:val="24"/>
        </w:rPr>
        <w:t>Withholding Taxes.</w:t>
      </w:r>
      <w:r>
        <w:rPr>
          <w:color w:val="000000"/>
        </w:rPr>
        <w:t xml:space="preserve"> </w:t>
      </w:r>
      <w:r>
        <w:rPr>
          <w:rFonts w:ascii="Times New Roman;sans-serif" w:hAnsi="Times New Roman;sans-serif"/>
          <w:b w:val="false"/>
          <w:color w:val="000000"/>
          <w:sz w:val="24"/>
        </w:rPr>
        <w:t>This provision supplements Section 7 of the Award Agreement:</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By accepting the Stock Units, Participant agrees to immediately notify the Employer of the amount of any gain realized upon vesting of the Stock Units. If Participant fails to advise the Employer of the gain realized at vesting, Participant may be liable for a fine. Participant will be responsible for paying any difference between the actual tax liability and the amount withheld.</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 xml:space="preserve">Participant is responsible for complying with applicable South African exchange control regulations. Since the exchange control regulations change frequently and without notice, Participant should consult Participant’s legal advisor prior to the acquisition or sale of Shares acquired under the Plan to ensure compliance with current regulations. As noted, it is Participant’s responsibility to comply with South African exchange control laws, and neither the Company nor any Parent or Subsidiary will be liable for any fines or penalties resulting from Participant’s failure to comply with applicable laws. </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SPAIN</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jc w:val="both"/>
        <w:rPr/>
      </w:pPr>
      <w:r>
        <w:rPr>
          <w:rFonts w:ascii="Times New Roman;sans-serif" w:hAnsi="Times New Roman;sans-serif"/>
          <w:b/>
          <w:color w:val="000000"/>
          <w:sz w:val="24"/>
        </w:rPr>
        <w:t xml:space="preserve">Nature of Grant. </w:t>
      </w:r>
      <w:r>
        <w:rPr>
          <w:rFonts w:ascii="Times New Roman;sans-serif" w:hAnsi="Times New Roman;sans-serif"/>
          <w:b w:val="false"/>
          <w:color w:val="000000"/>
          <w:sz w:val="24"/>
        </w:rPr>
        <w:t>This provision supplements Section 10 of the Award Agreement:</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By accepting the Stock Units, Participant consents to participation in the Plan and acknowledges that Participant has received a copy of the Plan.</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Participant understands that the Company has unilaterally, gratuitously, and in its sole discretion decided to grant Stock Units under the Plan to individuals who may be Service Providers throughout the world. The decision is a limited decision that is entered into upon the express assumption and condition that any grant will not bind the Company or any Parent or Subsidiary, other than to the extent set forth in this Award Agreement. Consequently, Participant understands that the Stock Units are granted on the assumption and condition that the Stock Units and any Shares acquired at vesting of the Stock Units are not part of any employment or service contract (either with the Company or any Parent or Subsidiary), and shall not be considered a mandatory benefit, salary for any purposes (including severance compensation), or any other right whatsoever. In addition, Participant understands that this grant would not be made but for the assumptions and conditions referred to above; thus, Participant acknowledges and freely accepts that, should any or all of the assumptions be mistaken or should any of the conditions not be met for any reason, then any grant of or right to the Stock Units shall be null and void.</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Further, except as otherwise provided in the Plan and the Award Agreement, Participant understands that he or she will not be entitled to continue vesting in any Stock Units once Participant’s status as a Service Provider terminates. This will be the case, for example, even in the event of a termination of Participant’s status of a Service Provider by reason of, but not limited to, resignation, retirement, disciplinary dismissal adjudged to be with cause, disciplinary dismissal adjusted or recognized to be without cause, individual or collective dismissal or objective grounds, whether adjudged or recognized to be without cause, material modification of the terms of employment under Article 41 of the Workers’ Statute, relocation under Article 40 of the Workers’ Statute, Article 50 of the Workers’ Statute, unilateral withdrawal by the Employer </w:t>
      </w:r>
      <w:r>
        <w:br w:type="page"/>
      </w:r>
    </w:p>
    <w:p>
      <w:pPr>
        <w:pStyle w:val="TextBody"/>
        <w:spacing w:before="0" w:after="0"/>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293370"/>
                <wp:effectExtent l="0" t="0" r="0" b="0"/>
                <wp:wrapNone/>
                <wp:docPr id="159" name="Frame159"/>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and under Article 10.3 of the Royal Decree 1382/1985. Participant acknowledges that Participant has read and specifically accepts the vesting and termination conditions in the Award Agreement.</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0"/>
        <w:jc w:val="both"/>
        <w:rPr/>
      </w:pPr>
      <w:r>
        <w:rPr>
          <w:rFonts w:ascii="Times New Roman;sans-serif" w:hAnsi="Times New Roman;sans-serif"/>
          <w:b/>
          <w:color w:val="000000"/>
          <w:sz w:val="24"/>
        </w:rPr>
        <w:t xml:space="preserve">Securities Law Information. </w:t>
      </w:r>
      <w:r>
        <w:rPr>
          <w:rFonts w:ascii="Times New Roman;sans-serif" w:hAnsi="Times New Roman;sans-serif"/>
          <w:b w:val="false"/>
          <w:color w:val="000000"/>
          <w:sz w:val="24"/>
        </w:rPr>
        <w:t xml:space="preserve">The Stock Units do not qualify under Spanish Law as securities. No “offer to the public,” as defined under Spanish Law, has taken place or will take place in the Spanish territory. Neither the Plan nor the Award Agreement have been registered with the </w:t>
      </w:r>
      <w:r>
        <w:rPr>
          <w:rFonts w:ascii="Times New Roman;sans-serif" w:hAnsi="Times New Roman;sans-serif"/>
          <w:b w:val="false"/>
          <w:i/>
          <w:color w:val="000000"/>
          <w:sz w:val="24"/>
        </w:rPr>
        <w:t xml:space="preserve">Comisión Nacronal del Mercado de Valores </w:t>
      </w:r>
      <w:r>
        <w:rPr>
          <w:rFonts w:ascii="Times New Roman;sans-serif" w:hAnsi="Times New Roman;sans-serif"/>
          <w:b w:val="false"/>
          <w:color w:val="000000"/>
          <w:sz w:val="24"/>
        </w:rPr>
        <w:t>and do not constitute a public offering prospectus.</w:t>
      </w:r>
    </w:p>
    <w:p>
      <w:pPr>
        <w:pStyle w:val="TextBody"/>
        <w:spacing w:before="0" w:after="0"/>
        <w:jc w:val="both"/>
        <w:rPr/>
      </w:pPr>
      <w:r>
        <w:rPr/>
      </w:r>
    </w:p>
    <w:p>
      <w:pPr>
        <w:pStyle w:val="TextBody"/>
        <w:spacing w:lineRule="auto" w:line="240" w:before="0" w:after="24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 xml:space="preserve">In the event that Participant holds 10% or more of the share capital or voting rights of the Company or such other amount that would entitle Participant to join the Board of Directors of the Company, Participant must declare such holding to the Spanish </w:t>
      </w:r>
      <w:r>
        <w:rPr>
          <w:rFonts w:ascii="Times New Roman;sans-serif" w:hAnsi="Times New Roman;sans-serif"/>
          <w:b w:val="false"/>
          <w:i/>
          <w:color w:val="000000"/>
          <w:sz w:val="24"/>
        </w:rPr>
        <w:t>Dirección General de Comercio e Inversiones</w:t>
      </w:r>
      <w:r>
        <w:rPr>
          <w:color w:val="000000"/>
        </w:rPr>
        <w:t xml:space="preserve"> </w:t>
      </w:r>
      <w:r>
        <w:rPr>
          <w:rFonts w:ascii="Times New Roman;sans-serif" w:hAnsi="Times New Roman;sans-serif"/>
          <w:b w:val="false"/>
          <w:color w:val="000000"/>
          <w:sz w:val="24"/>
        </w:rPr>
        <w:t>(the “DGCI”), which is a department of the Ministry of Economy and Competitiveness. Such declaration should be done by filing a Form D-6 each January while the Shares are owned. In addition, the acquisition and sale when Participant holds 10% or more of the share capital or voting rights of the Company must also be declared on Form D-6 filed with the Spanish Registro de Inversiones within one month from the acquisition or sale.</w:t>
      </w:r>
    </w:p>
    <w:p>
      <w:pPr>
        <w:pStyle w:val="TextBody"/>
        <w:spacing w:lineRule="auto" w:line="240" w:before="0" w:after="240"/>
        <w:jc w:val="both"/>
        <w:rPr/>
      </w:pPr>
      <w:r>
        <w:rPr>
          <w:rFonts w:ascii="Times New Roman;sans-serif" w:hAnsi="Times New Roman;sans-serif"/>
          <w:b/>
          <w:color w:val="000000"/>
          <w:sz w:val="24"/>
        </w:rPr>
        <w:t>Foreign Asset/Accounting Reporting Information.</w:t>
      </w:r>
      <w:r>
        <w:rPr>
          <w:color w:val="000000"/>
        </w:rPr>
        <w:t xml:space="preserve"> </w:t>
      </w:r>
      <w:r>
        <w:rPr>
          <w:rFonts w:ascii="Times New Roman;sans-serif" w:hAnsi="Times New Roman;sans-serif"/>
          <w:b w:val="false"/>
          <w:color w:val="000000"/>
          <w:sz w:val="24"/>
        </w:rPr>
        <w:t>If Participant holds rights or assets (</w:t>
      </w:r>
      <w:r>
        <w:rPr>
          <w:rFonts w:ascii="Times New Roman;sans-serif" w:hAnsi="Times New Roman;sans-serif"/>
          <w:b w:val="false"/>
          <w:i/>
          <w:color w:val="000000"/>
          <w:sz w:val="24"/>
        </w:rPr>
        <w:t>e.g.</w:t>
      </w:r>
      <w:r>
        <w:rPr>
          <w:rFonts w:ascii="Times New Roman;sans-serif" w:hAnsi="Times New Roman;sans-serif"/>
          <w:b w:val="false"/>
          <w:color w:val="000000"/>
          <w:sz w:val="24"/>
        </w:rPr>
        <w:t>, Shares or cash held in a bank or brokerage account) outside of Spain with a value in excess of €50,000 per type of right or asset (</w:t>
      </w:r>
      <w:r>
        <w:rPr>
          <w:rFonts w:ascii="Times New Roman;sans-serif" w:hAnsi="Times New Roman;sans-serif"/>
          <w:b w:val="false"/>
          <w:i/>
          <w:color w:val="000000"/>
          <w:sz w:val="24"/>
        </w:rPr>
        <w:t>e.g.</w:t>
      </w:r>
      <w:r>
        <w:rPr>
          <w:rFonts w:ascii="Times New Roman;sans-serif" w:hAnsi="Times New Roman;sans-serif"/>
          <w:b w:val="false"/>
          <w:color w:val="000000"/>
          <w:sz w:val="24"/>
        </w:rPr>
        <w:t>, Shares, cash, etc.) as of December 31 each year, Participant is required to report certain information regarding such rights and assets on tax form 720.  After such rights and/or assets are initially reported, the reporting obligation will apply for subsequent years only if the value of any previously-reported rights or assets increases by more than €20,000.  The reporting must be completed by the March 31 each year. </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Participant is required to declare electronically to the Bank of Spain any securities accounts (including brokerage accounts held abroad), any foreign instruments (including any Shares acquired under the Plan) and any transactions with non-Spanish residents (including any payments of Shares made to Participant by the Company) depending on the value of such accounts and instruments and the amount of the transactions during the relevant year as of December 31 of the relevant year. More frequent reporting may be required if the transaction value or account balance exceeds €100,000,000.</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SWEDEN</w:t>
      </w:r>
    </w:p>
    <w:p>
      <w:pPr>
        <w:pStyle w:val="TextBody"/>
        <w:spacing w:lineRule="auto" w:line="240" w:before="0" w:after="240"/>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rPr/>
      </w:pPr>
      <w:r>
        <w:rPr>
          <w:rFonts w:ascii="Times New Roman;sans-serif" w:hAnsi="Times New Roman;sans-serif"/>
          <w:b/>
          <w:color w:val="000000"/>
          <w:sz w:val="24"/>
        </w:rPr>
        <w:t>Responsibility for Taxes</w:t>
      </w:r>
      <w:r>
        <w:rPr>
          <w:rFonts w:ascii="Times New Roman;sans-serif" w:hAnsi="Times New Roman;sans-serif"/>
          <w:b w:val="false"/>
          <w:color w:val="000000"/>
          <w:sz w:val="24"/>
        </w:rPr>
        <w:t>. This provision supplements Section 7 of the Award Agreement:</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Without limiting the Company’s or any Parent or Subsidiary’s authority to satisfy their withholding obligations for Tax-Related Items as set forth in Section 7 of the Award Agreement, in accepting the Stock Unit grant, Participant authorizes the Company and/or any Parent or Subsidiary to withhold Shares or to sell Shares otherwise deliverable to Participant upon vesting/settlement to satisfy Tax-Related Items, regardless of whether the Company and/or any Parent Subsidiary has an obligation to withhold such Tax-Related Items.</w:t>
      </w:r>
    </w:p>
    <w:p>
      <w:pPr>
        <w:pStyle w:val="TextBody"/>
        <w:spacing w:before="0" w:after="240"/>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293370"/>
                <wp:effectExtent l="0" t="0" r="0" b="0"/>
                <wp:wrapNone/>
                <wp:docPr id="160" name="Frame160"/>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SWITZERLAND</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0"/>
        <w:jc w:val="both"/>
        <w:rPr/>
      </w:pPr>
      <w:r>
        <w:rPr>
          <w:rFonts w:ascii="Times New Roman;sans-serif" w:hAnsi="Times New Roman;sans-serif"/>
          <w:b/>
          <w:color w:val="000000"/>
          <w:sz w:val="24"/>
        </w:rPr>
        <w:t>Securities Law Information.</w:t>
      </w:r>
      <w:r>
        <w:rPr>
          <w:color w:val="000000"/>
        </w:rPr>
        <w:t xml:space="preserve"> </w:t>
      </w:r>
      <w:r>
        <w:rPr>
          <w:rFonts w:ascii="Times New Roman;sans-serif" w:hAnsi="Times New Roman;sans-serif"/>
          <w:b w:val="false"/>
          <w:color w:val="000000"/>
          <w:sz w:val="24"/>
        </w:rPr>
        <w:t>Neither this document nor any other materials relating to the Stock Units (i) constitutes a prospectus according to articles 35 et seq. of the Swiss Federal Act on Financial Services (“FinSA”) (ii) may be publicly distributed or otherwise made publicly available in Switzerland to any person other than a participant and other service provider of the Company or any Parent or Subsidiary or (iii) has been or will be filed with, approved or supervised by any Swiss reviewing body according to article 51 FinSA or any Swiss regulatory authority, including the Swiss Financial Market Supervisory Authority (“FINMA”).</w:t>
      </w:r>
    </w:p>
    <w:p>
      <w:pPr>
        <w:pStyle w:val="TextBody"/>
        <w:spacing w:before="0" w:after="0"/>
        <w:jc w:val="both"/>
        <w:rPr/>
      </w:pPr>
      <w:r>
        <w:rPr/>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TAIWAN</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jc w:val="both"/>
        <w:rPr/>
      </w:pPr>
      <w:r>
        <w:rPr>
          <w:rFonts w:ascii="Times New Roman;sans-serif" w:hAnsi="Times New Roman;sans-serif"/>
          <w:b/>
          <w:color w:val="000000"/>
          <w:sz w:val="24"/>
        </w:rPr>
        <w:t>Data Privacy Acknowledgement</w:t>
      </w:r>
      <w:r>
        <w:rPr>
          <w:rFonts w:ascii="Times New Roman;sans-serif" w:hAnsi="Times New Roman;sans-serif"/>
          <w:b w:val="false"/>
          <w:color w:val="000000"/>
          <w:sz w:val="24"/>
        </w:rPr>
        <w:t>. Participant acknowledges that he or she has read and understands the terms regarding collection, processing and transfer of Data contained in Section 13 of the Award Agreement and by participating in the Plan, Participant agrees to such terms. In this regard, upon request of the Company or the Employer, Participant agrees to provide an executed data privacy consent form to the Employer or the Company (or any other agreements or consents that may be required by the Employer or the Company) that the Company and/or the Employer may deem necessary to obtain under the data privacy laws in Participant’s country, either now or in the future. Participant understands that he or she will not be able to participate in the Plan if Participant fails to execute any such consent or agreement.</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highlight w:val="white"/>
        </w:rPr>
        <w:t>Securities Law Information.</w:t>
      </w:r>
      <w:r>
        <w:rPr>
          <w:color w:val="000000"/>
          <w:highlight w:val="white"/>
        </w:rPr>
        <w:t xml:space="preserve"> </w:t>
      </w:r>
      <w:r>
        <w:rPr>
          <w:rFonts w:ascii="Times New Roman;sans-serif" w:hAnsi="Times New Roman;sans-serif"/>
          <w:b w:val="false"/>
          <w:color w:val="000000"/>
          <w:sz w:val="24"/>
          <w:highlight w:val="white"/>
        </w:rPr>
        <w:t>The offer of participation in the Plan is available only for employees of the Company and its Subsidiaries. The offer of participation in the Plan is not a public offer of securities by a Taiwanese company.</w:t>
      </w:r>
    </w:p>
    <w:p>
      <w:pPr>
        <w:pStyle w:val="TextBody"/>
        <w:spacing w:lineRule="auto" w:line="240" w:before="0" w:after="24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 xml:space="preserve">Participant may acquire and remit foreign currency (including proceeds from the sale of Shares or the receipt of dividends) up to US$5,000,000 per year without justification. </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If the transaction amount is TWD500,000 or more in a single transaction, Participant must submit a Foreign Exchange Transaction Form and also provide supporting documentation to the satisfaction of the remitting bank.</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THAILAND</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If the proceeds from the sale of Shares or the receipt of dividends and Dividend Equivalents are equal to or greater than US$50,000 in a single transaction, Participant must repatriate the proceeds to Thailand immediately upon receipt and to convert the funds to Thai Baht or deposit the proceeds in a foreign currency deposit account maintained by a bank in Thailand within 360 days of remitting the proceeds to Thailand. In addition, Participant must specifically report the inward remittance to the Bank of Thailand on a Foreign Exchange Transaction Form.</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Participant does not comply with this obligation, Participant may be subject to penalties assessed by the Bank of Thailand. Because exchange control regulations change frequently and </w:t>
      </w:r>
      <w:r>
        <w:br w:type="page"/>
      </w:r>
    </w:p>
    <w:p>
      <w:pPr>
        <w:pStyle w:val="TextBody"/>
        <w:spacing w:before="0" w:after="0"/>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293370"/>
                <wp:effectExtent l="0" t="0" r="0" b="0"/>
                <wp:wrapNone/>
                <wp:docPr id="161" name="Frame161"/>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without notice, Participant should consult a legal advisor before selling Shares to ensure compliance with current regulations. It is Participant’s responsibility to comply with exchange control laws in Thailand, and neither the Company nor any Parent or Subsidiary will be liable for any fines or penalties resulting from Participant’s failure to comply with applicable laws.</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TUNISIA</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jc w:val="both"/>
        <w:rPr/>
      </w:pPr>
      <w:r>
        <w:rPr>
          <w:rFonts w:ascii="Times New Roman;sans-serif" w:hAnsi="Times New Roman;sans-serif"/>
          <w:b/>
          <w:color w:val="000000"/>
          <w:sz w:val="24"/>
        </w:rPr>
        <w:t>Settlement of Stock Units and Sale of Shares.</w:t>
      </w:r>
      <w:r>
        <w:rPr>
          <w:color w:val="000000"/>
        </w:rPr>
        <w:t xml:space="preserve"> </w:t>
      </w:r>
      <w:r>
        <w:rPr>
          <w:rFonts w:ascii="Times New Roman;sans-serif" w:hAnsi="Times New Roman;sans-serif"/>
          <w:b w:val="false"/>
          <w:color w:val="000000"/>
          <w:sz w:val="24"/>
        </w:rPr>
        <w:t>Due to local regulatory requirements, upon the vesting of the Stock Units, Participant agrees to the immediate sale of any Shares to be issued to him or her upon vesting and settlement of the Stock Units. Participant further agrees that the Company is authorized to instruct its designated broker to assist with the mandatory sale of such Shares (on Participant’s behalf pursuant to this authorization) and Participant expressly authorizes the Company’s designated broker to complete the sale of such Shares. Participant acknowledges that the Company’s designated broker is under no obligation to arrange for the sale of the Shares at any particular price. Upon the sale of the Shares, the Company agrees to pay Participant the cash proceeds from the sale of the Shares, less any brokerage fees or commissions and subject to any obligation to satisfy Tax-Related Items. Participant acknowledges that he or she are not aware of any material nonpublic information with respect to the Company or any securities of the Company as of the date of the Award Agreement.</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All proceeds from the sale of Shares as described above must be repatriated to Tunisia. Participant should consult his or her personal advisor before taking action with respect to remittance of proceeds into Tunisia. Participant is responsible for ensuring compliance with all exchange control laws in Tunisia. In addition, if Participant holds assets abroad in excess of 500 Tunisian Dinars, Participant must report the assets to the Central Bank of Tunisia.</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TURKEY</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Securities Law Information</w:t>
      </w:r>
      <w:r>
        <w:rPr>
          <w:rFonts w:ascii="Times New Roman;sans-serif" w:hAnsi="Times New Roman;sans-serif"/>
          <w:b w:val="false"/>
          <w:color w:val="000000"/>
          <w:sz w:val="24"/>
        </w:rPr>
        <w:t>. Under Turkish law, Participant is not permitted to sell Shares acquired under the Plan in Turkey. The Shares are currently traded on the Nasdaq Global Select Market, which is located outside of Turkey, under the ticker symbol “FTNT” and the Shares may be sold through this exchange.</w:t>
      </w:r>
    </w:p>
    <w:p>
      <w:pPr>
        <w:pStyle w:val="TextBody"/>
        <w:spacing w:lineRule="auto" w:line="240" w:before="0" w:after="24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Participant likely will be required to engage a Turkish financial intermediary to assist with the sale of Shares acquired under the Plan and may also need to engage a Turkish financial intermediary with respect to the acquisition of such Shares, although this is less certain. As Participant is solely responsible for complying with the financial intermediary requirements and their application to participation in the Plan is uncertain, Participant should consult his or her personal legal advisor prior to the vesting of the Stock Units or any sale of Shares to ensure compliance.</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UNITED ARAB EMIRATES</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Notifications</w:t>
      </w:r>
    </w:p>
    <w:p>
      <w:pPr>
        <w:pStyle w:val="TextBody"/>
        <w:spacing w:lineRule="auto" w:line="240" w:before="0" w:after="240"/>
        <w:jc w:val="both"/>
        <w:rPr/>
      </w:pPr>
      <w:r>
        <w:rPr>
          <w:rFonts w:ascii="Times New Roman;sans-serif" w:hAnsi="Times New Roman;sans-serif"/>
          <w:b/>
          <w:color w:val="000000"/>
          <w:sz w:val="24"/>
        </w:rPr>
        <w:t>Securities Law Information</w:t>
      </w:r>
      <w:r>
        <w:rPr>
          <w:rFonts w:ascii="Times New Roman;sans-serif" w:hAnsi="Times New Roman;sans-serif"/>
          <w:b w:val="false"/>
          <w:color w:val="000000"/>
          <w:sz w:val="24"/>
        </w:rPr>
        <w:t xml:space="preserve">. Participation in the Plan is being offered only to selected Service Providers and is in the nature of providing equity incentives to Service Providers in the United </w:t>
      </w:r>
      <w:r>
        <w:br w:type="page"/>
      </w:r>
    </w:p>
    <w:p>
      <w:pPr>
        <w:pStyle w:val="TextBody"/>
        <w:spacing w:before="0" w:after="0"/>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293370"/>
                <wp:effectExtent l="0" t="0" r="0" b="0"/>
                <wp:wrapNone/>
                <wp:docPr id="162" name="Frame162"/>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Arab Emirates. The Plan and the Award Agreement are intended for distribution only to such Service Providers and must not be delivered to, or relied on by, any other person. Prospective purchasers of the securities offered should conduct their own due diligence on the securities. If Participant does not understand the contents of the Plan and the Award Agreement, Participant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 Award Agreement nor taken steps to verify the information set out therein, and have no responsibility for such documents.</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UNITED KINGDOM</w: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Terms and Conditions</w:t>
      </w:r>
    </w:p>
    <w:p>
      <w:pPr>
        <w:pStyle w:val="TextBody"/>
        <w:spacing w:lineRule="auto" w:line="240" w:before="0" w:after="240"/>
        <w:jc w:val="both"/>
        <w:rPr/>
      </w:pPr>
      <w:r>
        <w:rPr>
          <w:rFonts w:ascii="Times New Roman;sans-serif" w:hAnsi="Times New Roman;sans-serif"/>
          <w:b/>
          <w:color w:val="000000"/>
          <w:sz w:val="24"/>
        </w:rPr>
        <w:t xml:space="preserve">Stock Units Payable Only in Shares. </w:t>
      </w:r>
      <w:r>
        <w:rPr>
          <w:rFonts w:ascii="Times New Roman;sans-serif" w:hAnsi="Times New Roman;sans-serif"/>
          <w:b w:val="false"/>
          <w:color w:val="000000"/>
          <w:sz w:val="24"/>
        </w:rPr>
        <w:t>Notwithstanding any discretion in the Plan or anything to the contrary in the Award Agreement, the grant of Stock Units does not provide any right for Participant to receive a cash payment, and the Stock Units are payable in Shares only.</w:t>
      </w:r>
    </w:p>
    <w:p>
      <w:pPr>
        <w:pStyle w:val="TextBody"/>
        <w:spacing w:lineRule="auto" w:line="240" w:before="0" w:after="240"/>
        <w:jc w:val="both"/>
        <w:rPr/>
      </w:pPr>
      <w:r>
        <w:rPr>
          <w:rFonts w:ascii="Times New Roman;sans-serif" w:hAnsi="Times New Roman;sans-serif"/>
          <w:b/>
          <w:color w:val="000000"/>
          <w:sz w:val="24"/>
        </w:rPr>
        <w:t xml:space="preserve">Withholding Taxes. </w:t>
      </w:r>
      <w:r>
        <w:rPr>
          <w:rFonts w:ascii="Times New Roman;sans-serif" w:hAnsi="Times New Roman;sans-serif"/>
          <w:b w:val="false"/>
          <w:color w:val="000000"/>
          <w:sz w:val="24"/>
        </w:rPr>
        <w:t xml:space="preserve">This provision supplements Section 7 of the Award Agreement: </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payment or withholding of the income tax due is not made within ninety (90) days of the end of the U.K. tax year (April 6 - April 5) in which such event giving rise to the Tax-Related Items occurs, or such other period specified in Section 222(1)(c) of the U.K. Income Tax (Earnings and Pensions) Act 2003 (the “Due Date”), the amount of any uncollected income tax shall constitute a loan owed by Participant to the Employer, effective on the Due Date. Participant agrees that the loan will bear interest at the then-current Official Rate of HM Revenue &amp; Customs (“HMRC”), it will be immediately due and repayable, and the Company or the Employer may recover it at any time thereafter by any of the means referred to in Section 10 of the Award Agreement. </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Notwithstanding the foregoing, if Participant is a director or executive officer of the Company (within the meaning of Section 13(k) of the U.S. Securities Exchange Act of 1934, as amended), Participant shall not be eligible for a loan from the Company to cover the income tax. In the event that Participant is a director or executive officer and income tax not collected from or paid by Participant by the Due Date, the amount of any uncollected income tax may constitute a benefit to Participant on which additional income tax and national insurance contributions (“NICs”) may be payable. Participant acknowledges that Participant ultimately will be responsible for reporting and paying any income tax due on this additional benefit directly to HMRC under the self-assessment regime and for reimbursing the Company or the Employer (as applicable) for the value of any employee NICs due on this additional benefit, which the Company and/or the Employer may recover from Participant at any time thereafter by any of the means referred to in Section 10 of the Award Agreement. </w:t>
      </w:r>
    </w:p>
    <w:p>
      <w:pPr>
        <w:pStyle w:val="TextBody"/>
        <w:spacing w:lineRule="auto" w:line="240" w:before="0" w:after="240"/>
        <w:jc w:val="both"/>
        <w:rPr/>
      </w:pPr>
      <w:r>
        <w:rPr>
          <w:rFonts w:ascii="Times New Roman;sans-serif" w:hAnsi="Times New Roman;sans-serif"/>
          <w:b/>
          <w:color w:val="000000"/>
          <w:sz w:val="24"/>
        </w:rPr>
        <w:t>Joint Election for Transfer of the Employer’s Secondary Class 1 NICs Liability to the Participant.</w:t>
      </w:r>
      <w:r>
        <w:rPr>
          <w:color w:val="000000"/>
        </w:rPr>
        <w:t xml:space="preserve"> </w:t>
      </w:r>
      <w:r>
        <w:rPr>
          <w:rFonts w:ascii="Times New Roman;sans-serif" w:hAnsi="Times New Roman;sans-serif"/>
          <w:b w:val="false"/>
          <w:color w:val="000000"/>
          <w:sz w:val="24"/>
        </w:rPr>
        <w:t xml:space="preserve">As a condition of vesting in the Stock Units, Participant agrees to accept any liability for secondary Class 1 NICs, which may be payable by the Company or the Employer in connection with the Stock Units (“Employer NICs”). Without limitation to the foregoing, Participant agrees to enter into an election between Participant and the Company or the Employer (the “Election”), in the form approved for such Election by HMRC, and any other consents or elections required to accomplish the transfer of the Employer NICs to Participant, prior to vesting of the Stock Units. Participant further agrees to enter into such other joint elections as may be required between Participant and any successor to the Company and/or the Employer. If Participant does not enter into the Election prior to the vesting of the Stock Units, </w:t>
      </w:r>
      <w:r>
        <w:br w:type="page"/>
      </w:r>
    </w:p>
    <w:p>
      <w:pPr>
        <w:pStyle w:val="TextBody"/>
        <w:spacing w:before="0" w:after="0"/>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293370"/>
                <wp:effectExtent l="0" t="0" r="0" b="0"/>
                <wp:wrapNone/>
                <wp:docPr id="163" name="Frame163"/>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Participant shall, without any liability to the Company or any Parent or Subsidiary, not be entitled to vest in the Stock Units.</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Participant further agrees that the Company and/or the Employer may collect the Employer NICs by any of the means set forth in Section 10 of the Award Agreement, as supplemented above.</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293370"/>
                <wp:effectExtent l="0" t="0" r="0" b="0"/>
                <wp:wrapNone/>
                <wp:docPr id="164" name="Frame164"/>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407411556-v2 </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 Ken Xie, certify that: </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Fortinet, Inc.;</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8, 2023 </w:t>
      </w:r>
    </w:p>
    <w:p>
      <w:pPr>
        <w:pStyle w:val="TextBody"/>
        <w:spacing w:lineRule="auto" w:line="288" w:before="0" w:after="0"/>
        <w:rPr>
          <w:color w:val="000000"/>
        </w:rPr>
      </w:pPr>
      <w:r>
        <w:rPr>
          <w:color w:val="000000"/>
        </w:rPr>
        <w:t> </w:t>
      </w:r>
    </w:p>
    <w:tbl>
      <w:tblPr>
        <w:tblW w:w="3596" w:type="dxa"/>
        <w:jc w:val="center"/>
        <w:tblInd w:w="0" w:type="dxa"/>
        <w:tblCellMar>
          <w:top w:w="28" w:type="dxa"/>
          <w:left w:w="28" w:type="dxa"/>
          <w:bottom w:w="28" w:type="dxa"/>
          <w:right w:w="28" w:type="dxa"/>
        </w:tblCellMar>
      </w:tblPr>
      <w:tblGrid>
        <w:gridCol w:w="124"/>
        <w:gridCol w:w="109"/>
        <w:gridCol w:w="109"/>
        <w:gridCol w:w="1164"/>
        <w:gridCol w:w="858"/>
        <w:gridCol w:w="123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23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Ken Xie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 Xie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Chairman</w:t>
              <w:b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 Keith Jensen, certify that: </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Fortinet, Inc.;</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Date: May 8, 2023</w:t>
      </w:r>
    </w:p>
    <w:p>
      <w:pPr>
        <w:pStyle w:val="TextBody"/>
        <w:spacing w:lineRule="auto" w:line="288" w:before="0" w:after="0"/>
        <w:rPr>
          <w:color w:val="000000"/>
        </w:rPr>
      </w:pPr>
      <w:r>
        <w:rPr>
          <w:color w:val="000000"/>
        </w:rPr>
        <w:t> </w:t>
      </w:r>
    </w:p>
    <w:tbl>
      <w:tblPr>
        <w:tblW w:w="5487" w:type="dxa"/>
        <w:jc w:val="left"/>
        <w:tblInd w:w="0" w:type="dxa"/>
        <w:tblCellMar>
          <w:top w:w="28" w:type="dxa"/>
          <w:left w:w="28" w:type="dxa"/>
          <w:bottom w:w="28" w:type="dxa"/>
          <w:right w:w="28" w:type="dxa"/>
        </w:tblCellMar>
      </w:tblPr>
      <w:tblGrid>
        <w:gridCol w:w="124"/>
        <w:gridCol w:w="109"/>
        <w:gridCol w:w="109"/>
        <w:gridCol w:w="1503"/>
        <w:gridCol w:w="1503"/>
        <w:gridCol w:w="213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3" w:type="dxa"/>
            <w:tcBorders/>
            <w:shd w:fill="auto" w:val="clear"/>
            <w:vAlign w:val="center"/>
          </w:tcPr>
          <w:p>
            <w:pPr>
              <w:pStyle w:val="TableContents"/>
              <w:spacing w:before="0" w:after="283"/>
              <w:rPr>
                <w:sz w:val="4"/>
                <w:szCs w:val="4"/>
              </w:rPr>
            </w:pPr>
            <w:r>
              <w:rPr>
                <w:sz w:val="4"/>
                <w:szCs w:val="4"/>
              </w:rPr>
            </w:r>
          </w:p>
        </w:tc>
        <w:tc>
          <w:tcPr>
            <w:tcW w:w="1503" w:type="dxa"/>
            <w:tcBorders/>
            <w:shd w:fill="auto" w:val="clear"/>
            <w:vAlign w:val="center"/>
          </w:tcPr>
          <w:p>
            <w:pPr>
              <w:pStyle w:val="TableContents"/>
              <w:spacing w:before="0" w:after="283"/>
              <w:rPr>
                <w:sz w:val="4"/>
                <w:szCs w:val="4"/>
              </w:rPr>
            </w:pPr>
            <w:r>
              <w:rPr>
                <w:sz w:val="4"/>
                <w:szCs w:val="4"/>
              </w:rPr>
            </w:r>
          </w:p>
        </w:tc>
        <w:tc>
          <w:tcPr>
            <w:tcW w:w="213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Keith Jensen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Keith Jensen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Financial Officer and Principal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CERTIFICATIONS OF CHIEF EXECUTIVE OFFICER AND CHIEF FINANCIAL OFFICER </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PURSUANT TO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906 OF THE SARBANES-OXLEY ACT OF 2002 </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 Ken Xie, certify, pursuant to 18 U.S.C. Section 1350, as adopted pursuant to Section 906 of the Sarbanes-Oxley Act of 2002, that the Quarterly Report on Form 10-Q of Fortinet, Inc. for the quarter ended March 31, 2023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 </w:t>
      </w:r>
    </w:p>
    <w:p>
      <w:pPr>
        <w:pStyle w:val="TextBody"/>
        <w:spacing w:lineRule="auto" w:line="288" w:before="0" w:after="0"/>
        <w:rPr>
          <w:color w:val="000000"/>
        </w:rPr>
      </w:pPr>
      <w:r>
        <w:rPr>
          <w:color w:val="000000"/>
        </w:rPr>
        <w:t> </w:t>
      </w:r>
    </w:p>
    <w:tbl>
      <w:tblPr>
        <w:tblW w:w="5578" w:type="dxa"/>
        <w:jc w:val="center"/>
        <w:tblInd w:w="0" w:type="dxa"/>
        <w:tblCellMar>
          <w:top w:w="28" w:type="dxa"/>
          <w:left w:w="28" w:type="dxa"/>
          <w:bottom w:w="28" w:type="dxa"/>
          <w:right w:w="28" w:type="dxa"/>
        </w:tblCellMar>
      </w:tblPr>
      <w:tblGrid>
        <w:gridCol w:w="200"/>
        <w:gridCol w:w="177"/>
        <w:gridCol w:w="178"/>
        <w:gridCol w:w="379"/>
        <w:gridCol w:w="379"/>
        <w:gridCol w:w="381"/>
        <w:gridCol w:w="208"/>
        <w:gridCol w:w="208"/>
        <w:gridCol w:w="213"/>
        <w:gridCol w:w="1163"/>
        <w:gridCol w:w="858"/>
        <w:gridCol w:w="1234"/>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Ken Xie</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8, 2023</w:t>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 Xie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Chairman</w:t>
              <w:br/>
              <w:t>(Principal Executive Officer)</w:t>
            </w:r>
          </w:p>
        </w:tc>
      </w:tr>
    </w:tbl>
    <w:p>
      <w:pPr>
        <w:pStyle w:val="TextBody"/>
        <w:spacing w:lineRule="auto" w:line="288" w:before="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 Keith Jensen, certify, pursuant to 18 U.S.C. Section 1350, as adopted pursuant to Section 906 of the Sarbanes-Oxley Act of 2002, that the Quarterly Report on Form 10-Q of Fortinet, Inc. for the quarter ended March 31, 2023 fully complies with the requirements of Section 13(a) or 15(d) of the Exchange Act and that information contained in this Quarterly Report on Form 10-Q fairly presents, in all material respects, the financial condition and results of operations of Fortinet, Inc. </w:t>
      </w:r>
    </w:p>
    <w:p>
      <w:pPr>
        <w:pStyle w:val="TextBody"/>
        <w:spacing w:lineRule="auto" w:line="288" w:before="0" w:after="0"/>
        <w:rPr>
          <w:color w:val="000000"/>
        </w:rPr>
      </w:pPr>
      <w:r>
        <w:rPr>
          <w:color w:val="000000"/>
        </w:rPr>
        <w:t> </w:t>
      </w:r>
    </w:p>
    <w:tbl>
      <w:tblPr>
        <w:tblW w:w="7468" w:type="dxa"/>
        <w:jc w:val="center"/>
        <w:tblInd w:w="0" w:type="dxa"/>
        <w:tblCellMar>
          <w:top w:w="28" w:type="dxa"/>
          <w:left w:w="28" w:type="dxa"/>
          <w:bottom w:w="28" w:type="dxa"/>
          <w:right w:w="28" w:type="dxa"/>
        </w:tblCellMar>
      </w:tblPr>
      <w:tblGrid>
        <w:gridCol w:w="200"/>
        <w:gridCol w:w="177"/>
        <w:gridCol w:w="178"/>
        <w:gridCol w:w="379"/>
        <w:gridCol w:w="379"/>
        <w:gridCol w:w="381"/>
        <w:gridCol w:w="208"/>
        <w:gridCol w:w="208"/>
        <w:gridCol w:w="213"/>
        <w:gridCol w:w="1503"/>
        <w:gridCol w:w="1503"/>
        <w:gridCol w:w="2139"/>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503" w:type="dxa"/>
            <w:tcBorders/>
            <w:shd w:fill="auto" w:val="clear"/>
            <w:vAlign w:val="center"/>
          </w:tcPr>
          <w:p>
            <w:pPr>
              <w:pStyle w:val="TableContents"/>
              <w:spacing w:before="0" w:after="283"/>
              <w:rPr>
                <w:sz w:val="4"/>
                <w:szCs w:val="4"/>
              </w:rPr>
            </w:pPr>
            <w:r>
              <w:rPr>
                <w:sz w:val="4"/>
                <w:szCs w:val="4"/>
              </w:rPr>
            </w:r>
          </w:p>
        </w:tc>
        <w:tc>
          <w:tcPr>
            <w:tcW w:w="1503" w:type="dxa"/>
            <w:tcBorders/>
            <w:shd w:fill="auto" w:val="clear"/>
            <w:vAlign w:val="center"/>
          </w:tcPr>
          <w:p>
            <w:pPr>
              <w:pStyle w:val="TableContents"/>
              <w:spacing w:before="0" w:after="283"/>
              <w:rPr>
                <w:sz w:val="4"/>
                <w:szCs w:val="4"/>
              </w:rPr>
            </w:pPr>
            <w:r>
              <w:rPr>
                <w:sz w:val="4"/>
                <w:szCs w:val="4"/>
              </w:rPr>
            </w:r>
          </w:p>
        </w:tc>
        <w:tc>
          <w:tcPr>
            <w:tcW w:w="2139"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Keith Jensen</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8, 2023</w:t>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51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Keith Jensen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Financial Officer and Principal Accounting Officer)</w:t>
            </w:r>
          </w:p>
        </w:tc>
      </w:tr>
    </w:tbl>
    <w:p>
      <w:pPr>
        <w:pStyle w:val="TextBody"/>
        <w:spacing w:before="0" w:after="0"/>
        <w:rPr/>
      </w:pPr>
      <w:r>
        <w:rPr/>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62039/000126203923000006/ftnt-amendedandrestatedbyl.htm" TargetMode="External"/><Relationship Id="rId3" Type="http://schemas.openxmlformats.org/officeDocument/2006/relationships/hyperlink" Target="https://www.sec.gov/Archives/edgar/data/1262039/000126203923000006/ftnt-amendedandrestatedbyl.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98</Pages>
  <Words>88996</Words>
  <CharactersWithSpaces>579966</CharactersWithSpaces>
  <Paragraphs>4186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