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55"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330200</wp:posOffset>
            </wp:positionV>
            <wp:extent cx="14319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118110</wp:posOffset>
            </wp:positionV>
            <wp:extent cx="1431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right="200" w:hanging="492"/>
        <w:spacing w:after="0" w:line="256" w:lineRule="auto"/>
        <w:tabs>
          <w:tab w:leader="none" w:pos="5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500" w:right="200" w:hanging="492"/>
        <w:spacing w:after="0" w:line="269" w:lineRule="auto"/>
        <w:tabs>
          <w:tab w:leader="none" w:pos="1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w:t>
      </w:r>
    </w:p>
    <w:p>
      <w:pPr>
        <w:spacing w:after="0" w:line="90"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1819275</wp:posOffset>
            </wp:positionH>
            <wp:positionV relativeFrom="paragraph">
              <wp:posOffset>-7620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3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001-34511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377825</wp:posOffset>
            </wp:positionV>
            <wp:extent cx="1423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FORTINET, INC.</w:t>
      </w:r>
    </w:p>
    <w:p>
      <w:pPr>
        <w:spacing w:after="0" w:line="8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137795</wp:posOffset>
            </wp:positionV>
            <wp:extent cx="1423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2060" w:type="dxa"/>
        <w:tblCellMar>
          <w:top w:w="0" w:type="dxa"/>
          <w:left w:w="0" w:type="dxa"/>
          <w:bottom w:w="0" w:type="dxa"/>
          <w:right w:w="0" w:type="dxa"/>
        </w:tblCellMar>
      </w:tblPr>
      <w:tr>
        <w:trPr>
          <w:trHeight w:val="234"/>
        </w:trPr>
        <w:tc>
          <w:tcPr>
            <w:tcW w:w="2100" w:type="dxa"/>
            <w:vAlign w:val="bottom"/>
          </w:tcPr>
          <w:p>
            <w:pPr>
              <w:jc w:val="center"/>
              <w:ind w:right="63"/>
              <w:spacing w:after="0"/>
              <w:rPr>
                <w:sz w:val="20"/>
                <w:szCs w:val="20"/>
                <w:color w:val="auto"/>
              </w:rPr>
            </w:pPr>
            <w:r>
              <w:rPr>
                <w:rFonts w:ascii="Arial" w:cs="Arial" w:eastAsia="Arial" w:hAnsi="Arial"/>
                <w:sz w:val="18"/>
                <w:szCs w:val="18"/>
                <w:b w:val="1"/>
                <w:bCs w:val="1"/>
                <w:color w:val="auto"/>
                <w:w w:val="91"/>
              </w:rPr>
              <w:t>Delaware</w:t>
            </w:r>
          </w:p>
        </w:tc>
        <w:tc>
          <w:tcPr>
            <w:tcW w:w="4740" w:type="dxa"/>
            <w:vAlign w:val="bottom"/>
          </w:tcPr>
          <w:p>
            <w:pPr>
              <w:jc w:val="right"/>
              <w:spacing w:after="0"/>
              <w:rPr>
                <w:sz w:val="20"/>
                <w:szCs w:val="20"/>
                <w:color w:val="auto"/>
              </w:rPr>
            </w:pPr>
            <w:r>
              <w:rPr>
                <w:rFonts w:ascii="Arial" w:cs="Arial" w:eastAsia="Arial" w:hAnsi="Arial"/>
                <w:sz w:val="18"/>
                <w:szCs w:val="18"/>
                <w:b w:val="1"/>
                <w:bCs w:val="1"/>
                <w:color w:val="auto"/>
              </w:rPr>
              <w:t>77-0560389</w:t>
            </w:r>
          </w:p>
        </w:tc>
      </w:tr>
      <w:tr>
        <w:trPr>
          <w:trHeight w:val="171"/>
        </w:trPr>
        <w:tc>
          <w:tcPr>
            <w:tcW w:w="2100" w:type="dxa"/>
            <w:vAlign w:val="bottom"/>
          </w:tcPr>
          <w:p>
            <w:pPr>
              <w:jc w:val="center"/>
              <w:ind w:right="63"/>
              <w:spacing w:after="0"/>
              <w:rPr>
                <w:sz w:val="20"/>
                <w:szCs w:val="20"/>
                <w:color w:val="auto"/>
              </w:rPr>
            </w:pPr>
            <w:r>
              <w:rPr>
                <w:rFonts w:ascii="Arial" w:cs="Arial" w:eastAsia="Arial" w:hAnsi="Arial"/>
                <w:sz w:val="13"/>
                <w:szCs w:val="13"/>
                <w:b w:val="1"/>
                <w:bCs w:val="1"/>
                <w:color w:val="auto"/>
                <w:w w:val="87"/>
              </w:rPr>
              <w:t>(State or other jurisdiction of</w:t>
            </w:r>
          </w:p>
        </w:tc>
        <w:tc>
          <w:tcPr>
            <w:tcW w:w="4740" w:type="dxa"/>
            <w:vAlign w:val="bottom"/>
          </w:tcPr>
          <w:p>
            <w:pPr>
              <w:jc w:val="center"/>
              <w:ind w:left="3685"/>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2100" w:type="dxa"/>
            <w:vAlign w:val="bottom"/>
          </w:tcPr>
          <w:p>
            <w:pPr>
              <w:jc w:val="center"/>
              <w:ind w:right="63"/>
              <w:spacing w:after="0"/>
              <w:rPr>
                <w:sz w:val="20"/>
                <w:szCs w:val="20"/>
                <w:color w:val="auto"/>
              </w:rPr>
            </w:pPr>
            <w:r>
              <w:rPr>
                <w:rFonts w:ascii="Arial" w:cs="Arial" w:eastAsia="Arial" w:hAnsi="Arial"/>
                <w:sz w:val="13"/>
                <w:szCs w:val="13"/>
                <w:b w:val="1"/>
                <w:bCs w:val="1"/>
                <w:color w:val="auto"/>
                <w:w w:val="88"/>
              </w:rPr>
              <w:t>incorporation or organization)</w:t>
            </w:r>
          </w:p>
        </w:tc>
        <w:tc>
          <w:tcPr>
            <w:tcW w:w="4740" w:type="dxa"/>
            <w:vAlign w:val="bottom"/>
          </w:tcPr>
          <w:p>
            <w:pPr>
              <w:jc w:val="center"/>
              <w:ind w:left="3685"/>
              <w:spacing w:after="0"/>
              <w:rPr>
                <w:sz w:val="20"/>
                <w:szCs w:val="20"/>
                <w:color w:val="auto"/>
              </w:rPr>
            </w:pPr>
            <w:r>
              <w:rPr>
                <w:rFonts w:ascii="Arial" w:cs="Arial" w:eastAsia="Arial" w:hAnsi="Arial"/>
                <w:sz w:val="13"/>
                <w:szCs w:val="13"/>
                <w:b w:val="1"/>
                <w:bCs w:val="1"/>
                <w:color w:val="auto"/>
                <w:w w:val="89"/>
              </w:rPr>
              <w:t>Identification No.)</w:t>
            </w:r>
          </w:p>
        </w:tc>
      </w:tr>
      <w:tr>
        <w:trPr>
          <w:trHeight w:val="259"/>
        </w:trPr>
        <w:tc>
          <w:tcPr>
            <w:tcW w:w="2100" w:type="dxa"/>
            <w:vAlign w:val="bottom"/>
          </w:tcPr>
          <w:p>
            <w:pPr>
              <w:jc w:val="center"/>
              <w:ind w:right="63"/>
              <w:spacing w:after="0"/>
              <w:rPr>
                <w:sz w:val="20"/>
                <w:szCs w:val="20"/>
                <w:color w:val="auto"/>
              </w:rPr>
            </w:pPr>
            <w:r>
              <w:rPr>
                <w:rFonts w:ascii="Arial" w:cs="Arial" w:eastAsia="Arial" w:hAnsi="Arial"/>
                <w:sz w:val="18"/>
                <w:szCs w:val="18"/>
                <w:b w:val="1"/>
                <w:bCs w:val="1"/>
                <w:color w:val="auto"/>
                <w:w w:val="94"/>
              </w:rPr>
              <w:t>1090 Kifer Road</w:t>
            </w:r>
          </w:p>
        </w:tc>
        <w:tc>
          <w:tcPr>
            <w:tcW w:w="4740" w:type="dxa"/>
            <w:vAlign w:val="bottom"/>
          </w:tcPr>
          <w:p>
            <w:pPr>
              <w:spacing w:after="0"/>
              <w:rPr>
                <w:sz w:val="22"/>
                <w:szCs w:val="22"/>
                <w:color w:val="auto"/>
              </w:rPr>
            </w:pPr>
          </w:p>
        </w:tc>
      </w:tr>
      <w:tr>
        <w:trPr>
          <w:trHeight w:val="270"/>
        </w:trPr>
        <w:tc>
          <w:tcPr>
            <w:tcW w:w="2100" w:type="dxa"/>
            <w:vAlign w:val="bottom"/>
          </w:tcPr>
          <w:p>
            <w:pPr>
              <w:jc w:val="center"/>
              <w:ind w:right="63"/>
              <w:spacing w:after="0"/>
              <w:rPr>
                <w:sz w:val="20"/>
                <w:szCs w:val="20"/>
                <w:color w:val="auto"/>
              </w:rPr>
            </w:pPr>
            <w:r>
              <w:rPr>
                <w:rFonts w:ascii="Arial" w:cs="Arial" w:eastAsia="Arial" w:hAnsi="Arial"/>
                <w:sz w:val="18"/>
                <w:szCs w:val="18"/>
                <w:b w:val="1"/>
                <w:bCs w:val="1"/>
                <w:color w:val="auto"/>
                <w:w w:val="91"/>
              </w:rPr>
              <w:t>Sunnyvale, California</w:t>
            </w:r>
          </w:p>
        </w:tc>
        <w:tc>
          <w:tcPr>
            <w:tcW w:w="4740" w:type="dxa"/>
            <w:vAlign w:val="bottom"/>
          </w:tcPr>
          <w:p>
            <w:pPr>
              <w:jc w:val="right"/>
              <w:ind w:right="185"/>
              <w:spacing w:after="0"/>
              <w:rPr>
                <w:sz w:val="20"/>
                <w:szCs w:val="20"/>
                <w:color w:val="auto"/>
              </w:rPr>
            </w:pPr>
            <w:r>
              <w:rPr>
                <w:rFonts w:ascii="Arial" w:cs="Arial" w:eastAsia="Arial" w:hAnsi="Arial"/>
                <w:sz w:val="18"/>
                <w:szCs w:val="18"/>
                <w:b w:val="1"/>
                <w:bCs w:val="1"/>
                <w:color w:val="auto"/>
              </w:rPr>
              <w:t>94086</w:t>
            </w:r>
          </w:p>
        </w:tc>
      </w:tr>
      <w:tr>
        <w:trPr>
          <w:trHeight w:val="281"/>
        </w:trPr>
        <w:tc>
          <w:tcPr>
            <w:tcW w:w="2100" w:type="dxa"/>
            <w:vAlign w:val="bottom"/>
          </w:tcPr>
          <w:p>
            <w:pPr>
              <w:jc w:val="center"/>
              <w:ind w:right="63"/>
              <w:spacing w:after="0"/>
              <w:rPr>
                <w:sz w:val="20"/>
                <w:szCs w:val="20"/>
                <w:color w:val="auto"/>
              </w:rPr>
            </w:pPr>
            <w:r>
              <w:rPr>
                <w:rFonts w:ascii="Arial" w:cs="Arial" w:eastAsia="Arial" w:hAnsi="Arial"/>
                <w:sz w:val="13"/>
                <w:szCs w:val="13"/>
                <w:b w:val="1"/>
                <w:bCs w:val="1"/>
                <w:color w:val="auto"/>
                <w:w w:val="86"/>
              </w:rPr>
              <w:t>(Address principal executive offices)</w:t>
            </w:r>
          </w:p>
        </w:tc>
        <w:tc>
          <w:tcPr>
            <w:tcW w:w="4740" w:type="dxa"/>
            <w:vAlign w:val="bottom"/>
          </w:tcPr>
          <w:p>
            <w:pPr>
              <w:jc w:val="center"/>
              <w:ind w:left="3685"/>
              <w:spacing w:after="0"/>
              <w:rPr>
                <w:sz w:val="20"/>
                <w:szCs w:val="20"/>
                <w:color w:val="auto"/>
              </w:rPr>
            </w:pPr>
            <w:r>
              <w:rPr>
                <w:rFonts w:ascii="Arial" w:cs="Arial" w:eastAsia="Arial" w:hAnsi="Arial"/>
                <w:sz w:val="13"/>
                <w:szCs w:val="13"/>
                <w:b w:val="1"/>
                <w:bCs w:val="1"/>
                <w:color w:val="auto"/>
                <w:w w:val="90"/>
              </w:rPr>
              <w:t>(Zip Code)</w:t>
            </w:r>
          </w:p>
        </w:tc>
      </w:tr>
      <w:tr>
        <w:trPr>
          <w:trHeight w:val="281"/>
        </w:trPr>
        <w:tc>
          <w:tcPr>
            <w:tcW w:w="2100" w:type="dxa"/>
            <w:vAlign w:val="bottom"/>
          </w:tcPr>
          <w:p>
            <w:pPr>
              <w:spacing w:after="0"/>
              <w:rPr>
                <w:sz w:val="24"/>
                <w:szCs w:val="24"/>
                <w:color w:val="auto"/>
              </w:rPr>
            </w:pPr>
          </w:p>
        </w:tc>
        <w:tc>
          <w:tcPr>
            <w:tcW w:w="4740" w:type="dxa"/>
            <w:vAlign w:val="bottom"/>
          </w:tcPr>
          <w:p>
            <w:pPr>
              <w:jc w:val="right"/>
              <w:ind w:right="2545"/>
              <w:spacing w:after="0"/>
              <w:rPr>
                <w:sz w:val="20"/>
                <w:szCs w:val="20"/>
                <w:color w:val="auto"/>
              </w:rPr>
            </w:pPr>
            <w:r>
              <w:rPr>
                <w:rFonts w:ascii="Arial" w:cs="Arial" w:eastAsia="Arial" w:hAnsi="Arial"/>
                <w:sz w:val="18"/>
                <w:szCs w:val="18"/>
                <w:b w:val="1"/>
                <w:bCs w:val="1"/>
                <w:color w:val="auto"/>
              </w:rPr>
              <w:t>(408) 235-7700</w:t>
            </w:r>
          </w:p>
        </w:tc>
      </w:tr>
      <w:tr>
        <w:trPr>
          <w:trHeight w:val="164"/>
        </w:trPr>
        <w:tc>
          <w:tcPr>
            <w:tcW w:w="2100" w:type="dxa"/>
            <w:vAlign w:val="bottom"/>
          </w:tcPr>
          <w:p>
            <w:pPr>
              <w:spacing w:after="0"/>
              <w:rPr>
                <w:sz w:val="14"/>
                <w:szCs w:val="14"/>
                <w:color w:val="auto"/>
              </w:rPr>
            </w:pPr>
          </w:p>
        </w:tc>
        <w:tc>
          <w:tcPr>
            <w:tcW w:w="4740" w:type="dxa"/>
            <w:vAlign w:val="bottom"/>
          </w:tcPr>
          <w:p>
            <w:pPr>
              <w:jc w:val="center"/>
              <w:ind w:right="1545"/>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190500</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ind w:right="20" w:firstLine="48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14" w:lineRule="exact"/>
        <w:rPr>
          <w:sz w:val="24"/>
          <w:szCs w:val="24"/>
          <w:color w:val="auto"/>
        </w:rPr>
      </w:pPr>
    </w:p>
    <w:p>
      <w:pPr>
        <w:ind w:right="40" w:firstLine="48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14"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200"/>
          </w:cols>
          <w:pgMar w:left="240" w:top="449" w:right="45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85" w:lineRule="exact"/>
        <w:rPr>
          <w:sz w:val="24"/>
          <w:szCs w:val="24"/>
          <w:color w:val="auto"/>
        </w:rPr>
      </w:pPr>
    </w:p>
    <w:p>
      <w:pPr>
        <w:sectPr>
          <w:pgSz w:w="11900" w:h="16838" w:orient="portrait"/>
          <w:cols w:equalWidth="0" w:num="4">
            <w:col w:w="1660" w:space="540"/>
            <w:col w:w="5340" w:space="720"/>
            <w:col w:w="1900" w:space="720"/>
            <w:col w:w="320"/>
          </w:cols>
          <w:pgMar w:left="240" w:top="449" w:right="4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185" w:lineRule="exact"/>
        <w:rPr>
          <w:sz w:val="24"/>
          <w:szCs w:val="24"/>
          <w:color w:val="auto"/>
        </w:rPr>
      </w:pPr>
    </w:p>
    <w:p>
      <w:pPr>
        <w:sectPr>
          <w:pgSz w:w="11900" w:h="16838" w:orient="portrait"/>
          <w:cols w:equalWidth="0" w:num="5">
            <w:col w:w="1560" w:space="640"/>
            <w:col w:w="180" w:space="420"/>
            <w:col w:w="4740" w:space="720"/>
            <w:col w:w="1960" w:space="660"/>
            <w:col w:w="320"/>
          </w:cols>
          <w:pgMar w:left="240" w:top="449" w:right="4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color w:val="auto"/>
        </w:rPr>
        <w:t>Yes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158" w:lineRule="exact"/>
        <w:rPr>
          <w:sz w:val="24"/>
          <w:szCs w:val="24"/>
          <w:color w:val="auto"/>
        </w:rPr>
      </w:pPr>
    </w:p>
    <w:p>
      <w:pPr>
        <w:sectPr>
          <w:pgSz w:w="11900" w:h="16838" w:orient="portrait"/>
          <w:cols w:equalWidth="0" w:num="4">
            <w:col w:w="8680" w:space="160"/>
            <w:col w:w="520" w:space="180"/>
            <w:col w:w="220" w:space="140"/>
            <w:col w:w="1300"/>
          </w:cols>
          <w:pgMar w:left="240" w:top="449" w:right="4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As of October 28, 2011, there were 154,027,282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449" w:right="4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30, 2011</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8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50"/>
        </w:trPr>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40" w:type="dxa"/>
            <w:vAlign w:val="bottom"/>
            <w:gridSpan w:val="5"/>
          </w:tcPr>
          <w:p>
            <w:pPr>
              <w:jc w:val="center"/>
              <w:ind w:right="39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15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FF"/>
            </w:tcBorders>
            <w:gridSpan w:val="5"/>
          </w:tcPr>
          <w:p>
            <w:pPr>
              <w:spacing w:after="0"/>
              <w:rPr>
                <w:rFonts w:ascii="Arial" w:cs="Arial" w:eastAsia="Arial" w:hAnsi="Arial"/>
                <w:sz w:val="18"/>
                <w:szCs w:val="18"/>
                <w:b w:val="1"/>
                <w:bCs w:val="1"/>
                <w:color w:val="0000FF"/>
                <w:w w:val="88"/>
              </w:rPr>
            </w:pPr>
            <w:hyperlink w:anchor="page3">
              <w:r>
                <w:rPr>
                  <w:rFonts w:ascii="Arial" w:cs="Arial" w:eastAsia="Arial" w:hAnsi="Arial"/>
                  <w:sz w:val="18"/>
                  <w:szCs w:val="18"/>
                  <w:b w:val="1"/>
                  <w:bCs w:val="1"/>
                  <w:color w:val="0000FF"/>
                  <w:w w:val="88"/>
                </w:rPr>
                <w:t>Financial Statements</w:t>
              </w:r>
            </w:hyperlink>
          </w:p>
        </w:tc>
        <w:tc>
          <w:tcPr>
            <w:tcW w:w="2280" w:type="dxa"/>
            <w:vAlign w:val="bottom"/>
            <w:gridSpan w:val="3"/>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3980" w:type="dxa"/>
            <w:vAlign w:val="bottom"/>
            <w:gridSpan w:val="4"/>
          </w:tcPr>
          <w:p>
            <w:pPr>
              <w:spacing w:after="0"/>
              <w:rPr>
                <w:sz w:val="21"/>
                <w:szCs w:val="21"/>
                <w:color w:val="auto"/>
              </w:rPr>
            </w:pPr>
          </w:p>
        </w:tc>
        <w:tc>
          <w:tcPr>
            <w:tcW w:w="178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2"/>
          </w:tcPr>
          <w:p>
            <w:pPr>
              <w:spacing w:after="0"/>
              <w:rPr>
                <w:rFonts w:ascii="Arial" w:cs="Arial" w:eastAsia="Arial" w:hAnsi="Arial"/>
                <w:sz w:val="18"/>
                <w:szCs w:val="18"/>
                <w:b w:val="1"/>
                <w:bCs w:val="1"/>
                <w:color w:val="0000FF"/>
                <w:w w:val="89"/>
              </w:rPr>
            </w:pPr>
            <w:hyperlink w:anchor="page22">
              <w:r>
                <w:rPr>
                  <w:rFonts w:ascii="Arial" w:cs="Arial" w:eastAsia="Arial" w:hAnsi="Arial"/>
                  <w:sz w:val="18"/>
                  <w:szCs w:val="18"/>
                  <w:b w:val="1"/>
                  <w:bCs w:val="1"/>
                  <w:color w:val="0000FF"/>
                  <w:w w:val="89"/>
                </w:rPr>
                <w:t>Management's Discussion and Analysis of Financial Condition and Results of Operations</w:t>
              </w:r>
            </w:hyperlink>
          </w:p>
        </w:tc>
        <w:tc>
          <w:tcPr>
            <w:tcW w:w="1500" w:type="dxa"/>
            <w:vAlign w:val="bottom"/>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40" w:type="dxa"/>
            <w:vAlign w:val="bottom"/>
            <w:gridSpan w:val="12"/>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Quantitative and Qualitative Disclosures about Market Risk</w:t>
              </w:r>
            </w:hyperlink>
          </w:p>
        </w:tc>
        <w:tc>
          <w:tcPr>
            <w:tcW w:w="1500" w:type="dxa"/>
            <w:vAlign w:val="bottom"/>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60" w:type="dxa"/>
            <w:vAlign w:val="bottom"/>
            <w:tcBorders>
              <w:left w:val="single" w:sz="8" w:color="0000FF"/>
            </w:tcBorders>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580" w:type="dxa"/>
            <w:vAlign w:val="bottom"/>
            <w:gridSpan w:val="11"/>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Controls and Procedures</w:t>
              </w:r>
            </w:hyperlink>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6420" w:type="dxa"/>
            <w:vAlign w:val="bottom"/>
            <w:gridSpan w:val="7"/>
          </w:tcPr>
          <w:p>
            <w:pPr>
              <w:jc w:val="center"/>
              <w:ind w:right="198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w:t>
              </w:r>
            </w:hyperlink>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880" w:type="dxa"/>
            <w:vAlign w:val="bottom"/>
            <w:gridSpan w:val="7"/>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Legal Proceedings</w:t>
              </w:r>
            </w:hyperlink>
          </w:p>
        </w:tc>
        <w:tc>
          <w:tcPr>
            <w:tcW w:w="520" w:type="dxa"/>
            <w:vAlign w:val="bottom"/>
            <w:tcBorders>
              <w:top w:val="single" w:sz="8" w:color="0000FF"/>
            </w:tcBorders>
            <w:gridSpan w:val="3"/>
          </w:tcPr>
          <w:p>
            <w:pPr>
              <w:spacing w:after="0"/>
              <w:rPr>
                <w:sz w:val="21"/>
                <w:szCs w:val="21"/>
                <w:color w:val="auto"/>
              </w:rPr>
            </w:pPr>
          </w:p>
        </w:tc>
        <w:tc>
          <w:tcPr>
            <w:tcW w:w="3940" w:type="dxa"/>
            <w:vAlign w:val="bottom"/>
            <w:gridSpan w:val="3"/>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3"/>
          </w:tcPr>
          <w:p>
            <w:pPr>
              <w:spacing w:after="0"/>
              <w:rPr>
                <w:rFonts w:ascii="Arial" w:cs="Arial" w:eastAsia="Arial" w:hAnsi="Arial"/>
                <w:sz w:val="18"/>
                <w:szCs w:val="18"/>
                <w:b w:val="1"/>
                <w:bCs w:val="1"/>
                <w:color w:val="0000FF"/>
                <w:w w:val="88"/>
              </w:rPr>
            </w:pPr>
            <w:hyperlink w:anchor="page40">
              <w:r>
                <w:rPr>
                  <w:rFonts w:ascii="Arial" w:cs="Arial" w:eastAsia="Arial" w:hAnsi="Arial"/>
                  <w:sz w:val="18"/>
                  <w:szCs w:val="18"/>
                  <w:b w:val="1"/>
                  <w:bCs w:val="1"/>
                  <w:color w:val="0000FF"/>
                  <w:w w:val="88"/>
                </w:rPr>
                <w:t>Risk Factors</w:t>
              </w:r>
            </w:hyperlink>
          </w:p>
        </w:tc>
        <w:tc>
          <w:tcPr>
            <w:tcW w:w="420" w:type="dxa"/>
            <w:vAlign w:val="bottom"/>
          </w:tcPr>
          <w:p>
            <w:pPr>
              <w:spacing w:after="0"/>
              <w:rPr>
                <w:sz w:val="21"/>
                <w:szCs w:val="21"/>
                <w:color w:val="auto"/>
              </w:rPr>
            </w:pPr>
          </w:p>
        </w:tc>
        <w:tc>
          <w:tcPr>
            <w:tcW w:w="6940" w:type="dxa"/>
            <w:vAlign w:val="bottom"/>
            <w:gridSpan w:val="9"/>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580" w:type="dxa"/>
            <w:vAlign w:val="bottom"/>
            <w:gridSpan w:val="11"/>
          </w:tcPr>
          <w:p>
            <w:pPr>
              <w:spacing w:after="0"/>
              <w:rPr>
                <w:rFonts w:ascii="Arial" w:cs="Arial" w:eastAsia="Arial" w:hAnsi="Arial"/>
                <w:sz w:val="18"/>
                <w:szCs w:val="18"/>
                <w:b w:val="1"/>
                <w:bCs w:val="1"/>
                <w:color w:val="0000FF"/>
                <w:w w:val="87"/>
              </w:rPr>
            </w:pPr>
            <w:hyperlink w:anchor="page60">
              <w:r>
                <w:rPr>
                  <w:rFonts w:ascii="Arial" w:cs="Arial" w:eastAsia="Arial" w:hAnsi="Arial"/>
                  <w:sz w:val="18"/>
                  <w:szCs w:val="18"/>
                  <w:b w:val="1"/>
                  <w:bCs w:val="1"/>
                  <w:color w:val="0000FF"/>
                  <w:w w:val="87"/>
                </w:rPr>
                <w:t>Unregistered Sales of Equity Securities and Use of Proceeds</w:t>
              </w:r>
            </w:hyperlink>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60" w:type="dxa"/>
            <w:vAlign w:val="bottom"/>
            <w:gridSpan w:val="9"/>
            <w:shd w:val="clear" w:color="auto" w:fill="0000FF"/>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580" w:type="dxa"/>
            <w:vAlign w:val="bottom"/>
            <w:gridSpan w:val="11"/>
          </w:tcPr>
          <w:p>
            <w:pPr>
              <w:spacing w:after="0"/>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Exhibits</w:t>
              </w:r>
            </w:hyperlink>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20" w:type="dxa"/>
            <w:vAlign w:val="bottom"/>
            <w:gridSpan w:val="11"/>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60">
              <w:r>
                <w:rPr>
                  <w:rFonts w:ascii="Arial" w:cs="Arial" w:eastAsia="Arial" w:hAnsi="Arial"/>
                  <w:sz w:val="18"/>
                  <w:szCs w:val="18"/>
                  <w:b w:val="1"/>
                  <w:bCs w:val="1"/>
                  <w:color w:val="0000FF"/>
                  <w:w w:val="85"/>
                </w:rPr>
                <w:t>Signatures</w:t>
              </w:r>
            </w:hyperlink>
          </w:p>
        </w:tc>
        <w:tc>
          <w:tcPr>
            <w:tcW w:w="7520" w:type="dxa"/>
            <w:vAlign w:val="bottom"/>
            <w:gridSpan w:val="11"/>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400"/>
          </w:cols>
          <w:pgMar w:left="240" w:top="34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66,859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322,536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246,651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Accounts receivable, net of allowance for doubtful accounts of $180 and $303 at September 30, 2011 and</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2010,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72,336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Inventory—Net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13,517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8,849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503,926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420,158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ASSET—Non-current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37,443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37,443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113,801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73,950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670,987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545,422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16,303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payroll and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192,927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169,648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218,382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REVENUE—Non-current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82,199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82,983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11,603</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354,120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312,968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$0.001 par value - 300,000 shares authorized; 155,006 and 150,172 shares issued and 153,597 and</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148,763 shares outstanding at September 30, 2011 and December 31, 2010,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292,440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251,845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(18,727)</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316,867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232,454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670,987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545,422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640"/>
              <w:spacing w:after="0"/>
              <w:rPr>
                <w:sz w:val="20"/>
                <w:szCs w:val="20"/>
                <w:color w:val="auto"/>
              </w:rPr>
            </w:pPr>
            <w:r>
              <w:rPr>
                <w:rFonts w:ascii="Arial" w:cs="Arial" w:eastAsia="Arial" w:hAnsi="Arial"/>
                <w:sz w:val="18"/>
                <w:szCs w:val="18"/>
                <w:color w:val="auto"/>
                <w:w w:val="99"/>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3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4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5"/>
          </w:tcPr>
          <w:p>
            <w:pPr>
              <w:ind w:left="7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10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38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11"/>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1"/>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1"/>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Product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53,093</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35,913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139,945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94,060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159,192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124,116</w:t>
            </w:r>
          </w:p>
        </w:tc>
        <w:tc>
          <w:tcPr>
            <w:tcW w:w="0" w:type="dxa"/>
            <w:vAlign w:val="bottom"/>
          </w:tcPr>
          <w:p>
            <w:pPr>
              <w:spacing w:after="0"/>
              <w:rPr>
                <w:sz w:val="1"/>
                <w:szCs w:val="1"/>
                <w:color w:val="auto"/>
              </w:rPr>
            </w:pP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Ratable and other revenue</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5,498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4,531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13,578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12,921</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w:t>
            </w:r>
          </w:p>
        </w:tc>
        <w:tc>
          <w:tcPr>
            <w:tcW w:w="1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116,426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312,715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231,097</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36,399</w:t>
            </w:r>
          </w:p>
        </w:tc>
        <w:tc>
          <w:tcPr>
            <w:tcW w:w="0" w:type="dxa"/>
            <w:vAlign w:val="bottom"/>
          </w:tcPr>
          <w:p>
            <w:pPr>
              <w:spacing w:after="0"/>
              <w:rPr>
                <w:sz w:val="1"/>
                <w:szCs w:val="1"/>
                <w:color w:val="auto"/>
              </w:rPr>
            </w:pP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Services</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9,438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6,565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25,815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19,851</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Ratable and other revenue</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37"/>
        </w:trPr>
        <w:tc>
          <w:tcPr>
            <w:tcW w:w="3220" w:type="dxa"/>
            <w:vAlign w:val="bottom"/>
          </w:tcPr>
          <w:p>
            <w:pPr>
              <w:ind w:left="600"/>
              <w:spacing w:after="0"/>
              <w:rPr>
                <w:sz w:val="20"/>
                <w:szCs w:val="20"/>
                <w:color w:val="auto"/>
              </w:rPr>
            </w:pPr>
            <w:r>
              <w:rPr>
                <w:rFonts w:ascii="Arial" w:cs="Arial" w:eastAsia="Arial" w:hAnsi="Arial"/>
                <w:sz w:val="18"/>
                <w:szCs w:val="18"/>
                <w:color w:val="auto"/>
              </w:rPr>
              <w:t>Total cost of revenue</w:t>
            </w:r>
          </w:p>
        </w:tc>
        <w:tc>
          <w:tcPr>
            <w:tcW w:w="1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31,139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81,113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60,983</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Product</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32,487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22,650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88,673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57,661</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133,377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104,265</w:t>
            </w:r>
          </w:p>
        </w:tc>
        <w:tc>
          <w:tcPr>
            <w:tcW w:w="0" w:type="dxa"/>
            <w:vAlign w:val="bottom"/>
          </w:tcPr>
          <w:p>
            <w:pPr>
              <w:spacing w:after="0"/>
              <w:rPr>
                <w:sz w:val="1"/>
                <w:szCs w:val="1"/>
                <w:color w:val="auto"/>
              </w:rPr>
            </w:pP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Ratable and other revenue</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4,403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9,552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8,188</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gross profit</w:t>
            </w:r>
          </w:p>
        </w:tc>
        <w:tc>
          <w:tcPr>
            <w:tcW w:w="1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231,602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170,114</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36,999</w:t>
            </w:r>
          </w:p>
        </w:tc>
        <w:tc>
          <w:tcPr>
            <w:tcW w:w="0" w:type="dxa"/>
            <w:vAlign w:val="bottom"/>
          </w:tcPr>
          <w:p>
            <w:pPr>
              <w:spacing w:after="0"/>
              <w:rPr>
                <w:sz w:val="1"/>
                <w:szCs w:val="1"/>
                <w:color w:val="auto"/>
              </w:rPr>
            </w:pP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36,934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26,987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105,548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81,487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16,985</w:t>
            </w:r>
          </w:p>
        </w:tc>
        <w:tc>
          <w:tcPr>
            <w:tcW w:w="0" w:type="dxa"/>
            <w:vAlign w:val="bottom"/>
          </w:tcPr>
          <w:p>
            <w:pPr>
              <w:spacing w:after="0"/>
              <w:rPr>
                <w:sz w:val="1"/>
                <w:szCs w:val="1"/>
                <w:color w:val="auto"/>
              </w:rPr>
            </w:pPr>
          </w:p>
        </w:tc>
      </w:tr>
      <w:tr>
        <w:trPr>
          <w:trHeight w:val="237"/>
        </w:trPr>
        <w:tc>
          <w:tcPr>
            <w:tcW w:w="322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59,127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45,369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169,218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135,471</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34,643</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(EXPENSE)—Net</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27,124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18,271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64,702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9,207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18,704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10,155</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17,917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45,998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25,104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20" w:type="dxa"/>
            <w:vAlign w:val="bottom"/>
            <w:vMerge w:val="continue"/>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2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14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153,265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143,672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151,958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138,376</w:t>
            </w:r>
          </w:p>
        </w:tc>
        <w:tc>
          <w:tcPr>
            <w:tcW w:w="0" w:type="dxa"/>
            <w:vAlign w:val="bottom"/>
          </w:tcPr>
          <w:p>
            <w:pPr>
              <w:spacing w:after="0"/>
              <w:rPr>
                <w:sz w:val="1"/>
                <w:szCs w:val="1"/>
                <w:color w:val="auto"/>
              </w:rPr>
            </w:pPr>
          </w:p>
        </w:tc>
      </w:tr>
      <w:tr>
        <w:trPr>
          <w:trHeight w:val="251"/>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163,869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155,842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163,554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153,290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40" w:type="dxa"/>
            <w:vAlign w:val="bottom"/>
            <w:vMerge w:val="restart"/>
          </w:tcPr>
          <w:p>
            <w:pPr>
              <w:ind w:left="400"/>
              <w:spacing w:after="0"/>
              <w:rPr>
                <w:sz w:val="20"/>
                <w:szCs w:val="20"/>
                <w:color w:val="auto"/>
              </w:rPr>
            </w:pPr>
            <w:r>
              <w:rPr>
                <w:rFonts w:ascii="Arial" w:cs="Arial" w:eastAsia="Arial" w:hAnsi="Arial"/>
                <w:sz w:val="18"/>
                <w:szCs w:val="18"/>
                <w:color w:val="auto"/>
              </w:rPr>
              <w:t>See notes to</w:t>
            </w: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1"/>
              </w:rPr>
              <w:t>condensed consolidated</w:t>
            </w:r>
          </w:p>
        </w:tc>
        <w:tc>
          <w:tcPr>
            <w:tcW w:w="120" w:type="dxa"/>
            <w:vAlign w:val="bottom"/>
            <w:vMerge w:val="continue"/>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w w:val="95"/>
              </w:rPr>
              <w:t>financial statements.</w:t>
            </w:r>
          </w:p>
        </w:tc>
        <w:tc>
          <w:tcPr>
            <w:tcW w:w="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4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41" w:right="2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0"/>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45,998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25,104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Loss on disposal of fixed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Amortization of investment premiums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Excess tax benefit from employee stock option plans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receivable—net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Inventory—net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Deferred cost of revenues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Accrued payroll and compensation</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settlement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33,321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110,283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71,959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(311,995)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Maturities and sales of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80,097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made in connection with business acquisition,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Deposits of restricted cash</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(234,802)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 and warrants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23,892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Offering costs paid in connection with Initial Public Offering</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employee stock option plans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212,458</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66,630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77,139</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Cash paid (refunded) for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 not yet paid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640"/>
              <w:spacing w:after="0"/>
              <w:rPr>
                <w:sz w:val="20"/>
                <w:szCs w:val="20"/>
                <w:color w:val="auto"/>
              </w:rPr>
            </w:pPr>
            <w:r>
              <w:rPr>
                <w:rFonts w:ascii="Arial" w:cs="Arial" w:eastAsia="Arial" w:hAnsi="Arial"/>
                <w:sz w:val="18"/>
                <w:szCs w:val="18"/>
                <w:color w:val="auto"/>
                <w:w w:val="99"/>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07" w:lineRule="exact"/>
        <w:rPr>
          <w:sz w:val="20"/>
          <w:szCs w:val="20"/>
          <w:color w:val="auto"/>
        </w:rPr>
      </w:pPr>
    </w:p>
    <w:p>
      <w:pPr>
        <w:ind w:right="180" w:firstLine="486"/>
        <w:spacing w:after="0" w:line="261"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—Fortinet, Inc. (“Fortinet”) was incorporated in Delaware in November 2000 and is a leading provider of network security appliances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Unified Threat Management (UTM) network security solutions to enterprises, service providers and government entities worldwide. Fortinet's solutions are designed to integrate multiple levels of security protection, including firewall, virtual private networking, antivirus, intrusion prevention, web filtering, antispam and WAN acceleration.</w:t>
      </w:r>
    </w:p>
    <w:p>
      <w:pPr>
        <w:spacing w:after="0" w:line="180" w:lineRule="exact"/>
        <w:rPr>
          <w:sz w:val="20"/>
          <w:szCs w:val="20"/>
          <w:color w:val="auto"/>
        </w:rPr>
      </w:pPr>
    </w:p>
    <w:p>
      <w:pPr>
        <w:ind w:right="180" w:firstLine="486"/>
        <w:spacing w:after="0" w:line="292" w:lineRule="auto"/>
        <w:rPr>
          <w:sz w:val="20"/>
          <w:szCs w:val="20"/>
          <w:color w:val="auto"/>
        </w:rPr>
      </w:pPr>
      <w:r>
        <w:rPr>
          <w:rFonts w:ascii="Arial" w:cs="Arial" w:eastAsia="Arial" w:hAnsi="Arial"/>
          <w:sz w:val="16"/>
          <w:szCs w:val="16"/>
          <w:b w:val="1"/>
          <w:bCs w:val="1"/>
          <w:color w:val="auto"/>
        </w:rPr>
        <w:t>Basis of Presentation and Preparation</w:t>
      </w:r>
      <w:r>
        <w:rPr>
          <w:rFonts w:ascii="Arial" w:cs="Arial" w:eastAsia="Arial" w:hAnsi="Arial"/>
          <w:sz w:val="16"/>
          <w:szCs w:val="16"/>
          <w:color w:val="auto"/>
        </w:rPr>
        <w:t>—The condensed consolidated financial statements include the accounts of Fortinet and its wholly owned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(collectively, the “Company,” “we,” “us,” or “our”). All intercompany transactions and balances have been eliminated in consolidation. The accompanying condensed consolidated balance sheet as of September 30, 2011, the condensed consolidated statements of operations for the three and nine months ended September 30, 2011 and September 30, 2010, and the condensed consolidated statements of cash flows for the nine months ended September 30, 2011 and September 30, 2010 are unaudited. The condensed consolidated balance sheet data as of December 31, 2010 was derived from the audited consolidated financial statements, which are included in our Annual Report on Form 10-K (“Form 10-K”). The accompanying statements should be read in conjunction with the audited consolidated financial statements and related notes contained in our Form 10-K.</w:t>
      </w:r>
    </w:p>
    <w:p>
      <w:pPr>
        <w:spacing w:after="0" w:line="166"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for the three and nine months ended September 30, 2011 and September 30, 2010 have been prepared on the same basis as the audited consolidated statements and reflect all adjustments, consisting of normal recurring adjustments which are, in the opinion of management, necessary for a fair presentation of our financial position, results of operations, and cash flows for the interim periods presented. The statements have been prepared in accordance with accounting principles generally accepted in the United States of America (“U.S. GAAP” or “GAAP”) pursuant to the rules and regulations of the Securities and Exchange Commission (“SEC”). Accordingly, certain information and footnote disclosures normally included in financial statements prepared in accordance with U.S. GAAP have been condensed or omitted pursuant to such rules and regulations. The results of operations for the three and nine months ended September 30, 2011 are not necessarily indicative of the operating results for any subsequent quarter, for the full year or any future periods.</w:t>
      </w:r>
    </w:p>
    <w:p>
      <w:pPr>
        <w:spacing w:after="0" w:line="179"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Effective June 1, 2011, we completed a two-for-one stock split of our outstanding common shares in the form of a stock dividend. In accordance with GAAP, all shares and per share information referenced throughout the condensed consolidated financial statements have been retroactively adjusted to reflect this stock split. We have changed the caption Ratable product and services revenue on our condensed consolidated statement of operations to Ratable and other revenue. We have made this change to reflect a $2.6 million sale of previously-acquired patents during the third quarter.</w:t>
      </w:r>
    </w:p>
    <w:p>
      <w:pPr>
        <w:spacing w:after="0" w:line="150" w:lineRule="exact"/>
        <w:rPr>
          <w:sz w:val="20"/>
          <w:szCs w:val="20"/>
          <w:color w:val="auto"/>
        </w:rPr>
      </w:pPr>
    </w:p>
    <w:p>
      <w:pPr>
        <w:ind w:firstLine="486"/>
        <w:spacing w:after="0" w:line="295"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condensed consolidated financial statements in conformity with U.S. GAAP requires management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and assumptions that affect the reported amounts of assets and liabilities at the date of the condensed consolidated financial statements and the reported amounts of revenues and expenses during the reporting period. Such management estimates include implicit service periods for revenue recognition, the best estimate of selling price, litigation and settlement costs and other loss contingencies, sales returns and allowances, reserve for bad debt, inventory write-offs, reserve for warranty costs, stock-based compensation, valuation of deferred tax assets, and tangible and intangible assets. We base our estimates on historical experience and also on assumptions that we believe are reasonable. Actual results could differ from those estimates.</w:t>
      </w:r>
    </w:p>
    <w:p>
      <w:pPr>
        <w:spacing w:after="0" w:line="15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b w:val="1"/>
          <w:bCs w:val="1"/>
          <w:color w:val="auto"/>
        </w:rPr>
        <w:t>Certain Significant Risks and Uncertainties</w:t>
      </w:r>
      <w:r>
        <w:rPr>
          <w:rFonts w:ascii="Arial" w:cs="Arial" w:eastAsia="Arial" w:hAnsi="Arial"/>
          <w:sz w:val="18"/>
          <w:szCs w:val="18"/>
          <w:color w:val="auto"/>
        </w:rPr>
        <w:t>—We are subject to certain risks and uncertainties that could have a material adverse effect on our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position or results of operations, such as the following: changes in level of demand for our products and services, seasonality, the timing of new product introductions, price and sales competition and our ability to adapt to changing market conditions and dynamics, changes in the expenses caused by, for example, fluctuations in foreign currency exchange rates, management of inventory, internal control over financial reporting, market acceptance of our new products and services, demand for UTM products and services in general, failure of our channel partners to perform, the quality of our products and services, general economic conditions, challenges in doing business outside of the United States of America, changes in customer relationships, litigation, or claims against us based on intellectual property, patent, product regulatory or other factors (Note 7), product obsolescence, and our ability to attract and retain qualified employees.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rely on sole suppliers and independent contract manufacturers for certain of our components and one third-party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41" w:right="2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logistics company for distribution of some of our products. The inability of any of these parties to fulfill our supply and logistics requirements could negatively impact our future operating results.</w:t>
      </w:r>
    </w:p>
    <w:p>
      <w:pPr>
        <w:spacing w:after="0" w:line="166"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—Financial instruments that subject us to concentration of credit risk consist primarily of cash, cash equivalents, short-term and long-term investments, and accounts receivable. We maintain our cash and cash equivalents in fixed income securities with major financial institutions, which our management assesses to be of high credit quality, in order to limit the exposure of each investment. Deposits held with banks may exceed the amount of insurance provided on such deposits.</w:t>
      </w:r>
    </w:p>
    <w:p>
      <w:pPr>
        <w:spacing w:after="0" w:line="184"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Credit risk with respect to accounts receivable in general is diversified due to the number of different entities comprising our customer base and their location throughout the world. We perform ongoing credit evaluations of our customers and generally do not require collateral on accounts receivable. We maintain reserves for estimated potential credit losses.</w:t>
      </w:r>
    </w:p>
    <w:p>
      <w:pPr>
        <w:spacing w:after="0" w:line="18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During the three and nine months ended September 30, 2011 and September 30, 2010, no single customer accounted for more than 10.0% of total net revenue.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2011 and December 31, 2010, no single customer accounted for more than 10.0% of net accounts receivable.</w:t>
      </w:r>
    </w:p>
    <w:p>
      <w:pPr>
        <w:spacing w:after="0" w:line="221" w:lineRule="exact"/>
        <w:rPr>
          <w:sz w:val="20"/>
          <w:szCs w:val="20"/>
          <w:color w:val="auto"/>
        </w:rPr>
      </w:pPr>
    </w:p>
    <w:p>
      <w:pPr>
        <w:ind w:firstLine="486"/>
        <w:spacing w:after="0" w:line="314" w:lineRule="auto"/>
        <w:rPr>
          <w:sz w:val="20"/>
          <w:szCs w:val="20"/>
          <w:color w:val="auto"/>
        </w:rPr>
      </w:pPr>
      <w:r>
        <w:rPr>
          <w:rFonts w:ascii="Arial" w:cs="Arial" w:eastAsia="Arial" w:hAnsi="Arial"/>
          <w:sz w:val="16"/>
          <w:szCs w:val="16"/>
          <w:b w:val="1"/>
          <w:bCs w:val="1"/>
          <w:color w:val="auto"/>
        </w:rPr>
        <w:t>Financial Instruments and Fair Value</w:t>
      </w:r>
      <w:r>
        <w:rPr>
          <w:rFonts w:ascii="Arial" w:cs="Arial" w:eastAsia="Arial" w:hAnsi="Arial"/>
          <w:sz w:val="16"/>
          <w:szCs w:val="16"/>
          <w:color w:val="auto"/>
        </w:rPr>
        <w:t>—We apply fair value accounting for all financial assets and liabilities and non-financial assets and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recognized or disclosed at fair value in the financial statements on a recurring basis. Due to their short-term nature, the carrying amounts reported in the consolidated financial statements approximate the fair value for accounts receivable, accounts payable, accrued compensation, and other current liabilities.</w:t>
      </w:r>
    </w:p>
    <w:p>
      <w:pPr>
        <w:spacing w:after="0" w:line="142"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—Financial Accounting Standards Board ("FASB") Accounting Standards Codification ("ASC") 220 (formerly referred to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Statement of Financial Accounting Standards ("SFAS") No. 130, Reporting Comprehensive Income</w:t>
      </w:r>
      <w:r>
        <w:rPr>
          <w:rFonts w:ascii="Arial" w:cs="Arial" w:eastAsia="Arial" w:hAnsi="Arial"/>
          <w:sz w:val="18"/>
          <w:szCs w:val="18"/>
          <w:color w:val="auto"/>
        </w:rPr>
        <w:t>) establishes standards for the reporting and displaying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and its components. Comprehensive income includes certain changes in equity from non-owner sources that are excluded from net income. Specifically, cumulative foreign currency translation adjustments and unrealized gains and losses on available-for-sale investments are included in comprehensive income in stockholders' equity.</w:t>
      </w:r>
    </w:p>
    <w:p>
      <w:pPr>
        <w:spacing w:after="0" w:line="184" w:lineRule="exact"/>
        <w:rPr>
          <w:sz w:val="20"/>
          <w:szCs w:val="20"/>
          <w:color w:val="auto"/>
        </w:rPr>
      </w:pPr>
    </w:p>
    <w:p>
      <w:pPr>
        <w:ind w:right="80" w:firstLine="486"/>
        <w:spacing w:after="0" w:line="298" w:lineRule="auto"/>
        <w:rPr>
          <w:sz w:val="20"/>
          <w:szCs w:val="20"/>
          <w:color w:val="auto"/>
        </w:rPr>
      </w:pPr>
      <w:r>
        <w:rPr>
          <w:rFonts w:ascii="Arial" w:cs="Arial" w:eastAsia="Arial" w:hAnsi="Arial"/>
          <w:sz w:val="16"/>
          <w:szCs w:val="16"/>
          <w:b w:val="1"/>
          <w:bCs w:val="1"/>
          <w:color w:val="auto"/>
        </w:rPr>
        <w:t>Foreign Currency Translation</w:t>
      </w:r>
      <w:r>
        <w:rPr>
          <w:rFonts w:ascii="Arial" w:cs="Arial" w:eastAsia="Arial" w:hAnsi="Arial"/>
          <w:sz w:val="16"/>
          <w:szCs w:val="16"/>
          <w:color w:val="auto"/>
        </w:rPr>
        <w:t>—Assets and liabilities of foreign subsidiaries are translated into U.S. dollars using the exchange rates in effect at the</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sheet dates and revenue and expenses are translated using average exchange rates during the period. The resulting foreign translation adjustments are recorded in accumulated other comprehensive income. Foreign currency transaction gains (losses) of $0.1 million and $(0.4) million, are included in other income (expense), net for the three months ended September 30, 2011 and September 30, 2010, respectively. Foreign currency transaction losses of $(0.2) million and $(0.6) million are included in other income (expense), net for the nine months ended September 30, 2011 and September 30, 2010, respectively.</w:t>
      </w:r>
    </w:p>
    <w:p>
      <w:pPr>
        <w:spacing w:after="0" w:line="154" w:lineRule="exact"/>
        <w:rPr>
          <w:sz w:val="20"/>
          <w:szCs w:val="20"/>
          <w:color w:val="auto"/>
        </w:rPr>
      </w:pPr>
    </w:p>
    <w:p>
      <w:pPr>
        <w:ind w:right="160" w:firstLine="486"/>
        <w:spacing w:after="0" w:line="289" w:lineRule="auto"/>
        <w:rPr>
          <w:sz w:val="20"/>
          <w:szCs w:val="20"/>
          <w:color w:val="auto"/>
        </w:rPr>
      </w:pPr>
      <w:r>
        <w:rPr>
          <w:rFonts w:ascii="Arial" w:cs="Arial" w:eastAsia="Arial" w:hAnsi="Arial"/>
          <w:sz w:val="17"/>
          <w:szCs w:val="17"/>
          <w:b w:val="1"/>
          <w:bCs w:val="1"/>
          <w:color w:val="auto"/>
        </w:rPr>
        <w:t>Cash, Cash Equivalents and Investments</w:t>
      </w:r>
      <w:r>
        <w:rPr>
          <w:rFonts w:ascii="Arial" w:cs="Arial" w:eastAsia="Arial" w:hAnsi="Arial"/>
          <w:sz w:val="17"/>
          <w:szCs w:val="17"/>
          <w:color w:val="auto"/>
        </w:rPr>
        <w:t>—We consider all highly liquid investments, purchased with original maturities of three months or less, to</w:t>
      </w:r>
      <w:r>
        <w:rPr>
          <w:rFonts w:ascii="Arial" w:cs="Arial" w:eastAsia="Arial" w:hAnsi="Arial"/>
          <w:sz w:val="17"/>
          <w:szCs w:val="17"/>
          <w:b w:val="1"/>
          <w:bCs w:val="1"/>
          <w:color w:val="auto"/>
        </w:rPr>
        <w:t xml:space="preserve"> </w:t>
      </w:r>
      <w:r>
        <w:rPr>
          <w:rFonts w:ascii="Arial" w:cs="Arial" w:eastAsia="Arial" w:hAnsi="Arial"/>
          <w:sz w:val="17"/>
          <w:szCs w:val="17"/>
          <w:color w:val="auto"/>
        </w:rPr>
        <w:t>be cash equivalents. Cash and cash equivalents consist of cash on-hand, balances with banks, and highly liquid investments in money market funds, commercial paper, government securities, certificates of deposit, municipal bonds and corporate debt securities.</w:t>
      </w:r>
    </w:p>
    <w:p>
      <w:pPr>
        <w:spacing w:after="0" w:line="162"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Our investments consist of marketable debt securities, which are classified as available-for-sale and are recognized at fair value. We include these investments on our balance sheet as either short-term or long-term investments depending on their maturity at the time of purchase. Investments with original maturities greater than three months that mature less than one year from the consolidated balance sheet date are classified as short-term investments. Investments with maturities greater than one year from the consolidated balance sheet date are classified as long-term investments.</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For debt securities in an unrealized loss position which are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w:t>
      </w:r>
    </w:p>
    <w:p>
      <w:pPr>
        <w:spacing w:after="0" w:line="183" w:lineRule="exact"/>
        <w:rPr>
          <w:sz w:val="20"/>
          <w:szCs w:val="20"/>
          <w:color w:val="auto"/>
        </w:rPr>
      </w:pPr>
    </w:p>
    <w:p>
      <w:pPr>
        <w:ind w:right="240" w:firstLine="486"/>
        <w:spacing w:after="0" w:line="258"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is recorded at the lower of cost (using the first-in, first-out method) or market, after we give appropriate consideration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obsolescence and inventory in excess of anticipated future demand. In assessing the ultimate recoverability of inventory, we are required to make estimates regarding future customer demand, the timing of new product introductions, economic trends and market conditions. If the actual product demand is significantly lower than forecasted, we could be required to record additional inventory write-downs, which could have an adverse impact on our gross margins and profitability.</w:t>
      </w:r>
    </w:p>
    <w:p>
      <w:pPr>
        <w:spacing w:after="0" w:line="184" w:lineRule="exact"/>
        <w:rPr>
          <w:sz w:val="20"/>
          <w:szCs w:val="20"/>
          <w:color w:val="auto"/>
        </w:rPr>
      </w:pPr>
    </w:p>
    <w:p>
      <w:pPr>
        <w:ind w:right="120" w:firstLine="486"/>
        <w:spacing w:after="0" w:line="314" w:lineRule="auto"/>
        <w:rPr>
          <w:sz w:val="20"/>
          <w:szCs w:val="20"/>
          <w:color w:val="auto"/>
        </w:rPr>
      </w:pPr>
      <w:r>
        <w:rPr>
          <w:rFonts w:ascii="Arial" w:cs="Arial" w:eastAsia="Arial" w:hAnsi="Arial"/>
          <w:sz w:val="16"/>
          <w:szCs w:val="16"/>
          <w:b w:val="1"/>
          <w:bCs w:val="1"/>
          <w:color w:val="auto"/>
        </w:rPr>
        <w:t>Deferred Cost of Revenues</w:t>
      </w:r>
      <w:r>
        <w:rPr>
          <w:rFonts w:ascii="Arial" w:cs="Arial" w:eastAsia="Arial" w:hAnsi="Arial"/>
          <w:sz w:val="16"/>
          <w:szCs w:val="16"/>
          <w:color w:val="auto"/>
        </w:rPr>
        <w:t>—Deferred cost of revenues represents the unamortized cost of products associated with ratable and other revenue, which</w:t>
      </w:r>
      <w:r>
        <w:rPr>
          <w:rFonts w:ascii="Arial" w:cs="Arial" w:eastAsia="Arial" w:hAnsi="Arial"/>
          <w:sz w:val="16"/>
          <w:szCs w:val="16"/>
          <w:b w:val="1"/>
          <w:bCs w:val="1"/>
          <w:color w:val="auto"/>
        </w:rPr>
        <w:t xml:space="preserve"> </w:t>
      </w:r>
      <w:r>
        <w:rPr>
          <w:rFonts w:ascii="Arial" w:cs="Arial" w:eastAsia="Arial" w:hAnsi="Arial"/>
          <w:sz w:val="16"/>
          <w:szCs w:val="16"/>
          <w:color w:val="auto"/>
        </w:rPr>
        <w:t>is based upon the actual cost of the hardware sold and is recognized over the service periods of the arrangements. Deferred cost of revenues associated with short-term deferred revenue is classified as short-term and deferred cost of revenues associated with long-term deferred revenue is classified as long-term.</w:t>
      </w:r>
    </w:p>
    <w:p>
      <w:pPr>
        <w:spacing w:after="0" w:line="142" w:lineRule="exact"/>
        <w:rPr>
          <w:sz w:val="20"/>
          <w:szCs w:val="20"/>
          <w:color w:val="auto"/>
        </w:rPr>
      </w:pPr>
    </w:p>
    <w:p>
      <w:pPr>
        <w:ind w:right="40" w:firstLine="486"/>
        <w:spacing w:after="0" w:line="314" w:lineRule="auto"/>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—Property and equipment are stated at cost. Depreciation is computed using the straight-line method over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useful lives of the assets, generally one to three years. Evaluation units are transferred from inventory at cost and are amortized over one year from the date of transfer. Leasehold improvements are amortized over the shorter of the estimated useful lives of the improvements or the lease term.</w:t>
      </w:r>
    </w:p>
    <w:p>
      <w:pPr>
        <w:spacing w:after="0" w:line="142"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—We evaluate events and changes in circumstances that could indicate carrying amounts of long-lived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Deferred Revenue</w:t>
      </w:r>
      <w:r>
        <w:rPr>
          <w:rFonts w:ascii="Arial" w:cs="Arial" w:eastAsia="Arial" w:hAnsi="Arial"/>
          <w:sz w:val="18"/>
          <w:szCs w:val="18"/>
          <w:color w:val="auto"/>
        </w:rPr>
        <w:t>—Deferred revenue consists of amounts that have been invoiced but that have not yet been recognized as revenue.</w:t>
      </w:r>
    </w:p>
    <w:p>
      <w:pPr>
        <w:spacing w:after="0" w:line="22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—We record income taxes using the asset and liability method, which requires the recognition of deferred tax assets and liabilities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expected future tax consequences of events that have been recognized in our financial statements or tax returns. In estimating future tax consequences, generally all expected future events other than enactments or changes in the tax law or rates are considered. We assess the likelihood that some portion or all of our deferred tax assets will be recovered from future taxable income within the respective jurisdictions, and to the extent we believe that recovery does not meet the “more-likely-than-not” standard, based solely on its technical merits as of the reporting date, we establish a valuation allowance. We consider many factors when evaluating and estimating our tax positions and tax benefits, which may require periodic adjustments and which may not accurately anticipate actual outcomes.</w:t>
      </w:r>
    </w:p>
    <w:p>
      <w:pPr>
        <w:spacing w:after="0" w:line="19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183" w:lineRule="exact"/>
        <w:rPr>
          <w:sz w:val="20"/>
          <w:szCs w:val="20"/>
          <w:color w:val="auto"/>
        </w:rPr>
      </w:pPr>
    </w:p>
    <w:p>
      <w:pPr>
        <w:ind w:right="240" w:firstLine="486"/>
        <w:spacing w:after="0" w:line="261"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—We apply ASC 718 (formerly referred to as SFAS No. 123R) to our stock option grants and stock purchase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requires compensation expense related to share-based transactions, including employee stock options and stock purchase rights under our employee stock purchase plan ("ESPP"), to be measured and recognized in the financial statements based on fair value. Under ASC 718, the fair value of each option award is estimated on the grant date using the Black-Scholes option pricing model.</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costs are expensed as incurred.</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60" w:firstLine="486"/>
        <w:spacing w:after="0" w:line="282" w:lineRule="auto"/>
        <w:rPr>
          <w:sz w:val="20"/>
          <w:szCs w:val="20"/>
          <w:color w:val="auto"/>
        </w:rPr>
      </w:pPr>
      <w:r>
        <w:rPr>
          <w:rFonts w:ascii="Arial" w:cs="Arial" w:eastAsia="Arial" w:hAnsi="Arial"/>
          <w:sz w:val="18"/>
          <w:szCs w:val="18"/>
          <w:b w:val="1"/>
          <w:bCs w:val="1"/>
          <w:color w:val="auto"/>
        </w:rPr>
        <w:t>Software Development Costs</w:t>
      </w:r>
      <w:r>
        <w:rPr>
          <w:rFonts w:ascii="Arial" w:cs="Arial" w:eastAsia="Arial" w:hAnsi="Arial"/>
          <w:sz w:val="18"/>
          <w:szCs w:val="18"/>
          <w:color w:val="auto"/>
        </w:rPr>
        <w:t>—The costs to develop software have not been capitalized as we believe our current software development process is</w:t>
      </w:r>
      <w:r>
        <w:rPr>
          <w:rFonts w:ascii="Arial" w:cs="Arial" w:eastAsia="Arial" w:hAnsi="Arial"/>
          <w:sz w:val="18"/>
          <w:szCs w:val="18"/>
          <w:b w:val="1"/>
          <w:bCs w:val="1"/>
          <w:color w:val="auto"/>
        </w:rPr>
        <w:t xml:space="preserve"> </w:t>
      </w:r>
      <w:r>
        <w:rPr>
          <w:rFonts w:ascii="Arial" w:cs="Arial" w:eastAsia="Arial" w:hAnsi="Arial"/>
          <w:sz w:val="18"/>
          <w:szCs w:val="18"/>
          <w:color w:val="auto"/>
        </w:rPr>
        <w:t>essentially completed concurrent with the establishment of technological feasibility.</w:t>
      </w:r>
    </w:p>
    <w:p>
      <w:pPr>
        <w:spacing w:after="0" w:line="162" w:lineRule="exact"/>
        <w:rPr>
          <w:sz w:val="20"/>
          <w:szCs w:val="20"/>
          <w:color w:val="auto"/>
        </w:rPr>
      </w:pPr>
    </w:p>
    <w:p>
      <w:pPr>
        <w:ind w:right="200" w:firstLine="486"/>
        <w:spacing w:after="0" w:line="270" w:lineRule="auto"/>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—In October 2009, the FASB amended the ASC as summarized in Accounting Standards Update ("ASU") No. 2009-14,</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Software (Topic 985): Certain Revenue Arrangements That Include Software Elements</w:t>
      </w:r>
      <w:r>
        <w:rPr>
          <w:rFonts w:ascii="Arial" w:cs="Arial" w:eastAsia="Arial" w:hAnsi="Arial"/>
          <w:sz w:val="17"/>
          <w:szCs w:val="17"/>
          <w:color w:val="auto"/>
        </w:rPr>
        <w:t>, and ASU No. 2009-13,</w:t>
      </w:r>
      <w:r>
        <w:rPr>
          <w:rFonts w:ascii="Arial" w:cs="Arial" w:eastAsia="Arial" w:hAnsi="Arial"/>
          <w:sz w:val="17"/>
          <w:szCs w:val="17"/>
          <w:i w:val="1"/>
          <w:iCs w:val="1"/>
          <w:color w:val="auto"/>
        </w:rPr>
        <w:t xml:space="preserve"> Revenue Recognition (Topic 605): Multiple-Deliverable Revenue Arrangements</w:t>
      </w:r>
      <w:r>
        <w:rPr>
          <w:rFonts w:ascii="Arial" w:cs="Arial" w:eastAsia="Arial" w:hAnsi="Arial"/>
          <w:sz w:val="17"/>
          <w:szCs w:val="17"/>
          <w:color w:val="auto"/>
        </w:rPr>
        <w:t>. ASU 2009-14 amends industry specific revenue accounting guidance for software and software related transactions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exclude from its scope tangible products containing software components and non-software components that function together to deliver the product's essential functionality. ASU 2009-13 amends the accounting for multiple-element arrangements to provide guidance on how the deliverables in an arrangement should be separated and eliminates the use of the residual method. ASU 2009-13 also requires an entity to allocate revenue using the relative selling price method. The standard establishes a hierarchy of evidence to determine the stand-alone selling price of a deliverable based on vendor-specific objective evidence ("VSOE"), third-party evidence ("TPE"), and the best estimate of selling price ("BESP"). If VSOE is available, it would be used to determine the selling price of a deliverable. If VSOE is not available, the entity would determine whether TPE is available. If so, TPE must be used to determine the selling price. If TPE is not available, then the BESP would be used.</w:t>
      </w:r>
    </w:p>
    <w:p>
      <w:pPr>
        <w:spacing w:after="0" w:line="182"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Effective January 1, 2011, we adopted the provisions of ASU 2009-13 and ASU 2009-14 for new and materially modified arrangements originating after December 31, 2010. The adoption of ASU 2009-13 and ASU 2009-14, increased revenues $5.1 million and $14.1 million for the three and nine months ended September 30, 2011, respectively. The increase was primarily due to certain product revenue, which can now be recognized upon shipment, but would have been deferred under the previous revenue recognition rules. We expect the adoption of ASU 2009-13 and ASU 2009-14 to have an impact on future periods; however, we cannot reasonably estimate the effect of adopting these standards on future financial periods as the impact will vary depending on the nature and volume of new or materially modified arrangements in any given period.</w:t>
      </w:r>
    </w:p>
    <w:p>
      <w:pPr>
        <w:spacing w:after="0" w:line="17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This guidance does not generally change the units of accounting for our revenue transactions. Most non-software products and services qualify as separate units of accounting because they have value to the customer on a standalone basis and our revenue arrangements generally do not include a right of return relative to delivered products.</w:t>
      </w:r>
    </w:p>
    <w:p>
      <w:pPr>
        <w:spacing w:after="0" w:line="181"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The majority of our products are hardware appliances containing software components that function together to provide the essential functionality of the product, therefore, our hardware appliances are considered non-software deliverables and are no longer within the scope of ASC 985-605 (formerly SOP 97-2, Software Revenue Recognition).</w:t>
      </w:r>
    </w:p>
    <w:p>
      <w:pPr>
        <w:spacing w:after="0" w:line="181"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Our product revenue also includes software products that may operate on the hardware appliances, but are not considered essential to the functionality of the hardware and continue to be subject to the guidance at ASC 985-605, which remains unchanged. This includes the use of the residual method for multiple element arrangements. Certain of our software, when sold with our appliances, is considered essential to its functionality and as a result is no longer accounted for under ASC 985-605; however, this same software if sold separately is accounted for under the guidance at ASC 985-605.</w:t>
      </w:r>
    </w:p>
    <w:p>
      <w:pPr>
        <w:spacing w:after="0" w:line="154"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For all transactions originating or materially modified after December 31, 2010, we recognize revenue in accordance with ASU 2009-13. Certain arrangements with multiple deliverables may continue to have software deliverables that are subject to ASC 985-605 along with non-software deliverables that are subject to the ASU 2009-13. When a sales arrangement contains multiple elements, such as hardware appliances, software, customer support services, and/or professional services, we allocate revenue to each element based on the aforementioned selling price hierarchy. In multiple element arrangements where software is more-than-incidental, revenue is allocated to each separate unit of accounting for each of the non-software deliverables and to the software deliverables as a group using the relative selling prices of each of the deliverables in the arrangement based on the selling price hierarchy in ASU 2009-13.</w:t>
      </w:r>
    </w:p>
    <w:p>
      <w:pPr>
        <w:spacing w:after="0" w:line="165"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VSOE of fair value for elements of an arrangement is based upon the normal pricing and discounting practices for those services when sold separately. In determining VSOE, we require that a substantial majority of the selling prices for a service fall within a reasonably narrow pricing range, generally evidenced by a substantial majority of such historical stand-alone transactions falling within a reasonably narrow range of the median rates. In addition, we consider major segments, geographies, customer classifications, and other variables in determining VSOE.</w:t>
      </w:r>
    </w:p>
    <w:p>
      <w:pPr>
        <w:spacing w:after="0" w:line="171"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are typically not able to determine TPE for our products or services. TPE is determined based on competitor prices for similar deliverables when sold separately. Generally, our go-to-market strategy differs from that of our peers and our offerings contain a significant level of differentiation such that the comparable pricing of products with similar functionality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cannot be obtained. Furthermore, we are unable to reliably determine what similar competitor products' selling prices are on a stand-alone basis.</w:t>
      </w:r>
    </w:p>
    <w:p>
      <w:pPr>
        <w:spacing w:after="0" w:line="237"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For our hardware appliances we use BESP as our selling price. For our support and services, we generally use VSOE as our selling price. When we are unable to establish a selling price using VSOE for our support and services, we use BESP in our allocation of arrangement consideration. The objective of BESP is to determine the price at which we would transact a sale if the product or service were sold on a stand-alone basis. We determine BESP for a product or service by considering multiple factors including, but not limited to, cost of products, gross margin objectives, pricing practices, geographies, customer classes and distribution channels. We review our BESP estimates on a quarterly basis to coincide with our VSOE review process.</w:t>
      </w:r>
    </w:p>
    <w:p>
      <w:pPr>
        <w:spacing w:after="0" w:line="158"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We recognize revenue for our software sales based on software revenue recognition guidance pursuant to ASC 985-605. Under ASC 985-605, we use the residual method to recognize revenue when a product agreement includes one or more elements to be delivered and VSOE of fair value for all undelivered elements exists. If evidence of the fair value of one or more undelivered elements does not exist, all revenue is generally deferred and recognized when delivery of those elements occurs or when fair value can be established. When the undelivered element for which we do not have VSOE of fair value is support, revenue for the entire arrangement is recognized ratably over the support period.</w:t>
      </w:r>
    </w:p>
    <w:p>
      <w:pPr>
        <w:spacing w:after="0" w:line="17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derive revenue from sales of products, including appliances and software, and services, including subscription, support and other services. Our appliances include operating system software that is integrated into the appliance hardware and is deemed essential to its functionality. As a result, we account for revenue in accordance with ASC 985-605 and all related interpretations.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820" w:right="90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 Binding contracts or purchase orders are generally used to determine the existence of an arrangement.</w:t>
      </w:r>
    </w:p>
    <w:p>
      <w:pPr>
        <w:spacing w:after="0" w:line="170" w:lineRule="exact"/>
        <w:rPr>
          <w:rFonts w:ascii="Arial" w:cs="Arial" w:eastAsia="Arial" w:hAnsi="Arial"/>
          <w:sz w:val="18"/>
          <w:szCs w:val="18"/>
          <w:color w:val="auto"/>
        </w:rPr>
      </w:pPr>
    </w:p>
    <w:p>
      <w:pPr>
        <w:ind w:left="820" w:right="48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Delivery occurs when we fulfill an order and title and risk of loss has been transferred or upon delivery of the service contract registration code.</w:t>
      </w:r>
    </w:p>
    <w:p>
      <w:pPr>
        <w:spacing w:after="0" w:line="170" w:lineRule="exact"/>
        <w:rPr>
          <w:rFonts w:ascii="Arial" w:cs="Arial" w:eastAsia="Arial" w:hAnsi="Arial"/>
          <w:sz w:val="18"/>
          <w:szCs w:val="18"/>
          <w:color w:val="auto"/>
        </w:rPr>
      </w:pPr>
    </w:p>
    <w:p>
      <w:pPr>
        <w:jc w:val="both"/>
        <w:ind w:left="820" w:right="20" w:hanging="326"/>
        <w:spacing w:after="0" w:line="286" w:lineRule="auto"/>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fee is fixed or determinable. We assess whether the fee is fixed or determinable based on the payment terms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165" w:lineRule="exact"/>
        <w:rPr>
          <w:rFonts w:ascii="Arial" w:cs="Arial" w:eastAsia="Arial" w:hAnsi="Arial"/>
          <w:sz w:val="17"/>
          <w:szCs w:val="17"/>
          <w:color w:val="auto"/>
        </w:rPr>
      </w:pPr>
    </w:p>
    <w:p>
      <w:pPr>
        <w:ind w:left="820" w:right="38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probable. We assess collectability based primarily on creditworthiness as determined by credit checks and analysis, as well as payment history. Payment terms generally range from 30 to 90 days from invoice date.</w:t>
      </w:r>
    </w:p>
    <w:p>
      <w:pPr>
        <w:spacing w:after="0" w:line="170"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For arrangements which include end-customer acceptance criteria, no revenue is recognized prior to acceptance. We recognize product revenue on sales to distributors that have no general right of return and end-customers upon shipment, once all other revenue recognition criteria have been met. We also make sales through distributors under agreements that allow for rights of returns that we estimate and reduce revenue for under our sales returns and allowances. We recognize product revenue on sales made through such distributors upon sale by the distributor to the customer.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78"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subscription and support services start on the date the customer registers the appliance. The customer is then entitled to service for the stated contractual period beginning on the registration date.</w:t>
      </w:r>
    </w:p>
    <w:p>
      <w:pPr>
        <w:spacing w:after="0" w:line="170"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0" w:firstLine="486"/>
        <w:spacing w:after="0" w:line="295"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—Trade accounts receivable are recorded at the invoiced amount, net of allowances for doubtful accounts and reserves for sales</w:t>
      </w:r>
      <w:r>
        <w:rPr>
          <w:rFonts w:ascii="Arial" w:cs="Arial" w:eastAsia="Arial" w:hAnsi="Arial"/>
          <w:sz w:val="16"/>
          <w:szCs w:val="16"/>
          <w:b w:val="1"/>
          <w:bCs w:val="1"/>
          <w:color w:val="auto"/>
        </w:rPr>
        <w:t xml:space="preserve"> </w:t>
      </w:r>
      <w:r>
        <w:rPr>
          <w:rFonts w:ascii="Arial" w:cs="Arial" w:eastAsia="Arial" w:hAnsi="Arial"/>
          <w:sz w:val="16"/>
          <w:szCs w:val="16"/>
          <w:color w:val="auto"/>
        </w:rPr>
        <w:t>returns and allowances. The allowance for doubtful accounts is based on our assessment of the collectability of customer accounts. We regularly review the allowance by considering factors such as historical experience, credit quality, age of the accounts receivable balances and current economic conditions that may affect a customer's ability to pay. The reserve for sales returns and allowances is based on specific criteria including agreements to provide rebates and other factors known at the time, as well as estimates of the amount of goods shipped that will be returned. To determine the adequacy of the reserves for sales returns and allowances, we analyze historical experience of actual rebates and returns as well as current product return information.</w:t>
      </w:r>
    </w:p>
    <w:p>
      <w:pPr>
        <w:spacing w:after="0" w:line="156" w:lineRule="exact"/>
        <w:rPr>
          <w:sz w:val="20"/>
          <w:szCs w:val="20"/>
          <w:color w:val="auto"/>
        </w:rPr>
      </w:pPr>
    </w:p>
    <w:p>
      <w:pPr>
        <w:jc w:val="both"/>
        <w:ind w:right="200" w:firstLine="486"/>
        <w:spacing w:after="0" w:line="303" w:lineRule="auto"/>
        <w:rPr>
          <w:sz w:val="20"/>
          <w:szCs w:val="20"/>
          <w:color w:val="auto"/>
        </w:rPr>
      </w:pPr>
      <w:r>
        <w:rPr>
          <w:rFonts w:ascii="Arial" w:cs="Arial" w:eastAsia="Arial" w:hAnsi="Arial"/>
          <w:sz w:val="16"/>
          <w:szCs w:val="16"/>
          <w:b w:val="1"/>
          <w:bCs w:val="1"/>
          <w:color w:val="auto"/>
        </w:rPr>
        <w:t>Warranties</w:t>
      </w:r>
      <w:r>
        <w:rPr>
          <w:rFonts w:ascii="Arial" w:cs="Arial" w:eastAsia="Arial" w:hAnsi="Arial"/>
          <w:sz w:val="16"/>
          <w:szCs w:val="16"/>
          <w:color w:val="auto"/>
        </w:rPr>
        <w:t>—We generally provide a one-year warranty on hardware products and a 90-day warranty on software. A provision for estimated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costs related to warranty activities is recorded as a component of cost of product revenues when the product revenues are recognized, based upon historical product failure rates and historical costs incurred in correcting product failures. In the event we change our warranty reserve estimates, the resulting charge against future cost of sales or reversal of previously recorded charges may materially affect our gross margins and operating results.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warranty activities are summarized as follows ($ amounts in 000's):</w:t>
      </w: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For The Nine Months</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4"/>
              </w:rPr>
              <w:t>For The Year</w:t>
            </w:r>
          </w:p>
        </w:tc>
      </w:tr>
      <w:tr>
        <w:trPr>
          <w:trHeight w:val="210"/>
        </w:trPr>
        <w:tc>
          <w:tcPr>
            <w:tcW w:w="70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Ended And As Of</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1"/>
              </w:rPr>
              <w:t>Ended And As Of</w:t>
            </w:r>
          </w:p>
        </w:tc>
      </w:tr>
      <w:tr>
        <w:trPr>
          <w:trHeight w:val="270"/>
        </w:trPr>
        <w:tc>
          <w:tcPr>
            <w:tcW w:w="7020" w:type="dxa"/>
            <w:vAlign w:val="bottom"/>
          </w:tcPr>
          <w:p>
            <w:pPr>
              <w:spacing w:after="0"/>
              <w:rPr>
                <w:sz w:val="23"/>
                <w:szCs w:val="23"/>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September 30, 2011</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1"/>
              </w:rPr>
              <w:t>December 31, 2010</w:t>
            </w:r>
          </w:p>
        </w:tc>
      </w:tr>
      <w:tr>
        <w:trPr>
          <w:trHeight w:val="33"/>
        </w:trPr>
        <w:tc>
          <w:tcPr>
            <w:tcW w:w="70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warranty balance - beginning of the period</w:t>
            </w:r>
          </w:p>
        </w:tc>
        <w:tc>
          <w:tcPr>
            <w:tcW w:w="2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1,878</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2,257</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Warranty costs incurred</w:t>
            </w:r>
          </w:p>
        </w:tc>
        <w:tc>
          <w:tcPr>
            <w:tcW w:w="2060" w:type="dxa"/>
            <w:vAlign w:val="bottom"/>
          </w:tcPr>
          <w:p>
            <w:pPr>
              <w:jc w:val="right"/>
              <w:spacing w:after="0"/>
              <w:rPr>
                <w:sz w:val="20"/>
                <w:szCs w:val="20"/>
                <w:color w:val="auto"/>
              </w:rPr>
            </w:pPr>
            <w:r>
              <w:rPr>
                <w:rFonts w:ascii="Arial" w:cs="Arial" w:eastAsia="Arial" w:hAnsi="Arial"/>
                <w:sz w:val="18"/>
                <w:szCs w:val="18"/>
                <w:color w:val="auto"/>
              </w:rPr>
              <w:t>(1,329)</w:t>
            </w: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27"/>
        </w:trPr>
        <w:tc>
          <w:tcPr>
            <w:tcW w:w="7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warranty</w:t>
            </w:r>
          </w:p>
        </w:tc>
        <w:tc>
          <w:tcPr>
            <w:tcW w:w="2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1,530</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1,069</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Adjustments to previous estimates</w:t>
            </w:r>
          </w:p>
        </w:tc>
        <w:tc>
          <w:tcPr>
            <w:tcW w:w="2060" w:type="dxa"/>
            <w:vAlign w:val="bottom"/>
          </w:tcPr>
          <w:p>
            <w:pPr>
              <w:jc w:val="right"/>
              <w:ind w:right="53"/>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70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warranty balance - end of the period</w:t>
            </w:r>
          </w:p>
        </w:tc>
        <w:tc>
          <w:tcPr>
            <w:tcW w:w="2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2,274</w:t>
            </w:r>
          </w:p>
        </w:tc>
        <w:tc>
          <w:tcPr>
            <w:tcW w:w="2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1,878</w:t>
            </w:r>
          </w:p>
        </w:tc>
      </w:tr>
      <w:tr>
        <w:trPr>
          <w:trHeight w:val="20"/>
        </w:trPr>
        <w:tc>
          <w:tcPr>
            <w:tcW w:w="70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b w:val="1"/>
          <w:bCs w:val="1"/>
          <w:color w:val="auto"/>
        </w:rPr>
        <w:t>Foreign Currency Derivatives</w:t>
      </w:r>
      <w:r>
        <w:rPr>
          <w:rFonts w:ascii="Arial" w:cs="Arial" w:eastAsia="Arial" w:hAnsi="Arial"/>
          <w:sz w:val="16"/>
          <w:szCs w:val="16"/>
          <w:color w:val="auto"/>
        </w:rPr>
        <w:t>—Our sales contracts are primarily denominated in U.S. dollars and therefore substantially all of our revenue is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Euro (EUR), British Pound (GBP), and Japanese Yen (JPY). To help protect against significant fluctuations in the value and volatility of future cash flows caused by changes in currency exchange rates, we engage in foreign currency risk management activities to hedge balance sheet items denominated in EUR, GBP, and CAD and occasionally to hedge future forecasted cash outflows denominated in CAD. We do not use these contracts for speculative or trading purposes. All of the derivative instruments involved are with high quality financial institutions and we monitor the creditworthiness of these parties. These contracts typically have maturities between one and three months. We account for our hedges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We record changes in the fair value of forward exchange contracts related to balance sheet accounts as other income (expense), net in the condensed consolidated statements of operations. Gains or losses resulting from settled forward exchange contracts related to future forecasted cash outflows are recorded in operating expenses in the consolidated statement of operations, in the same period the hedged item occurs. Gains or losses resulting from unsettled forward exchange contracts related to future forecasted cash outflows are recorded in other comprehensive income in the consolidated balance sheet.</w:t>
      </w:r>
    </w:p>
    <w:p>
      <w:pPr>
        <w:spacing w:after="0" w:line="173"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Additionally, independent of any hedging activities, fluctuations in foreign currency exchange rates may cause us to recognize transaction gains and losses in our consolidated statements of operations. Our hedging activities are intended to reduce, but not eliminate, the impact of currency exchange rate movements. As our hedging activities are relatively short-term in nature, long-term material changes in the value of the U.S. dollar versus the EUR, GBP, CAD or JPY could adversely impact our operating expenses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notional amount of forward exchange contracts to hedge balance sheet accounts and cash flows as of September 30, 2011 was (amounts in 000's):</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52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0"/>
              </w:rPr>
              <w:t>Buy/Sell</w:t>
            </w:r>
          </w:p>
        </w:tc>
        <w:tc>
          <w:tcPr>
            <w:tcW w:w="192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Notional</w:t>
            </w:r>
          </w:p>
        </w:tc>
      </w:tr>
      <w:tr>
        <w:trPr>
          <w:trHeight w:val="237"/>
        </w:trPr>
        <w:tc>
          <w:tcPr>
            <w:tcW w:w="7280" w:type="dxa"/>
            <w:vAlign w:val="bottom"/>
            <w:gridSpan w:val="3"/>
          </w:tcPr>
          <w:p>
            <w:pPr>
              <w:ind w:left="20"/>
              <w:spacing w:after="0"/>
              <w:rPr>
                <w:sz w:val="20"/>
                <w:szCs w:val="20"/>
                <w:color w:val="auto"/>
              </w:rPr>
            </w:pPr>
            <w:r>
              <w:rPr>
                <w:rFonts w:ascii="Arial" w:cs="Arial" w:eastAsia="Arial" w:hAnsi="Arial"/>
                <w:sz w:val="18"/>
                <w:szCs w:val="18"/>
                <w:b w:val="1"/>
                <w:bCs w:val="1"/>
                <w:color w:val="auto"/>
              </w:rPr>
              <w:t>To hedge operation cash outflows:</w:t>
            </w:r>
          </w:p>
        </w:tc>
        <w:tc>
          <w:tcPr>
            <w:tcW w:w="1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1"/>
              </w:rPr>
              <w:t>Currency</w:t>
            </w:r>
          </w:p>
        </w:tc>
        <w:tc>
          <w:tcPr>
            <w:tcW w:w="65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color w:val="auto"/>
              </w:rPr>
              <w:t>CAD</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Buy</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7,500</w:t>
            </w: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5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b w:val="1"/>
                <w:bCs w:val="1"/>
                <w:color w:val="auto"/>
              </w:rPr>
              <w:t>To hedge balance sheet accounts:</w:t>
            </w: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1"/>
              </w:rPr>
              <w:t>Currency</w:t>
            </w:r>
          </w:p>
        </w:tc>
        <w:tc>
          <w:tcPr>
            <w:tcW w:w="65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color w:val="auto"/>
              </w:rPr>
              <w:t>EUR</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Buy</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5,393</w:t>
            </w: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GBP</w:t>
            </w:r>
          </w:p>
        </w:tc>
        <w:tc>
          <w:tcPr>
            <w:tcW w:w="21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Buy</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1,390</w:t>
            </w: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color w:val="auto"/>
              </w:rPr>
              <w:t>CAD</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Buy</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12,800</w:t>
            </w:r>
          </w:p>
        </w:tc>
      </w:tr>
    </w:tbl>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 xml:space="preserve">In June 2011, the FASB issued Accounting Standards Update No. 2011-05, </w:t>
      </w:r>
      <w:r>
        <w:rPr>
          <w:rFonts w:ascii="Arial" w:cs="Arial" w:eastAsia="Arial" w:hAnsi="Arial"/>
          <w:sz w:val="17"/>
          <w:szCs w:val="17"/>
          <w:i w:val="1"/>
          <w:iCs w:val="1"/>
          <w:color w:val="auto"/>
        </w:rPr>
        <w:t>Comprehensive Income (Topic 220) - Presentation of 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Income (ASU 2011-05)</w:t>
      </w:r>
      <w:r>
        <w:rPr>
          <w:rFonts w:ascii="Arial" w:cs="Arial" w:eastAsia="Arial" w:hAnsi="Arial"/>
          <w:sz w:val="17"/>
          <w:szCs w:val="17"/>
          <w:color w:val="auto"/>
        </w:rPr>
        <w:t>, to require an entity to present the total of comprehensive income, the components of net income, and the components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income either in a single continuous statement of comprehensive income or in two separate but consecutive statements. ASU 2011-05 eliminates the option to present the components of other comprehensive income as part of the statement of equity. This accounting update will be applicable to the Company beginning in the first quarter of fiscal year 2012. The Company does not believe the adoption of this guidance will have a material impact on its condensed consolidated financial statements, as it only requires a change in the format of presentation.</w:t>
      </w:r>
    </w:p>
    <w:p>
      <w:pPr>
        <w:spacing w:after="0" w:line="178"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 xml:space="preserve">In May 2011, the FASB issued Accounting Standards Update No. 2011-04, </w:t>
      </w:r>
      <w:r>
        <w:rPr>
          <w:rFonts w:ascii="Arial" w:cs="Arial" w:eastAsia="Arial" w:hAnsi="Arial"/>
          <w:sz w:val="16"/>
          <w:szCs w:val="16"/>
          <w:i w:val="1"/>
          <w:iCs w:val="1"/>
          <w:color w:val="auto"/>
        </w:rPr>
        <w:t>Amendments to Achieve Common Fair Value Measurement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in U.S. GAAP and International Financial Reporting Standards (Topic 820) – Fair Value Measurement (ASU 2011-04)</w:t>
      </w:r>
      <w:r>
        <w:rPr>
          <w:rFonts w:ascii="Arial" w:cs="Arial" w:eastAsia="Arial" w:hAnsi="Arial"/>
          <w:sz w:val="16"/>
          <w:szCs w:val="16"/>
          <w:color w:val="auto"/>
        </w:rPr>
        <w:t>, to provide a consistent</w:t>
      </w:r>
      <w:r>
        <w:rPr>
          <w:rFonts w:ascii="Arial" w:cs="Arial" w:eastAsia="Arial" w:hAnsi="Arial"/>
          <w:sz w:val="16"/>
          <w:szCs w:val="16"/>
          <w:i w:val="1"/>
          <w:iCs w:val="1"/>
          <w:color w:val="auto"/>
        </w:rPr>
        <w:t xml:space="preserve"> </w:t>
      </w:r>
      <w:r>
        <w:rPr>
          <w:rFonts w:ascii="Arial" w:cs="Arial" w:eastAsia="Arial" w:hAnsi="Arial"/>
          <w:sz w:val="16"/>
          <w:szCs w:val="16"/>
          <w:color w:val="auto"/>
        </w:rPr>
        <w:t>definition of fair value and ensure that the fair value measurement and disclosure requirements are similar between U.S. GAAP and International Financial Reporting Standards. ASU 2011-04 changes certain fair value measurement principles and enhances the disclosure requirements particularly for Level 3 fair value measurements. This accounting update will be applicable to the Company beginning in the first quarter of fiscal year 2012 and should be applied prospectively. The Company does not believe the adoption of this guidance will have a material impact on its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 AND FAIR VALUE MEASUREMENTS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investments in available-for-sale securities ($ amounts in 000's):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4"/>
          </w:tcPr>
          <w:p>
            <w:pPr>
              <w:ind w:left="980"/>
              <w:spacing w:after="0"/>
              <w:rPr>
                <w:sz w:val="20"/>
                <w:szCs w:val="20"/>
                <w:color w:val="auto"/>
              </w:rPr>
            </w:pPr>
            <w:r>
              <w:rPr>
                <w:rFonts w:ascii="Arial" w:cs="Arial" w:eastAsia="Arial" w:hAnsi="Arial"/>
                <w:sz w:val="16"/>
                <w:szCs w:val="16"/>
                <w:b w:val="1"/>
                <w:bCs w:val="1"/>
                <w:color w:val="auto"/>
              </w:rPr>
              <w:t>September 30, 2011</w:t>
            </w:r>
          </w:p>
        </w:tc>
        <w:tc>
          <w:tcPr>
            <w:tcW w:w="148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Fair</w:t>
            </w:r>
          </w:p>
        </w:tc>
      </w:tr>
      <w:tr>
        <w:trPr>
          <w:trHeight w:val="210"/>
        </w:trPr>
        <w:tc>
          <w:tcPr>
            <w:tcW w:w="49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Amortized Cost</w:t>
            </w: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Unrealized Gains</w:t>
            </w: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Unrealized Losses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government and agency securities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21,894</w:t>
            </w:r>
          </w:p>
        </w:tc>
        <w:tc>
          <w:tcPr>
            <w:tcW w:w="2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21,895</w:t>
            </w:r>
          </w:p>
        </w:tc>
      </w:tr>
      <w:tr>
        <w:trPr>
          <w:trHeight w:val="27"/>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327,919</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326,153</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60,774</w:t>
            </w:r>
          </w:p>
        </w:tc>
        <w:tc>
          <w:tcPr>
            <w:tcW w:w="2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60,779</w:t>
            </w:r>
          </w:p>
        </w:tc>
      </w:tr>
      <w:tr>
        <w:trPr>
          <w:trHeight w:val="27"/>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13,410</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13,431</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Term deposits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14,079</w:t>
            </w:r>
          </w:p>
        </w:tc>
        <w:tc>
          <w:tcPr>
            <w:tcW w:w="240" w:type="dxa"/>
            <w:vAlign w:val="bottom"/>
          </w:tcPr>
          <w:p>
            <w:pPr>
              <w:spacing w:after="0"/>
              <w:rPr>
                <w:sz w:val="21"/>
                <w:szCs w:val="21"/>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14,079</w:t>
            </w:r>
          </w:p>
        </w:tc>
      </w:tr>
      <w:tr>
        <w:trPr>
          <w:trHeight w:val="27"/>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438,076</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436,337</w:t>
            </w:r>
          </w:p>
        </w:tc>
      </w:tr>
      <w:tr>
        <w:trPr>
          <w:trHeight w:val="20"/>
        </w:trPr>
        <w:tc>
          <w:tcPr>
            <w:tcW w:w="4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2"/>
        </w:trPr>
        <w:tc>
          <w:tcPr>
            <w:tcW w:w="4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gridSpan w:val="4"/>
          </w:tcPr>
          <w:p>
            <w:pPr>
              <w:ind w:left="1000"/>
              <w:spacing w:after="0"/>
              <w:rPr>
                <w:sz w:val="20"/>
                <w:szCs w:val="20"/>
                <w:color w:val="auto"/>
              </w:rPr>
            </w:pPr>
            <w:r>
              <w:rPr>
                <w:rFonts w:ascii="Arial" w:cs="Arial" w:eastAsia="Arial" w:hAnsi="Arial"/>
                <w:sz w:val="16"/>
                <w:szCs w:val="16"/>
                <w:b w:val="1"/>
                <w:bCs w:val="1"/>
                <w:color w:val="auto"/>
              </w:rPr>
              <w:t>December 31, 2010</w:t>
            </w:r>
          </w:p>
        </w:tc>
        <w:tc>
          <w:tcPr>
            <w:tcW w:w="1480" w:type="dxa"/>
            <w:vAlign w:val="bottom"/>
          </w:tcPr>
          <w:p>
            <w:pPr>
              <w:spacing w:after="0"/>
              <w:rPr>
                <w:sz w:val="24"/>
                <w:szCs w:val="24"/>
                <w:color w:val="auto"/>
              </w:rPr>
            </w:pPr>
          </w:p>
        </w:tc>
      </w:tr>
      <w:tr>
        <w:trPr>
          <w:trHeight w:val="33"/>
        </w:trPr>
        <w:tc>
          <w:tcPr>
            <w:tcW w:w="49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Fair</w:t>
            </w:r>
          </w:p>
        </w:tc>
      </w:tr>
      <w:tr>
        <w:trPr>
          <w:trHeight w:val="210"/>
        </w:trPr>
        <w:tc>
          <w:tcPr>
            <w:tcW w:w="49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Amortized Cost</w:t>
            </w: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Unrealized Gains</w:t>
            </w: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Unrealized Losses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government and agency securities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51,989</w:t>
            </w:r>
          </w:p>
        </w:tc>
        <w:tc>
          <w:tcPr>
            <w:tcW w:w="240" w:type="dxa"/>
            <w:vAlign w:val="bottom"/>
          </w:tcPr>
          <w:p>
            <w:pPr>
              <w:spacing w:after="0"/>
              <w:rPr>
                <w:sz w:val="21"/>
                <w:szCs w:val="21"/>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51,943</w:t>
            </w:r>
          </w:p>
        </w:tc>
      </w:tr>
      <w:tr>
        <w:trPr>
          <w:trHeight w:val="27"/>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213,237</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213,396</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38,914</w:t>
            </w:r>
          </w:p>
        </w:tc>
        <w:tc>
          <w:tcPr>
            <w:tcW w:w="2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38,919</w:t>
            </w:r>
          </w:p>
        </w:tc>
      </w:tr>
      <w:tr>
        <w:trPr>
          <w:trHeight w:val="27"/>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11,069</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11,080</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Term deposits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5,263</w:t>
            </w:r>
          </w:p>
        </w:tc>
        <w:tc>
          <w:tcPr>
            <w:tcW w:w="240" w:type="dxa"/>
            <w:vAlign w:val="bottom"/>
          </w:tcPr>
          <w:p>
            <w:pPr>
              <w:spacing w:after="0"/>
              <w:rPr>
                <w:sz w:val="21"/>
                <w:szCs w:val="21"/>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5,263</w:t>
            </w:r>
          </w:p>
        </w:tc>
      </w:tr>
      <w:tr>
        <w:trPr>
          <w:trHeight w:val="27"/>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320,472</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320,601</w:t>
            </w:r>
          </w:p>
        </w:tc>
      </w:tr>
      <w:tr>
        <w:trPr>
          <w:trHeight w:val="20"/>
        </w:trPr>
        <w:tc>
          <w:tcPr>
            <w:tcW w:w="4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contractual maturities of our investments are as follows ($ amounts in 000's):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84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tcPr>
          <w:p>
            <w:pPr>
              <w:jc w:val="right"/>
              <w:ind w:right="25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000" w:type="dxa"/>
            <w:vAlign w:val="bottom"/>
          </w:tcPr>
          <w:p>
            <w:pPr>
              <w:spacing w:after="0"/>
              <w:rPr>
                <w:sz w:val="18"/>
                <w:szCs w:val="18"/>
                <w:color w:val="auto"/>
              </w:rPr>
            </w:pPr>
          </w:p>
        </w:tc>
        <w:tc>
          <w:tcPr>
            <w:tcW w:w="1620" w:type="dxa"/>
            <w:vAlign w:val="bottom"/>
          </w:tcPr>
          <w:p>
            <w:pPr>
              <w:jc w:val="right"/>
              <w:ind w:right="574"/>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580" w:type="dxa"/>
            <w:vAlign w:val="bottom"/>
          </w:tcPr>
          <w:p>
            <w:pPr>
              <w:jc w:val="right"/>
              <w:ind w:right="534"/>
              <w:spacing w:after="0"/>
              <w:rPr>
                <w:sz w:val="20"/>
                <w:szCs w:val="20"/>
                <w:color w:val="auto"/>
              </w:rPr>
            </w:pPr>
            <w:r>
              <w:rPr>
                <w:rFonts w:ascii="Arial" w:cs="Arial" w:eastAsia="Arial" w:hAnsi="Arial"/>
                <w:sz w:val="16"/>
                <w:szCs w:val="16"/>
                <w:b w:val="1"/>
                <w:bCs w:val="1"/>
                <w:color w:val="auto"/>
              </w:rPr>
              <w:t>2010</w:t>
            </w:r>
          </w:p>
        </w:tc>
      </w:tr>
      <w:tr>
        <w:trPr>
          <w:trHeight w:val="33"/>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322,536</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246,651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113,801</w:t>
            </w: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73,950</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436,337</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320,601</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income (expense), net in our consolidated statements of operations.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Realized gains or losses from the sale of available-for-sale securities were not significant for any period presented.</w:t>
      </w:r>
    </w:p>
    <w:p>
      <w:pPr>
        <w:spacing w:after="0" w:line="221" w:lineRule="exact"/>
        <w:rPr>
          <w:sz w:val="20"/>
          <w:szCs w:val="20"/>
          <w:color w:val="auto"/>
        </w:rPr>
      </w:pPr>
    </w:p>
    <w:p>
      <w:pPr>
        <w:ind w:right="440" w:firstLine="486"/>
        <w:spacing w:after="0" w:line="282" w:lineRule="auto"/>
        <w:rPr>
          <w:sz w:val="20"/>
          <w:szCs w:val="20"/>
          <w:color w:val="auto"/>
        </w:rPr>
      </w:pPr>
      <w:r>
        <w:rPr>
          <w:rFonts w:ascii="Arial" w:cs="Arial" w:eastAsia="Arial" w:hAnsi="Arial"/>
          <w:sz w:val="18"/>
          <w:szCs w:val="18"/>
          <w:b w:val="1"/>
          <w:bCs w:val="1"/>
          <w:color w:val="auto"/>
        </w:rPr>
        <w:t>Fair Value Accounting</w:t>
      </w:r>
      <w:r>
        <w:rPr>
          <w:rFonts w:ascii="Arial" w:cs="Arial" w:eastAsia="Arial" w:hAnsi="Arial"/>
          <w:sz w:val="18"/>
          <w:szCs w:val="18"/>
          <w:color w:val="auto"/>
        </w:rPr>
        <w:t>—We apply ASC 820 which establishes a valuation hierarchy for disclosure of the inputs to fair value measurement.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hierarchy prioritizes the inputs into three broad levels as follows: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220" w:right="440" w:hanging="728"/>
        <w:spacing w:after="0" w:line="308" w:lineRule="auto"/>
        <w:rPr>
          <w:sz w:val="20"/>
          <w:szCs w:val="20"/>
          <w:color w:val="auto"/>
        </w:rPr>
      </w:pPr>
      <w:r>
        <w:rPr>
          <w:rFonts w:ascii="Arial" w:cs="Arial" w:eastAsia="Arial" w:hAnsi="Arial"/>
          <w:sz w:val="17"/>
          <w:szCs w:val="17"/>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47" w:lineRule="exact"/>
        <w:rPr>
          <w:sz w:val="20"/>
          <w:szCs w:val="20"/>
          <w:color w:val="auto"/>
        </w:rPr>
      </w:pPr>
    </w:p>
    <w:p>
      <w:pPr>
        <w:ind w:left="1220" w:right="740" w:hanging="728"/>
        <w:spacing w:after="0" w:line="277" w:lineRule="auto"/>
        <w:rPr>
          <w:sz w:val="20"/>
          <w:szCs w:val="20"/>
          <w:color w:val="auto"/>
        </w:rPr>
      </w:pPr>
      <w:r>
        <w:rPr>
          <w:rFonts w:ascii="Arial" w:cs="Arial" w:eastAsia="Arial" w:hAnsi="Arial"/>
          <w:sz w:val="18"/>
          <w:szCs w:val="18"/>
          <w:color w:val="auto"/>
        </w:rPr>
        <w:t>Level 3—Inputs are unobservable inputs based on our own assumptions used to measure assets and liabilities at fair value. The inputs require significant management judgment or estimation.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valuation techniques we use to measure the fair value of money market funds and term deposits were derived from quoted prices in active markets for identical assets or liabilities. The valuation techniques used to measure the fair value of all other financial instruments, all of which have counterparties with high credit ratings, were valued based on quoted market prices or model driven valuations using significant inputs derived from or corroborated by observable market data.</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classify investments within Level 1 if quoted prices are available in active markets.</w:t>
      </w:r>
    </w:p>
    <w:p>
      <w:pPr>
        <w:spacing w:after="0" w:line="22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We classify items in Level 2 if the investments are valued using quoted prices for identical assets in markets that are not active, using quoted prices for similar assets in an active market, or using model-based valuation techniques for which all significant assumptions are observable in the market or can be corroborated by observable market data for substantially the full term of the assets.</w:t>
      </w:r>
    </w:p>
    <w:p>
      <w:pPr>
        <w:spacing w:after="0" w:line="18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presents the fair value of our financial assets as of September 30, 2011 and December 31, 2010 using the ASC 820 input categories ($ amounts in 000's):</w:t>
      </w:r>
    </w:p>
    <w:p>
      <w:pPr>
        <w:spacing w:after="0" w:line="33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gridSpan w:val="5"/>
          </w:tcPr>
          <w:p>
            <w:pPr>
              <w:jc w:val="center"/>
              <w:spacing w:after="0"/>
              <w:rPr>
                <w:sz w:val="20"/>
                <w:szCs w:val="20"/>
                <w:color w:val="auto"/>
              </w:rPr>
            </w:pPr>
            <w:r>
              <w:rPr>
                <w:rFonts w:ascii="Arial" w:cs="Arial" w:eastAsia="Arial" w:hAnsi="Arial"/>
                <w:sz w:val="16"/>
                <w:szCs w:val="16"/>
                <w:b w:val="1"/>
                <w:bCs w:val="1"/>
                <w:color w:val="auto"/>
                <w:w w:val="89"/>
              </w:rPr>
              <w:t>September 30, 2011</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December 31, 2010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Quoted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Quoted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6"/>
              </w:rPr>
              <w:t>Prices in</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Significant</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Prices in</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Active</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Active</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3"/>
              </w:rPr>
              <w:t>Other</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0"/>
              </w:rPr>
              <w:t>Aggregate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4"/>
              </w:rPr>
              <w:t>Markets For</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Observable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Aggregate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4"/>
              </w:rPr>
              <w:t>Markets For</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Observable</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5"/>
              </w:rPr>
              <w:t>Fair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Identical</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Remaining</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Fair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Identical</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Inputs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(Level 1)</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(Level 1)</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2"/>
              </w:rPr>
              <w:t>(Level 2)</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U.S. government and agency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21,895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21,895</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51,943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51,943</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debt securities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326,153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326,153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213,396</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213,396</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020" w:type="dxa"/>
            <w:vAlign w:val="bottom"/>
          </w:tcPr>
          <w:p>
            <w:pPr>
              <w:jc w:val="right"/>
              <w:spacing w:after="0"/>
              <w:rPr>
                <w:sz w:val="20"/>
                <w:szCs w:val="20"/>
                <w:color w:val="auto"/>
              </w:rPr>
            </w:pPr>
            <w:r>
              <w:rPr>
                <w:rFonts w:ascii="Arial" w:cs="Arial" w:eastAsia="Arial" w:hAnsi="Arial"/>
                <w:sz w:val="18"/>
                <w:szCs w:val="18"/>
                <w:color w:val="auto"/>
              </w:rPr>
              <w:t>75,277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75,277</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52,415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52,415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13,431</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11,080</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11,080</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Term deposits</w:t>
            </w:r>
          </w:p>
        </w:tc>
        <w:tc>
          <w:tcPr>
            <w:tcW w:w="1020" w:type="dxa"/>
            <w:vAlign w:val="bottom"/>
          </w:tcPr>
          <w:p>
            <w:pPr>
              <w:jc w:val="right"/>
              <w:spacing w:after="0"/>
              <w:rPr>
                <w:sz w:val="20"/>
                <w:szCs w:val="20"/>
                <w:color w:val="auto"/>
              </w:rPr>
            </w:pPr>
            <w:r>
              <w:rPr>
                <w:rFonts w:ascii="Arial" w:cs="Arial" w:eastAsia="Arial" w:hAnsi="Arial"/>
                <w:sz w:val="18"/>
                <w:szCs w:val="18"/>
                <w:color w:val="auto"/>
              </w:rPr>
              <w:t>14,079</w:t>
            </w:r>
          </w:p>
        </w:tc>
        <w:tc>
          <w:tcPr>
            <w:tcW w:w="1200" w:type="dxa"/>
            <w:vAlign w:val="bottom"/>
            <w:gridSpan w:val="3"/>
          </w:tcPr>
          <w:p>
            <w:pPr>
              <w:jc w:val="right"/>
              <w:ind w:right="15"/>
              <w:spacing w:after="0"/>
              <w:rPr>
                <w:sz w:val="20"/>
                <w:szCs w:val="20"/>
                <w:color w:val="auto"/>
              </w:rPr>
            </w:pPr>
            <w:r>
              <w:rPr>
                <w:rFonts w:ascii="Arial" w:cs="Arial" w:eastAsia="Arial" w:hAnsi="Arial"/>
                <w:sz w:val="18"/>
                <w:szCs w:val="18"/>
                <w:color w:val="auto"/>
              </w:rPr>
              <w:t>14,079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5,263</w:t>
            </w:r>
          </w:p>
        </w:tc>
        <w:tc>
          <w:tcPr>
            <w:tcW w:w="1180" w:type="dxa"/>
            <w:vAlign w:val="bottom"/>
            <w:gridSpan w:val="3"/>
          </w:tcPr>
          <w:p>
            <w:pPr>
              <w:jc w:val="right"/>
              <w:ind w:right="15"/>
              <w:spacing w:after="0"/>
              <w:rPr>
                <w:sz w:val="20"/>
                <w:szCs w:val="20"/>
                <w:color w:val="auto"/>
              </w:rPr>
            </w:pPr>
            <w:r>
              <w:rPr>
                <w:rFonts w:ascii="Arial" w:cs="Arial" w:eastAsia="Arial" w:hAnsi="Arial"/>
                <w:sz w:val="18"/>
                <w:szCs w:val="18"/>
                <w:color w:val="auto"/>
              </w:rPr>
              <w:t>5,263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22,833</w:t>
            </w:r>
          </w:p>
        </w:tc>
        <w:tc>
          <w:tcPr>
            <w:tcW w:w="120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22,833</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118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7,078</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Foreign currency contracts</w:t>
            </w: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473,787</w:t>
            </w:r>
          </w:p>
        </w:tc>
        <w:tc>
          <w:tcPr>
            <w:tcW w:w="120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36,912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436,875</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341,249</w:t>
            </w:r>
          </w:p>
        </w:tc>
        <w:tc>
          <w:tcPr>
            <w:tcW w:w="118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12,341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328,908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Reported as: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37,331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20,574</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322,536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246,651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Long-term investments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113,801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73,950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473,787</w:t>
            </w: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341,249</w:t>
            </w:r>
          </w:p>
        </w:tc>
        <w:tc>
          <w:tcPr>
            <w:tcW w:w="6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We did not hold financial assets or liabilities which were recorded at fair value using inputs in the Level 3 category as of September 30, 2011 or December 31, 2010. There were no transfers between Level 1 and Level 2 of the fair value hierarchy during the three or nine months ended September 30,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net, consisted of the following ($ amounts in 000's):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5"/>
              </w:rPr>
              <w:t>2010</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3,257</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9,711</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Inventory—net</w:t>
            </w: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12,968</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13,517</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EQUIPMENT—Net</w:t>
            </w: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0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500"/>
              <w:spacing w:after="0"/>
              <w:rPr>
                <w:sz w:val="20"/>
                <w:szCs w:val="20"/>
                <w:color w:val="auto"/>
              </w:rPr>
            </w:pPr>
            <w:r>
              <w:rPr>
                <w:rFonts w:ascii="Arial" w:cs="Arial" w:eastAsia="Arial" w:hAnsi="Arial"/>
                <w:sz w:val="18"/>
                <w:szCs w:val="18"/>
                <w:color w:val="auto"/>
              </w:rPr>
              <w:t>Property and equipment consisted of the following ($ amounts in 000's):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0" w:type="dxa"/>
            <w:vAlign w:val="bottom"/>
          </w:tcPr>
          <w:p>
            <w:pPr>
              <w:spacing w:after="0"/>
              <w:rPr>
                <w:sz w:val="24"/>
                <w:szCs w:val="2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5"/>
              </w:rPr>
              <w:t>2010</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12,834</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11,364</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1,219</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Leasehold improvements and tooling</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4,294</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29,711</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620" w:type="dxa"/>
            <w:vAlign w:val="bottom"/>
          </w:tcPr>
          <w:p>
            <w:pPr>
              <w:jc w:val="right"/>
              <w:spacing w:after="0"/>
              <w:rPr>
                <w:sz w:val="20"/>
                <w:szCs w:val="20"/>
                <w:color w:val="auto"/>
              </w:rPr>
            </w:pPr>
            <w:r>
              <w:rPr>
                <w:rFonts w:ascii="Arial" w:cs="Arial" w:eastAsia="Arial" w:hAnsi="Arial"/>
                <w:sz w:val="18"/>
                <w:szCs w:val="18"/>
                <w:color w:val="auto"/>
              </w:rPr>
              <w:t>(22,226)</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(18,747)</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7,485</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Depreciation expense was $1.8 million and $1.4 million for the three months ended September 30, 2011 and September 30, 2010,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$5.1 million and $4.2 million for the nine months ended and September 30, 2011 and September 30, 2010,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PER SHARE</w:t>
      </w:r>
    </w:p>
    <w:p>
      <w:pPr>
        <w:spacing w:after="0" w:line="22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Basic net income per share is computed by dividing net income by the weighted-average number of common shares outstanding during the period. Diluted net income per share is computed by dividing net income by the weighted-average number of common shares outstanding, plus the dilutive effects of stock options and warrants.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Potentially dilutive common shares are determined by applying the treasury stock method to the assumed exercise of outstanding stock options.</w:t>
      </w:r>
    </w:p>
    <w:p>
      <w:pPr>
        <w:spacing w:after="0" w:line="23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 and share amounts in 000's, except per share amounts):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900" w:type="dxa"/>
            <w:vAlign w:val="bottom"/>
            <w:gridSpan w:val="4"/>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800" w:type="dxa"/>
            <w:vAlign w:val="bottom"/>
            <w:gridSpan w:val="3"/>
          </w:tcPr>
          <w:p>
            <w:pPr>
              <w:jc w:val="right"/>
              <w:ind w:right="61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4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542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1340" w:type="dxa"/>
            <w:vAlign w:val="bottom"/>
          </w:tcPr>
          <w:p>
            <w:pPr>
              <w:jc w:val="right"/>
              <w:ind w:right="112"/>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420" w:type="dxa"/>
            <w:vAlign w:val="bottom"/>
          </w:tcPr>
          <w:p>
            <w:pPr>
              <w:spacing w:after="0"/>
              <w:rPr>
                <w:sz w:val="18"/>
                <w:szCs w:val="18"/>
                <w:color w:val="auto"/>
              </w:rPr>
            </w:pPr>
          </w:p>
        </w:tc>
        <w:tc>
          <w:tcPr>
            <w:tcW w:w="13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8"/>
                <w:szCs w:val="18"/>
                <w:color w:val="auto"/>
              </w:rPr>
            </w:pPr>
          </w:p>
        </w:tc>
        <w:tc>
          <w:tcPr>
            <w:tcW w:w="13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3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8"/>
                <w:szCs w:val="18"/>
                <w:color w:val="auto"/>
              </w:rPr>
            </w:pPr>
          </w:p>
        </w:tc>
        <w:tc>
          <w:tcPr>
            <w:tcW w:w="1340" w:type="dxa"/>
            <w:vAlign w:val="bottom"/>
          </w:tcPr>
          <w:p>
            <w:pPr>
              <w:jc w:val="right"/>
              <w:ind w:right="412"/>
              <w:spacing w:after="0"/>
              <w:rPr>
                <w:sz w:val="20"/>
                <w:szCs w:val="20"/>
                <w:color w:val="auto"/>
              </w:rPr>
            </w:pPr>
            <w:r>
              <w:rPr>
                <w:rFonts w:ascii="Arial" w:cs="Arial" w:eastAsia="Arial" w:hAnsi="Arial"/>
                <w:sz w:val="16"/>
                <w:szCs w:val="16"/>
                <w:b w:val="1"/>
                <w:bCs w:val="1"/>
                <w:color w:val="auto"/>
              </w:rPr>
              <w:t>2010</w:t>
            </w:r>
          </w:p>
        </w:tc>
      </w:tr>
      <w:tr>
        <w:trPr>
          <w:trHeight w:val="33"/>
        </w:trPr>
        <w:tc>
          <w:tcPr>
            <w:tcW w:w="54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304"/>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17,917</w:t>
            </w:r>
          </w:p>
        </w:tc>
        <w:tc>
          <w:tcPr>
            <w:tcW w:w="14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14,017</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45,998</w:t>
            </w: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25,104</w:t>
            </w:r>
          </w:p>
        </w:tc>
      </w:tr>
      <w:tr>
        <w:trPr>
          <w:trHeight w:val="163"/>
        </w:trPr>
        <w:tc>
          <w:tcPr>
            <w:tcW w:w="5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304"/>
        </w:trPr>
        <w:tc>
          <w:tcPr>
            <w:tcW w:w="54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Weighted-average common shares outstanding - basic</w:t>
            </w: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153,265</w:t>
            </w:r>
          </w:p>
        </w:tc>
        <w:tc>
          <w:tcPr>
            <w:tcW w:w="14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143,672</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151,958</w:t>
            </w: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138,376</w:t>
            </w:r>
          </w:p>
        </w:tc>
      </w:tr>
      <w:tr>
        <w:trPr>
          <w:trHeight w:val="163"/>
        </w:trPr>
        <w:tc>
          <w:tcPr>
            <w:tcW w:w="5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Diluted shares:</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Weighted-average common shares outstanding - basic</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153,265</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143,672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151,958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138,376</w:t>
            </w:r>
          </w:p>
        </w:tc>
      </w:tr>
      <w:tr>
        <w:trPr>
          <w:trHeight w:val="243"/>
        </w:trPr>
        <w:tc>
          <w:tcPr>
            <w:tcW w:w="5420" w:type="dxa"/>
            <w:vAlign w:val="bottom"/>
          </w:tcPr>
          <w:p>
            <w:pPr>
              <w:ind w:left="260"/>
              <w:spacing w:after="0"/>
              <w:rPr>
                <w:sz w:val="20"/>
                <w:szCs w:val="20"/>
                <w:color w:val="auto"/>
              </w:rPr>
            </w:pPr>
            <w:r>
              <w:rPr>
                <w:rFonts w:ascii="Arial" w:cs="Arial" w:eastAsia="Arial" w:hAnsi="Arial"/>
                <w:sz w:val="18"/>
                <w:szCs w:val="18"/>
                <w:color w:val="auto"/>
              </w:rPr>
              <w:t>Effect of potentially dilutive securities:</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Employee stock options</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10,590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11,582</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14,736</w:t>
            </w:r>
          </w:p>
        </w:tc>
      </w:tr>
      <w:tr>
        <w:trPr>
          <w:trHeight w:val="243"/>
        </w:trPr>
        <w:tc>
          <w:tcPr>
            <w:tcW w:w="5420" w:type="dxa"/>
            <w:vAlign w:val="bottom"/>
          </w:tcPr>
          <w:p>
            <w:pPr>
              <w:ind w:left="480"/>
              <w:spacing w:after="0"/>
              <w:rPr>
                <w:sz w:val="20"/>
                <w:szCs w:val="20"/>
                <w:color w:val="auto"/>
              </w:rPr>
            </w:pPr>
            <w:r>
              <w:rPr>
                <w:rFonts w:ascii="Arial" w:cs="Arial" w:eastAsia="Arial" w:hAnsi="Arial"/>
                <w:sz w:val="18"/>
                <w:szCs w:val="18"/>
                <w:color w:val="auto"/>
              </w:rPr>
              <w:t>Employee stock purchase rights</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Warrants to purchase common stock</w:t>
            </w: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r>
      <w:tr>
        <w:trPr>
          <w:trHeight w:val="29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3"/>
              </w:rPr>
              <w:t>Weighted-average shares used to compute diluted net income per share</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163,869</w:t>
            </w:r>
          </w:p>
        </w:tc>
        <w:tc>
          <w:tcPr>
            <w:tcW w:w="14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155,842</w:t>
            </w:r>
          </w:p>
        </w:tc>
        <w:tc>
          <w:tcPr>
            <w:tcW w:w="12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163,554</w:t>
            </w:r>
          </w:p>
        </w:tc>
        <w:tc>
          <w:tcPr>
            <w:tcW w:w="14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153,290</w:t>
            </w:r>
          </w:p>
        </w:tc>
      </w:tr>
      <w:tr>
        <w:trPr>
          <w:trHeight w:val="23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304"/>
        </w:trPr>
        <w:tc>
          <w:tcPr>
            <w:tcW w:w="54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Basic</w:t>
            </w: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0.12</w:t>
            </w:r>
          </w:p>
        </w:tc>
        <w:tc>
          <w:tcPr>
            <w:tcW w:w="14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0.30</w:t>
            </w: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0.18</w:t>
            </w:r>
          </w:p>
        </w:tc>
      </w:tr>
      <w:tr>
        <w:trPr>
          <w:trHeight w:val="251"/>
        </w:trPr>
        <w:tc>
          <w:tcPr>
            <w:tcW w:w="5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0.28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0.16</w:t>
            </w:r>
          </w:p>
        </w:tc>
      </w:tr>
      <w:tr>
        <w:trPr>
          <w:trHeight w:val="20"/>
        </w:trPr>
        <w:tc>
          <w:tcPr>
            <w:tcW w:w="5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firstLine="486"/>
        <w:spacing w:after="0" w:line="277" w:lineRule="auto"/>
        <w:rPr>
          <w:sz w:val="20"/>
          <w:szCs w:val="20"/>
          <w:color w:val="auto"/>
        </w:rPr>
      </w:pPr>
      <w:r>
        <w:rPr>
          <w:rFonts w:ascii="Arial" w:cs="Arial" w:eastAsia="Arial" w:hAnsi="Arial"/>
          <w:sz w:val="18"/>
          <w:szCs w:val="18"/>
          <w:color w:val="auto"/>
        </w:rPr>
        <w:t>The following outstanding options and employee stock purchase rights were excluded from the computation of diluted net income per common share applicable to common stockholders for the periods presented as their effect would have been antidilutive (in 000's):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780" w:type="dxa"/>
            <w:vAlign w:val="bottom"/>
            <w:gridSpan w:val="4"/>
          </w:tcPr>
          <w:p>
            <w:pPr>
              <w:jc w:val="right"/>
              <w:ind w:right="51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4"/>
          </w:tcPr>
          <w:p>
            <w:pPr>
              <w:jc w:val="right"/>
              <w:ind w:right="633"/>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28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13"/>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tcPr>
          <w:p>
            <w:pPr>
              <w:jc w:val="right"/>
              <w:ind w:right="434"/>
              <w:spacing w:after="0"/>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8"/>
                <w:szCs w:val="18"/>
                <w:color w:val="auto"/>
              </w:rPr>
            </w:pPr>
          </w:p>
        </w:tc>
        <w:tc>
          <w:tcPr>
            <w:tcW w:w="1040" w:type="dxa"/>
            <w:vAlign w:val="bottom"/>
          </w:tcPr>
          <w:p>
            <w:pPr>
              <w:jc w:val="right"/>
              <w:ind w:right="114"/>
              <w:spacing w:after="0"/>
              <w:rPr>
                <w:sz w:val="20"/>
                <w:szCs w:val="20"/>
                <w:color w:val="auto"/>
              </w:rPr>
            </w:pPr>
            <w:r>
              <w:rPr>
                <w:rFonts w:ascii="Arial" w:cs="Arial" w:eastAsia="Arial" w:hAnsi="Arial"/>
                <w:sz w:val="16"/>
                <w:szCs w:val="16"/>
                <w:b w:val="1"/>
                <w:bCs w:val="1"/>
                <w:color w:val="auto"/>
              </w:rPr>
              <w:t>2010</w:t>
            </w:r>
          </w:p>
        </w:tc>
        <w:tc>
          <w:tcPr>
            <w:tcW w:w="240" w:type="dxa"/>
            <w:vAlign w:val="bottom"/>
          </w:tcPr>
          <w:p>
            <w:pPr>
              <w:spacing w:after="0"/>
              <w:rPr>
                <w:sz w:val="18"/>
                <w:szCs w:val="18"/>
                <w:color w:val="auto"/>
              </w:rPr>
            </w:pPr>
          </w:p>
        </w:tc>
        <w:tc>
          <w:tcPr>
            <w:tcW w:w="134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5,058</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540" w:type="dxa"/>
            <w:vAlign w:val="bottom"/>
            <w:tcBorders>
              <w:bottom w:val="single" w:sz="8" w:color="CCEEFF"/>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3,375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Employee stock purchase rights</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4"/>
          </w:tcPr>
          <w:p>
            <w:pPr>
              <w:jc w:val="right"/>
              <w:ind w:right="12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5,244</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540" w:type="dxa"/>
            <w:vAlign w:val="bottom"/>
            <w:tcBorders>
              <w:bottom w:val="single" w:sz="8" w:color="CCEEFF"/>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3,561</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DEFERRED REVENUE</w:t>
            </w: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5540" w:type="dxa"/>
            <w:vAlign w:val="bottom"/>
          </w:tcPr>
          <w:p>
            <w:pPr>
              <w:ind w:left="460"/>
              <w:spacing w:after="0"/>
              <w:rPr>
                <w:sz w:val="20"/>
                <w:szCs w:val="20"/>
                <w:color w:val="auto"/>
              </w:rPr>
            </w:pPr>
            <w:r>
              <w:rPr>
                <w:rFonts w:ascii="Arial" w:cs="Arial" w:eastAsia="Arial" w:hAnsi="Arial"/>
                <w:sz w:val="18"/>
                <w:szCs w:val="18"/>
                <w:color w:val="auto"/>
                <w:w w:val="97"/>
              </w:rPr>
              <w:t>Deferred revenue consisted of the following ($ amounts in 000's):</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w w:val="91"/>
              </w:rPr>
              <w:t>September 30,</w:t>
            </w: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6,195</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Services</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right"/>
              <w:ind w:right="39"/>
              <w:spacing w:after="0"/>
              <w:rPr>
                <w:sz w:val="20"/>
                <w:szCs w:val="20"/>
                <w:color w:val="auto"/>
              </w:rPr>
            </w:pPr>
            <w:r>
              <w:rPr>
                <w:rFonts w:ascii="Arial" w:cs="Arial" w:eastAsia="Arial" w:hAnsi="Arial"/>
                <w:sz w:val="18"/>
                <w:szCs w:val="18"/>
                <w:color w:val="auto"/>
              </w:rPr>
              <w:t>250,437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219,022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Ratable and other revenue</w:t>
            </w:r>
          </w:p>
        </w:tc>
        <w:tc>
          <w:tcPr>
            <w:tcW w:w="1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18,494</w:t>
            </w:r>
          </w:p>
        </w:tc>
        <w:tc>
          <w:tcPr>
            <w:tcW w:w="20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deferred revenue</w:t>
            </w:r>
          </w:p>
        </w:tc>
        <w:tc>
          <w:tcPr>
            <w:tcW w:w="1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gridSpan w:val="3"/>
          </w:tcPr>
          <w:p>
            <w:pPr>
              <w:jc w:val="right"/>
              <w:ind w:right="39"/>
              <w:spacing w:after="0"/>
              <w:rPr>
                <w:sz w:val="20"/>
                <w:szCs w:val="20"/>
                <w:color w:val="auto"/>
              </w:rPr>
            </w:pPr>
            <w:r>
              <w:rPr>
                <w:rFonts w:ascii="Arial" w:cs="Arial" w:eastAsia="Arial" w:hAnsi="Arial"/>
                <w:sz w:val="18"/>
                <w:szCs w:val="18"/>
                <w:color w:val="auto"/>
              </w:rPr>
              <w:t>275,126</w:t>
            </w:r>
          </w:p>
        </w:tc>
        <w:tc>
          <w:tcPr>
            <w:tcW w:w="2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252,631</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40" w:type="dxa"/>
            <w:vAlign w:val="bottom"/>
          </w:tcPr>
          <w:p>
            <w:pPr>
              <w:ind w:left="140"/>
              <w:spacing w:after="0"/>
              <w:rPr>
                <w:sz w:val="20"/>
                <w:szCs w:val="20"/>
                <w:color w:val="auto"/>
              </w:rPr>
            </w:pPr>
            <w:r>
              <w:rPr>
                <w:rFonts w:ascii="Arial" w:cs="Arial" w:eastAsia="Arial" w:hAnsi="Arial"/>
                <w:sz w:val="18"/>
                <w:szCs w:val="18"/>
                <w:color w:val="auto"/>
              </w:rPr>
              <w:t>Current</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right"/>
              <w:ind w:right="39"/>
              <w:spacing w:after="0"/>
              <w:rPr>
                <w:sz w:val="20"/>
                <w:szCs w:val="20"/>
                <w:color w:val="auto"/>
              </w:rPr>
            </w:pPr>
            <w:r>
              <w:rPr>
                <w:rFonts w:ascii="Arial" w:cs="Arial" w:eastAsia="Arial" w:hAnsi="Arial"/>
                <w:sz w:val="18"/>
                <w:szCs w:val="18"/>
                <w:color w:val="auto"/>
              </w:rPr>
              <w:t>192,927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169,648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Non-current</w:t>
            </w:r>
          </w:p>
        </w:tc>
        <w:tc>
          <w:tcPr>
            <w:tcW w:w="1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82,199</w:t>
            </w:r>
          </w:p>
        </w:tc>
        <w:tc>
          <w:tcPr>
            <w:tcW w:w="20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82,983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Total deferred revenue</w:t>
            </w: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3"/>
          </w:tcPr>
          <w:p>
            <w:pPr>
              <w:jc w:val="right"/>
              <w:ind w:right="39"/>
              <w:spacing w:after="0"/>
              <w:rPr>
                <w:sz w:val="20"/>
                <w:szCs w:val="20"/>
                <w:color w:val="auto"/>
              </w:rPr>
            </w:pPr>
            <w:r>
              <w:rPr>
                <w:rFonts w:ascii="Arial" w:cs="Arial" w:eastAsia="Arial" w:hAnsi="Arial"/>
                <w:sz w:val="18"/>
                <w:szCs w:val="18"/>
                <w:color w:val="auto"/>
              </w:rPr>
              <w:t>275,126</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252,631</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ectPr>
          <w:pgSz w:w="11900" w:h="16838" w:orient="portrait"/>
          <w:cols w:equalWidth="0" w:num="1">
            <w:col w:w="11420"/>
          </w:cols>
          <w:pgMar w:left="240" w:top="125"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firstLine="486"/>
        <w:spacing w:after="0" w:line="261" w:lineRule="auto"/>
        <w:rPr>
          <w:sz w:val="20"/>
          <w:szCs w:val="20"/>
          <w:color w:val="auto"/>
        </w:rPr>
      </w:pPr>
      <w:r>
        <w:rPr>
          <w:rFonts w:ascii="Arial" w:cs="Arial" w:eastAsia="Arial" w:hAnsi="Arial"/>
          <w:sz w:val="18"/>
          <w:szCs w:val="18"/>
          <w:b w:val="1"/>
          <w:bCs w:val="1"/>
          <w:color w:val="auto"/>
        </w:rPr>
        <w:t>Leases and Minimum Royalties—</w:t>
      </w:r>
      <w:r>
        <w:rPr>
          <w:rFonts w:ascii="Arial" w:cs="Arial" w:eastAsia="Arial" w:hAnsi="Arial"/>
          <w:sz w:val="18"/>
          <w:szCs w:val="18"/>
          <w:color w:val="auto"/>
        </w:rPr>
        <w:t>We lease our facilities under various noncancelable operating leases, which expire through 2015. Rent expense was</w:t>
      </w:r>
      <w:r>
        <w:rPr>
          <w:rFonts w:ascii="Arial" w:cs="Arial" w:eastAsia="Arial" w:hAnsi="Arial"/>
          <w:sz w:val="18"/>
          <w:szCs w:val="18"/>
          <w:b w:val="1"/>
          <w:bCs w:val="1"/>
          <w:color w:val="auto"/>
        </w:rPr>
        <w:t xml:space="preserve"> </w:t>
      </w:r>
      <w:r>
        <w:rPr>
          <w:rFonts w:ascii="Arial" w:cs="Arial" w:eastAsia="Arial" w:hAnsi="Arial"/>
          <w:sz w:val="18"/>
          <w:szCs w:val="18"/>
          <w:color w:val="auto"/>
        </w:rPr>
        <w:t>$2.1 million and $1.7 million for the three months ended September 30, 2011 and September 30, 2010, respectively and $6.1 million and $5.2 million for the nine months ended September 30, 2011 and September 30, 2010, respectively. Rent expense is recognized using the straight-line method over the term of the lease.</w:t>
      </w:r>
    </w:p>
    <w:p>
      <w:pPr>
        <w:spacing w:after="0" w:line="184"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entered into a Settlement and Patent License Agreement with Trend Micro Incorporated ("Trend Micro") in January 2006 (see "Litigation" below). The aggregate future noncancelable minimum rental payments on operating leases and minimum royalties payable if we continued paying under the Trend Micro Settlement and License Agreement as of September 30, 2011 are as follows ($ amounts in 000's):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Rental</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20" w:type="dxa"/>
            <w:vAlign w:val="bottom"/>
          </w:tcPr>
          <w:p>
            <w:pPr>
              <w:spacing w:after="0"/>
              <w:rPr>
                <w:sz w:val="21"/>
                <w:szCs w:val="21"/>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Payment</w:t>
            </w:r>
          </w:p>
        </w:tc>
        <w:tc>
          <w:tcPr>
            <w:tcW w:w="1580" w:type="dxa"/>
            <w:vAlign w:val="bottom"/>
          </w:tcPr>
          <w:p>
            <w:pPr>
              <w:jc w:val="right"/>
              <w:ind w:right="351"/>
              <w:spacing w:after="0"/>
              <w:rPr>
                <w:sz w:val="20"/>
                <w:szCs w:val="20"/>
                <w:color w:val="auto"/>
              </w:rPr>
            </w:pPr>
            <w:r>
              <w:rPr>
                <w:rFonts w:ascii="Arial" w:cs="Arial" w:eastAsia="Arial" w:hAnsi="Arial"/>
                <w:sz w:val="16"/>
                <w:szCs w:val="16"/>
                <w:b w:val="1"/>
                <w:bCs w:val="1"/>
                <w:color w:val="auto"/>
              </w:rPr>
              <w:t xml:space="preserve">Royalty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3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Years:</w:t>
            </w:r>
          </w:p>
        </w:tc>
        <w:tc>
          <w:tcPr>
            <w:tcW w:w="16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2011 (remainder)</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6,235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2013</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4,111</w:t>
            </w: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2015</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15,949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40" w:firstLine="8"/>
        <w:spacing w:after="0" w:line="281"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minimum royalties claimed by Trend Micro pursuant to the January 2006 settlement and license agreement between Trend Micro and Fortinet, which are subject to dispute (see "Litigation" below). The $250,000 listed in the chart above as the "2011 (remainder)" represents the minimum</w:t>
      </w:r>
    </w:p>
    <w:p>
      <w:pPr>
        <w:spacing w:after="0" w:line="1" w:lineRule="exact"/>
        <w:rPr>
          <w:rFonts w:ascii="Arial" w:cs="Arial" w:eastAsia="Arial" w:hAnsi="Arial"/>
          <w:sz w:val="16"/>
          <w:szCs w:val="16"/>
          <w:color w:val="auto"/>
        </w:rPr>
      </w:pPr>
    </w:p>
    <w:p>
      <w:pPr>
        <w:ind w:right="140"/>
        <w:spacing w:after="0" w:line="255" w:lineRule="auto"/>
        <w:rPr>
          <w:rFonts w:ascii="Arial" w:cs="Arial" w:eastAsia="Arial" w:hAnsi="Arial"/>
          <w:sz w:val="16"/>
          <w:szCs w:val="16"/>
          <w:color w:val="auto"/>
        </w:rPr>
      </w:pPr>
      <w:r>
        <w:rPr>
          <w:rFonts w:ascii="Arial" w:cs="Arial" w:eastAsia="Arial" w:hAnsi="Arial"/>
          <w:sz w:val="18"/>
          <w:szCs w:val="18"/>
          <w:color w:val="auto"/>
        </w:rPr>
        <w:t>royalties, pursuant to the settlement and license agreement, for the fourth quarter of fiscal 2011. We have accrued a total payment including interest of $6.3 million as of September 30, 2011, related to amounts under the settlement and license agreement with Trend Micro which have not been paid pursuant to the dispute.</w:t>
      </w:r>
    </w:p>
    <w:p>
      <w:pPr>
        <w:spacing w:after="0" w:line="18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b w:val="1"/>
          <w:bCs w:val="1"/>
          <w:color w:val="auto"/>
        </w:rPr>
        <w:t>Contract Manufacturer Commitments—</w:t>
      </w:r>
      <w:r>
        <w:rPr>
          <w:rFonts w:ascii="Arial" w:cs="Arial" w:eastAsia="Arial" w:hAnsi="Arial"/>
          <w:sz w:val="18"/>
          <w:szCs w:val="18"/>
          <w:color w:val="auto"/>
        </w:rPr>
        <w:t>Our independent contract manufacturers procure components and build our products based on our forecasts.</w:t>
      </w:r>
      <w:r>
        <w:rPr>
          <w:rFonts w:ascii="Arial" w:cs="Arial" w:eastAsia="Arial" w:hAnsi="Arial"/>
          <w:sz w:val="18"/>
          <w:szCs w:val="18"/>
          <w:b w:val="1"/>
          <w:bCs w:val="1"/>
          <w:color w:val="auto"/>
        </w:rPr>
        <w:t xml:space="preserve"> </w:t>
      </w:r>
      <w:r>
        <w:rPr>
          <w:rFonts w:ascii="Arial" w:cs="Arial" w:eastAsia="Arial" w:hAnsi="Arial"/>
          <w:sz w:val="18"/>
          <w:szCs w:val="18"/>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September 30, 2011, we had $32.5 million of open purchase orders with our independent contract manufacturers that may not be cancelable compared to $18.3 million as of June 30, 2011. The increase from prior quarter is required to replenish current inventories and to ensure adequate future inventories due to new product releases and product lead-times for certain sole source products.</w:t>
      </w:r>
    </w:p>
    <w:p>
      <w:pPr>
        <w:spacing w:after="0" w:line="189"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—In August 2009, Trend Micro filed a complaint against us in the Superior Court of the State of California for Santa Clara County alleging</w:t>
      </w:r>
      <w:r>
        <w:rPr>
          <w:rFonts w:ascii="Arial" w:cs="Arial" w:eastAsia="Arial" w:hAnsi="Arial"/>
          <w:sz w:val="16"/>
          <w:szCs w:val="16"/>
          <w:b w:val="1"/>
          <w:bCs w:val="1"/>
          <w:color w:val="auto"/>
        </w:rPr>
        <w:t xml:space="preserve"> </w:t>
      </w:r>
      <w:r>
        <w:rPr>
          <w:rFonts w:ascii="Arial" w:cs="Arial" w:eastAsia="Arial" w:hAnsi="Arial"/>
          <w:sz w:val="16"/>
          <w:szCs w:val="16"/>
          <w:color w:val="auto"/>
        </w:rPr>
        <w:t>breach of contract and seeking a declaratory judgment that we are obligated to make certain royalty payments to Trend Micro pursuant to a settlement and license agreement entered into in January 2006. We maintain that the patents that are the basis for the royalty payments are invalid, and, as a result of the patents' invalidity along with other defenses, we believe we have no contractual obligation to pay the royalties. We filed an action in the U.S. District Court for the Northern District of California that is stayed pending the resolution of the state court action. We have continued to accrue expense based on the quarterly royalties provided for in the settlement and license agreement. In May 2011, in response to petitions for re-examination we filed with the U.S. Patent and Trademark Office (“PTO”) on two Trend Micro patents, the PTO issued final office actions rejecting a number of the Trend Micro patent claims allegedly forming the basis for the royalty payments. Trend Micro has responded disputing one of the final office actions. We have determined that, as of this time, there is not a reasonable possibility that a loss exceeding amounts already recognized may be incurred.</w:t>
      </w:r>
    </w:p>
    <w:p>
      <w:pPr>
        <w:spacing w:after="0" w:line="164"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In August 2009, Enhanced Security Research, LLC and Security Research Holdings LLC (collectively “ESR”), a non-practicing entity, 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on both asserted patents. The PTO has finally rejected all of the claims of the patents in the suit and ESR has appealed this result to the Board of Patent Appeals and Interferences (“BPAI”). There was a related action that was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dismissed by the District Court and appealed by ESR to the Federal Circuit. The Federal Circuit in June 2011 rejected ESR's appeal and confirmed the dismissal. We have determined that, as of this time, there is not a reasonable possibility that a loss may be incurred.</w:t>
      </w:r>
    </w:p>
    <w:p>
      <w:pPr>
        <w:spacing w:after="0" w:line="170"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July 2010, Network Protection Sciences, LLC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Currently the case is in the early stages, and we have determined that, as of this time, there is not a reasonable possibility that a loss may be incurred.</w:t>
      </w:r>
    </w:p>
    <w:p>
      <w:pPr>
        <w:spacing w:after="0" w:line="187"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In April 2010, an individual, a former stockholder of Fortinet, filed a class action lawsuit against us in the Superior Court of the State of California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The plaintiff is claiming unspecified damages. In September 2010, the Court granted our motion to transfer the case to the California Superior Court for Santa Clara County and the plaintiff has filed an amended complaint in the Superior Court to add individual defendants, among other amendments. Currently the case is in the early stages, and we have determined that, as of this time, there is not a reasonable possibility that a loss may be incurred.</w:t>
      </w:r>
    </w:p>
    <w:p>
      <w:pPr>
        <w:spacing w:after="0" w:line="174"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—Under the indemnification provisions of our standard sales contracts, we agree to defend our customers against third-party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asserting infringement of certain intellectual property rights, which may include patents, copyrights, trademarks, or trade secrets, and to pay judgments entered on such claims. Our exposure under these indemnification provisions is generally limited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5" w:lineRule="exact"/>
        <w:rPr>
          <w:sz w:val="20"/>
          <w:szCs w:val="20"/>
          <w:color w:val="auto"/>
        </w:rPr>
      </w:pPr>
    </w:p>
    <w:p>
      <w:pPr>
        <w:ind w:right="220" w:firstLine="486"/>
        <w:spacing w:after="0" w:line="266" w:lineRule="auto"/>
        <w:rPr>
          <w:sz w:val="20"/>
          <w:szCs w:val="20"/>
          <w:color w:val="auto"/>
        </w:rPr>
      </w:pPr>
      <w:r>
        <w:rPr>
          <w:rFonts w:ascii="Arial" w:cs="Arial" w:eastAsia="Arial" w:hAnsi="Arial"/>
          <w:sz w:val="18"/>
          <w:szCs w:val="18"/>
          <w:b w:val="1"/>
          <w:bCs w:val="1"/>
          <w:color w:val="auto"/>
        </w:rPr>
        <w:t>Stock Plans</w:t>
      </w:r>
      <w:r>
        <w:rPr>
          <w:rFonts w:ascii="Arial" w:cs="Arial" w:eastAsia="Arial" w:hAnsi="Arial"/>
          <w:sz w:val="18"/>
          <w:szCs w:val="18"/>
          <w:color w:val="auto"/>
        </w:rPr>
        <w:t>—We issue shares under three plans and we grant equity compensation awards to acquire our common shares from one plan, and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are referred to as our stock plans below. For further discussion of these Plans, refer to Note 11, "Stock Plans," of the Notes to Consolidated Financial Statements in our Annual Report on Form 10-K for the year ended December 31, 2010.</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Common Shares Reserved for Issuance</w:t>
      </w:r>
      <w:r>
        <w:rPr>
          <w:rFonts w:ascii="Arial" w:cs="Arial" w:eastAsia="Arial" w:hAnsi="Arial"/>
          <w:sz w:val="18"/>
          <w:szCs w:val="18"/>
          <w:color w:val="auto"/>
        </w:rPr>
        <w:t>—At September 30, 2011, we had reserved 40.2 million common shares for issuance.</w:t>
      </w:r>
    </w:p>
    <w:p>
      <w:pPr>
        <w:spacing w:after="0" w:line="225"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b w:val="1"/>
          <w:bCs w:val="1"/>
          <w:color w:val="auto"/>
        </w:rPr>
        <w:t>Stock-based compensation under ASC 718</w:t>
      </w:r>
      <w:r>
        <w:rPr>
          <w:rFonts w:ascii="Arial" w:cs="Arial" w:eastAsia="Arial" w:hAnsi="Arial"/>
          <w:sz w:val="18"/>
          <w:szCs w:val="18"/>
          <w:color w:val="auto"/>
        </w:rPr>
        <w:t>—Stock-based compensation is accounted for in accordance with ASC 718, which requires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costs related to share-based transactions, including employee stock options, to be recognized in the financial statements based on fair value. Under ASC 718, the fair value of each option award is estimated on the grant date using the Black-Scholes option pricing model. We determined weighted-average valuation assumptions as follows:</w:t>
      </w:r>
    </w:p>
    <w:p>
      <w:pPr>
        <w:spacing w:after="0" w:line="184"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stock-based awards are expected to be outstanding. As we do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experience for determining the expected term of the stock option awards granted, we have based our expected term on the simplified method available under ASC 718-10 (formerly referred to as Staff Accounting Bulletin 110).</w:t>
      </w:r>
    </w:p>
    <w:p>
      <w:pPr>
        <w:spacing w:after="0" w:line="18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computation of expected volatility for the periods presented includes the historical and implied stock volatility of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from a representative peer group selected based on industry and market capitalization data and to a lesser extent, our weighted historical and implied volatility following our IPO in November 2009.</w:t>
      </w:r>
    </w:p>
    <w:p>
      <w:pPr>
        <w:spacing w:after="0" w:line="18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our common stock is the closing sales price of the Common Stock (or the closing bid, if no sales were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on the effective grant date.</w:t>
      </w:r>
    </w:p>
    <w:p>
      <w:pPr>
        <w:spacing w:after="0" w:line="170"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used in the Black-Scholes valuation model on the implied yield available 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zero-coupon issues with an equivalent remaining term.</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expected dividend weighted-average assumption is based on our current expectations about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anticipated dividend policy.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weighted-average assumptions relating to our stock options as follows: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96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2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5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58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1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58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360" w:type="dxa"/>
            <w:vAlign w:val="bottom"/>
          </w:tcPr>
          <w:p>
            <w:pPr>
              <w:jc w:val="right"/>
              <w:ind w:right="434"/>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2010</w:t>
            </w:r>
          </w:p>
        </w:tc>
      </w:tr>
      <w:tr>
        <w:trPr>
          <w:trHeight w:val="33"/>
        </w:trPr>
        <w:tc>
          <w:tcPr>
            <w:tcW w:w="5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Volatility (%)</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40.4 - 46.2</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37.6 - 41.8</w:t>
            </w: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 (%)</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1.5 - 2.0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1.6 - 2.4</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Dividend rate (%)</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is included in costs and expenses as follows ($ amounts in 000's):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96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20" w:type="dxa"/>
            <w:vAlign w:val="bottom"/>
            <w:gridSpan w:val="3"/>
          </w:tcPr>
          <w:p>
            <w:pPr>
              <w:jc w:val="right"/>
              <w:ind w:right="63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5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58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12"/>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580" w:type="dxa"/>
            <w:vAlign w:val="bottom"/>
          </w:tcPr>
          <w:p>
            <w:pPr>
              <w:spacing w:after="0"/>
              <w:rPr>
                <w:sz w:val="18"/>
                <w:szCs w:val="18"/>
                <w:color w:val="auto"/>
              </w:rPr>
            </w:pPr>
          </w:p>
        </w:tc>
        <w:tc>
          <w:tcPr>
            <w:tcW w:w="1380" w:type="dxa"/>
            <w:vAlign w:val="bottom"/>
          </w:tcPr>
          <w:p>
            <w:pPr>
              <w:jc w:val="right"/>
              <w:ind w:right="453"/>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3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3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2010</w:t>
            </w:r>
          </w:p>
        </w:tc>
      </w:tr>
      <w:tr>
        <w:trPr>
          <w:trHeight w:val="33"/>
        </w:trPr>
        <w:tc>
          <w:tcPr>
            <w:tcW w:w="5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Cost of services revenue</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684</w:t>
            </w: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1,516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1,741</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6,289</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2,780</w:t>
            </w: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2,178</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1,565</w:t>
            </w:r>
          </w:p>
        </w:tc>
      </w:tr>
      <w:tr>
        <w:trPr>
          <w:trHeight w:val="237"/>
        </w:trPr>
        <w:tc>
          <w:tcPr>
            <w:tcW w:w="5580" w:type="dxa"/>
            <w:vAlign w:val="bottom"/>
          </w:tcPr>
          <w:p>
            <w:pPr>
              <w:spacing w:after="0"/>
              <w:rPr>
                <w:sz w:val="20"/>
                <w:szCs w:val="20"/>
                <w:color w:val="auto"/>
              </w:rPr>
            </w:pP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5,734</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2,434</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12,674</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6,846</w:t>
            </w: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A summary of the option activity under our stock plans and changes during the reporting periods are presented below (in 000's, except per share amounts):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4"/>
          </w:tcPr>
          <w:p>
            <w:pPr>
              <w:ind w:left="500"/>
              <w:spacing w:after="0"/>
              <w:rPr>
                <w:sz w:val="20"/>
                <w:szCs w:val="20"/>
                <w:color w:val="auto"/>
              </w:rPr>
            </w:pPr>
            <w:r>
              <w:rPr>
                <w:rFonts w:ascii="Arial" w:cs="Arial" w:eastAsia="Arial" w:hAnsi="Arial"/>
                <w:sz w:val="16"/>
                <w:szCs w:val="16"/>
                <w:b w:val="1"/>
                <w:bCs w:val="1"/>
                <w:color w:val="auto"/>
              </w:rPr>
              <w:t>Options Outstanding</w:t>
            </w:r>
          </w:p>
        </w:tc>
        <w:tc>
          <w:tcPr>
            <w:tcW w:w="102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Weighted-</w:t>
            </w:r>
          </w:p>
        </w:tc>
        <w:tc>
          <w:tcPr>
            <w:tcW w:w="1020" w:type="dxa"/>
            <w:vAlign w:val="bottom"/>
          </w:tcPr>
          <w:p>
            <w:pPr>
              <w:spacing w:after="0"/>
              <w:rPr>
                <w:sz w:val="18"/>
                <w:szCs w:val="18"/>
                <w:color w:val="auto"/>
              </w:rPr>
            </w:pPr>
          </w:p>
        </w:tc>
      </w:tr>
      <w:tr>
        <w:trPr>
          <w:trHeight w:val="203"/>
        </w:trPr>
        <w:tc>
          <w:tcPr>
            <w:tcW w:w="5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Weighted-</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Average</w:t>
            </w:r>
          </w:p>
        </w:tc>
        <w:tc>
          <w:tcPr>
            <w:tcW w:w="10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Average</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Remaining</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6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Available</w:t>
            </w:r>
          </w:p>
        </w:tc>
        <w:tc>
          <w:tcPr>
            <w:tcW w:w="1000" w:type="dxa"/>
            <w:vAlign w:val="bottom"/>
          </w:tcPr>
          <w:p>
            <w:pPr>
              <w:jc w:val="right"/>
              <w:ind w:right="13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Exercise</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Contractual</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6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For Grant</w:t>
            </w:r>
          </w:p>
        </w:tc>
        <w:tc>
          <w:tcPr>
            <w:tcW w:w="1000" w:type="dxa"/>
            <w:vAlign w:val="bottom"/>
          </w:tcPr>
          <w:p>
            <w:pPr>
              <w:jc w:val="right"/>
              <w:ind w:right="72"/>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Price ($)</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Life (Years)</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2"/>
              </w:rPr>
              <w:t>Value ($)</w:t>
            </w:r>
          </w:p>
        </w:tc>
      </w:tr>
      <w:tr>
        <w:trPr>
          <w:trHeight w:val="33"/>
        </w:trPr>
        <w:tc>
          <w:tcPr>
            <w:tcW w:w="56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2010</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15,091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22,490</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4.21</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7,438</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5,920</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20.75</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(1,027)</w:t>
            </w:r>
          </w:p>
        </w:tc>
        <w:tc>
          <w:tcPr>
            <w:tcW w:w="1120" w:type="dxa"/>
            <w:vAlign w:val="bottom"/>
            <w:gridSpan w:val="2"/>
          </w:tcPr>
          <w:p>
            <w:pPr>
              <w:jc w:val="right"/>
              <w:ind w:right="17"/>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 (aggregate intrinsic value of $86,961)</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2.90</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Balance—September 30, 2011</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17,636</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22,549</w:t>
            </w:r>
          </w:p>
        </w:tc>
        <w:tc>
          <w:tcPr>
            <w:tcW w:w="112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8"/>
                <w:szCs w:val="18"/>
                <w:color w:val="auto"/>
              </w:rPr>
              <w:t>8.54</w:t>
            </w: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and expected to vest—September 30, 2011</w:t>
            </w: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21,569</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8.40</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4.78</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201,785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vested and exercisable—September 30, 2011</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11,282</w:t>
            </w:r>
          </w:p>
        </w:tc>
        <w:tc>
          <w:tcPr>
            <w:tcW w:w="1120" w:type="dxa"/>
            <w:vAlign w:val="bottom"/>
            <w:gridSpan w:val="2"/>
          </w:tcPr>
          <w:p>
            <w:pPr>
              <w:jc w:val="right"/>
              <w:ind w:right="17"/>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151,886</w:t>
            </w:r>
          </w:p>
        </w:tc>
      </w:tr>
    </w:tbl>
    <w:p>
      <w:pPr>
        <w:spacing w:after="0" w:line="229"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color w:val="auto"/>
        </w:rPr>
        <w:t>At September 30, 2011, total compensation cost related to unvested stock-based awards granted to employees under our stock plans but not yet recognized was $53.3 million, net of estimated forfeitures. This cost is expected to be amortized on a straight-line basis over a weighted-average period of 3.15 years. Future option grants will increase the amount of compensation expense to be recorded in these periods.</w:t>
      </w:r>
    </w:p>
    <w:p>
      <w:pPr>
        <w:spacing w:after="0" w:line="166"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The total fair value of awards vested under our stock plans was $2.5 million and $1.8 million for the three months ended September 30, 2011 and September 30, 2010, respectively. The total fair value of awards vested under our stock plans was $8.3 million and $6.7 million for the nine months ended September 30, 2011 and September 30, 2010, respectively. The weighted-average fair value of options granted during the three and nine months ended September 30, 2011 was $8.04 and $7.80 per</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share, respectively.</w:t>
      </w:r>
    </w:p>
    <w:p>
      <w:pPr>
        <w:spacing w:after="0" w:line="221" w:lineRule="exact"/>
        <w:rPr>
          <w:sz w:val="20"/>
          <w:szCs w:val="20"/>
          <w:color w:val="auto"/>
        </w:rPr>
      </w:pPr>
    </w:p>
    <w:p>
      <w:pPr>
        <w:ind w:right="20" w:firstLine="486"/>
        <w:spacing w:after="0" w:line="292" w:lineRule="auto"/>
        <w:rPr>
          <w:sz w:val="20"/>
          <w:szCs w:val="20"/>
          <w:color w:val="auto"/>
        </w:rPr>
      </w:pPr>
      <w:r>
        <w:rPr>
          <w:rFonts w:ascii="Arial" w:cs="Arial" w:eastAsia="Arial" w:hAnsi="Arial"/>
          <w:sz w:val="16"/>
          <w:szCs w:val="16"/>
          <w:b w:val="1"/>
          <w:bCs w:val="1"/>
          <w:color w:val="auto"/>
        </w:rPr>
        <w:t>Employee Stock Purchase Plan</w:t>
      </w:r>
      <w:r>
        <w:rPr>
          <w:rFonts w:ascii="Arial" w:cs="Arial" w:eastAsia="Arial" w:hAnsi="Arial"/>
          <w:sz w:val="16"/>
          <w:szCs w:val="16"/>
          <w:color w:val="auto"/>
        </w:rPr>
        <w:t>—The ESPP was originally adopted by our Board of Directors (the “Board”) in April 2011 and subsequently</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by our stockholders in June 2011. Under the ESPP, we can grant stock purchase rights to all eligible employees during a six months offering period with purchase dates at the end of each offering period. The first offering period under the ESPP began on August 15, 2011 and ends on February 14, 2012. Shares are purchased through employees' payroll deductions, up to a maximum of 15.0% of employees' compensation for each purchase period, at purchase prices equal to 85.0% of the lesser of the fair market value of our common stock at the first trading date of the applicable offering period or the purchase date. No participant may purchase more than 4,000 shares of common stock in any one calendar year period. The ESPP is compensatory and results in compensation expense. During the three months ended September 30, 2011, compensation expense recognized in connection with the ESPP was $0.5 million.</w:t>
      </w:r>
    </w:p>
    <w:p>
      <w:pPr>
        <w:spacing w:after="0" w:line="16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following table summarizes the weighted-average assumptions relating to our ESPP during the three and nine months ended September 30, 2011 as follows:</w:t>
      </w:r>
    </w:p>
    <w:p>
      <w:pPr>
        <w:spacing w:after="0" w:line="320" w:lineRule="exact"/>
        <w:rPr>
          <w:sz w:val="20"/>
          <w:szCs w:val="20"/>
          <w:color w:val="auto"/>
        </w:rPr>
      </w:pPr>
    </w:p>
    <w:tbl>
      <w:tblPr>
        <w:tblLayout w:type="fixed"/>
        <w:tblInd w:w="2240" w:type="dxa"/>
        <w:tblCellMar>
          <w:top w:w="0" w:type="dxa"/>
          <w:left w:w="0" w:type="dxa"/>
          <w:bottom w:w="0" w:type="dxa"/>
          <w:right w:w="0" w:type="dxa"/>
        </w:tblCellMar>
      </w:tblP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Volatility (%)</w:t>
            </w:r>
          </w:p>
        </w:tc>
        <w:tc>
          <w:tcPr>
            <w:tcW w:w="2720" w:type="dxa"/>
            <w:vAlign w:val="bottom"/>
          </w:tcPr>
          <w:p>
            <w:pPr>
              <w:jc w:val="right"/>
              <w:spacing w:after="0"/>
              <w:rPr>
                <w:sz w:val="20"/>
                <w:szCs w:val="20"/>
                <w:color w:val="auto"/>
              </w:rPr>
            </w:pPr>
            <w:r>
              <w:rPr>
                <w:rFonts w:ascii="Arial" w:cs="Arial" w:eastAsia="Arial" w:hAnsi="Arial"/>
                <w:sz w:val="18"/>
                <w:szCs w:val="18"/>
                <w:color w:val="auto"/>
              </w:rPr>
              <w:t>59.9</w:t>
            </w:r>
          </w:p>
        </w:tc>
      </w:tr>
      <w:tr>
        <w:trPr>
          <w:trHeight w:val="27"/>
        </w:trPr>
        <w:tc>
          <w:tcPr>
            <w:tcW w:w="42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Dividend rate (%)</w:t>
            </w:r>
          </w:p>
        </w:tc>
        <w:tc>
          <w:tcPr>
            <w:tcW w:w="2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fair value ($)</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7"/>
        </w:trPr>
        <w:tc>
          <w:tcPr>
            <w:tcW w:w="42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b w:val="1"/>
          <w:bCs w:val="1"/>
          <w:color w:val="auto"/>
        </w:rPr>
        <w:t>Non-employees</w:t>
      </w:r>
      <w:r>
        <w:rPr>
          <w:rFonts w:ascii="Arial" w:cs="Arial" w:eastAsia="Arial" w:hAnsi="Arial"/>
          <w:sz w:val="18"/>
          <w:szCs w:val="18"/>
          <w:color w:val="auto"/>
        </w:rPr>
        <w:t>—During the three months ended September 30, 2011, we issued options to purchase 5,760 shares of common stock, at an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price of $20.13 per share, to non-employees in exchange for services. During the three months ended September 30, 2010, no options were granted to non-employees in exchange for services. During the nine months ended September 30, 2011 and September 30, 2010, we granted to non-employees in exchange for services, options to purchase 34,144 and 22,860 shares of Common Stock, respectively, at a range of exercise prices of $8.43 to $23.04 per share. These options vest over periods of up to 48 months, and in accordance with ASC 505-50 (formerly referred to as Emerging Issues Task Force (EITF) Issue No. 96-18, </w:t>
      </w:r>
      <w:r>
        <w:rPr>
          <w:rFonts w:ascii="Arial" w:cs="Arial" w:eastAsia="Arial" w:hAnsi="Arial"/>
          <w:sz w:val="18"/>
          <w:szCs w:val="18"/>
          <w:i w:val="1"/>
          <w:iCs w:val="1"/>
          <w:color w:val="auto"/>
        </w:rPr>
        <w:t>Accounting for Equity Instruments that are Issued to Other Than Employees for Acquiring, or in Conjunction with Selling Goods or Services</w:t>
      </w:r>
      <w:r>
        <w:rPr>
          <w:rFonts w:ascii="Arial" w:cs="Arial" w:eastAsia="Arial" w:hAnsi="Arial"/>
          <w:sz w:val="18"/>
          <w:szCs w:val="18"/>
          <w:color w:val="auto"/>
        </w:rPr>
        <w:t>), we accounted for these options as variable awards. The options were valued using the Black-Scholes option pricing model with the following weighted-average assumptions: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960" w:type="dxa"/>
            <w:vAlign w:val="bottom"/>
            <w:gridSpan w:val="4"/>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282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5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5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1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580" w:type="dxa"/>
            <w:vAlign w:val="bottom"/>
          </w:tcPr>
          <w:p>
            <w:pPr>
              <w:spacing w:after="0"/>
              <w:rPr>
                <w:sz w:val="18"/>
                <w:szCs w:val="18"/>
                <w:color w:val="auto"/>
              </w:rPr>
            </w:pPr>
          </w:p>
        </w:tc>
        <w:tc>
          <w:tcPr>
            <w:tcW w:w="1360" w:type="dxa"/>
            <w:vAlign w:val="bottom"/>
          </w:tcPr>
          <w:p>
            <w:pPr>
              <w:jc w:val="right"/>
              <w:ind w:right="434"/>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360" w:type="dxa"/>
            <w:vAlign w:val="bottom"/>
          </w:tcPr>
          <w:p>
            <w:pPr>
              <w:jc w:val="right"/>
              <w:ind w:right="434"/>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2010</w:t>
            </w:r>
          </w:p>
        </w:tc>
      </w:tr>
      <w:tr>
        <w:trPr>
          <w:trHeight w:val="33"/>
        </w:trPr>
        <w:tc>
          <w:tcPr>
            <w:tcW w:w="5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3.6 - 6.1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4.6 - 6.3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3.6 - 6.3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4.6 - 6.8</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Volatility (%)</w:t>
            </w:r>
          </w:p>
        </w:tc>
        <w:tc>
          <w:tcPr>
            <w:tcW w:w="136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40.4 - 46.2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37.6 - 41.8</w:t>
            </w:r>
          </w:p>
        </w:tc>
      </w:tr>
      <w:tr>
        <w:trPr>
          <w:trHeight w:val="27"/>
        </w:trPr>
        <w:tc>
          <w:tcPr>
            <w:tcW w:w="5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1.5 - 2.0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1.6 - 2.4</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Dividend rate (%)</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The effective tax rate was 33.9% for the three months ended September 30, 2011, compared to an effective tax rate of 23.3% for the three months ended September 30, 2010. The effective tax rate was 28.9% for the nine months ended September 30, 2011, compared to an effective tax rate of 28.8% for the nine months ended September 30, 2010. The provision for income taxes for the three months and nine months ended September 30, 2011 is comprised of foreign income taxes, U.S. federal and state taxes, and withholding tax. The provision for income taxes for the three months and nine months ended September 30, 2010 is comprised of foreign income taxes, U.S. federal and state taxes, and withholding tax.</w:t>
      </w:r>
    </w:p>
    <w:p>
      <w:pPr>
        <w:spacing w:after="0" w:line="173"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As of September 30, 2011 and December 31, 2010, unrecognized tax benefits determined in accordance with authoritative guidance on accounting for uncertainty in income taxes, approximated $17.2 million and $11.2 million, respectively. The total amount of unrecognized tax benefits, if recognized, would favorably impact the effective tax rate.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taxes. As of September 30, 2011, we had approximately $0.3 million accrued for estimated interest related to uncertain tax positions. For the nine months ended September 30, 2011, we recorded estimated interest of $0.1 million. Penalties were immaterial at September 30,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229"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have established a 401(k) tax-deferred savings plan (the “401(k) Plan”) which permits participants to make contributions by salary deduction pursuant to Section 401(k) of the Internal Revenue Code. Under the 401(k) Plan, participating employees may defer a portion of their pre-tax earnings, up to the IRS annual contribution limit ($16,500 for the calendar year 2011). In Canada, we have established a Group Registered Retirement Savings Plan program (the "RRSP Plan") which permits participants to make tax deductible contributions up to the maximum RRSP contribution limits under the Income Tax Act. As of January 1, 2011, our board of directors approved 50.0% matching contributions on employee contributions, up to 4.0% of the employee's eligible earnings. Our matching contributions to the RRSP and 401(k) Plans for the three and nine months ended September 30, 2011 were $0.4 million and $1.2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 xml:space="preserve">ASC 280 (formerly referred to as SFAS No. 131,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are considered to be in a single reportable segment and operating unit structure.</w:t>
      </w:r>
    </w:p>
    <w:p>
      <w:pPr>
        <w:spacing w:after="0" w:line="16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interest income and property and equipment by geographic region ($ amounts in 000's):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60" w:type="dxa"/>
            <w:vAlign w:val="bottom"/>
            <w:gridSpan w:val="5"/>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60" w:type="dxa"/>
            <w:vAlign w:val="bottom"/>
            <w:gridSpan w:val="5"/>
          </w:tcPr>
          <w:p>
            <w:pPr>
              <w:jc w:val="right"/>
              <w:ind w:right="632"/>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Pr>
          <w:p>
            <w:pPr>
              <w:spacing w:after="0"/>
              <w:rPr>
                <w:sz w:val="18"/>
                <w:szCs w:val="18"/>
                <w:color w:val="auto"/>
              </w:rPr>
            </w:pPr>
          </w:p>
        </w:tc>
      </w:tr>
      <w:tr>
        <w:trPr>
          <w:trHeight w:val="33"/>
        </w:trPr>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1500" w:type="dxa"/>
            <w:vAlign w:val="bottom"/>
            <w:gridSpan w:val="4"/>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8"/>
                <w:szCs w:val="18"/>
                <w:color w:val="auto"/>
              </w:rPr>
            </w:pPr>
          </w:p>
        </w:tc>
      </w:tr>
      <w:tr>
        <w:trPr>
          <w:trHeight w:val="176"/>
        </w:trPr>
        <w:tc>
          <w:tcPr>
            <w:tcW w:w="60" w:type="dxa"/>
            <w:vAlign w:val="bottom"/>
          </w:tcPr>
          <w:p>
            <w:pPr>
              <w:spacing w:after="0"/>
              <w:rPr>
                <w:sz w:val="15"/>
                <w:szCs w:val="15"/>
                <w:color w:val="auto"/>
              </w:rPr>
            </w:pPr>
          </w:p>
        </w:tc>
        <w:tc>
          <w:tcPr>
            <w:tcW w:w="552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Revenue</w:t>
            </w:r>
          </w:p>
        </w:tc>
        <w:tc>
          <w:tcPr>
            <w:tcW w:w="1360" w:type="dxa"/>
            <w:vAlign w:val="bottom"/>
          </w:tcPr>
          <w:p>
            <w:pPr>
              <w:jc w:val="right"/>
              <w:ind w:right="433"/>
              <w:spacing w:after="0" w:line="176" w:lineRule="exact"/>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5"/>
                <w:szCs w:val="15"/>
                <w:color w:val="auto"/>
              </w:rPr>
            </w:pPr>
          </w:p>
        </w:tc>
        <w:tc>
          <w:tcPr>
            <w:tcW w:w="1240" w:type="dxa"/>
            <w:vAlign w:val="bottom"/>
          </w:tcPr>
          <w:p>
            <w:pPr>
              <w:jc w:val="right"/>
              <w:ind w:right="312"/>
              <w:spacing w:after="0" w:line="176" w:lineRule="exact"/>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332"/>
              <w:spacing w:after="0" w:line="176" w:lineRule="exact"/>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2010</w:t>
            </w:r>
          </w:p>
        </w:tc>
        <w:tc>
          <w:tcPr>
            <w:tcW w:w="20" w:type="dxa"/>
            <w:vAlign w:val="bottom"/>
          </w:tcPr>
          <w:p>
            <w:pPr>
              <w:spacing w:after="0"/>
              <w:rPr>
                <w:sz w:val="15"/>
                <w:szCs w:val="15"/>
                <w:color w:val="auto"/>
              </w:rPr>
            </w:pPr>
          </w:p>
        </w:tc>
      </w:tr>
      <w:tr>
        <w:trPr>
          <w:trHeight w:val="48"/>
        </w:trPr>
        <w:tc>
          <w:tcPr>
            <w:tcW w:w="60" w:type="dxa"/>
            <w:vAlign w:val="bottom"/>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34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4"/>
        </w:trPr>
        <w:tc>
          <w:tcPr>
            <w:tcW w:w="60" w:type="dxa"/>
            <w:vAlign w:val="bottom"/>
            <w:tcBorders>
              <w:right w:val="single" w:sz="8" w:color="CCEEFF"/>
            </w:tcBorders>
          </w:tcPr>
          <w:p>
            <w:pPr>
              <w:spacing w:after="0"/>
              <w:rPr>
                <w:sz w:val="21"/>
                <w:szCs w:val="21"/>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520" w:type="dxa"/>
            <w:vAlign w:val="bottom"/>
            <w:gridSpan w:val="3"/>
          </w:tcPr>
          <w:p>
            <w:pPr>
              <w:ind w:left="140"/>
              <w:spacing w:after="0"/>
              <w:rPr>
                <w:sz w:val="20"/>
                <w:szCs w:val="20"/>
                <w:color w:val="auto"/>
              </w:rPr>
            </w:pPr>
            <w:r>
              <w:rPr>
                <w:rFonts w:ascii="Arial" w:cs="Arial" w:eastAsia="Arial" w:hAnsi="Arial"/>
                <w:sz w:val="18"/>
                <w:szCs w:val="18"/>
                <w:color w:val="auto"/>
              </w:rPr>
              <w:t>United States</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36,565</w:t>
            </w:r>
          </w:p>
        </w:tc>
        <w:tc>
          <w:tcPr>
            <w:tcW w:w="14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27,494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88,838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66,661</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55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13,463</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21,442</w:t>
            </w:r>
          </w:p>
        </w:tc>
        <w:tc>
          <w:tcPr>
            <w:tcW w:w="20" w:type="dxa"/>
            <w:vAlign w:val="bottom"/>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50,028</w:t>
            </w:r>
          </w:p>
        </w:tc>
        <w:tc>
          <w:tcPr>
            <w:tcW w:w="140" w:type="dxa"/>
            <w:vAlign w:val="bottom"/>
          </w:tcPr>
          <w:p>
            <w:pPr>
              <w:spacing w:after="0"/>
              <w:rPr>
                <w:sz w:val="20"/>
                <w:szCs w:val="20"/>
                <w:color w:val="auto"/>
              </w:rPr>
            </w:pPr>
          </w:p>
        </w:tc>
        <w:tc>
          <w:tcPr>
            <w:tcW w:w="13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35,396</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126,214</w:t>
            </w:r>
          </w:p>
        </w:tc>
        <w:tc>
          <w:tcPr>
            <w:tcW w:w="1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88,103</w:t>
            </w:r>
          </w:p>
        </w:tc>
        <w:tc>
          <w:tcPr>
            <w:tcW w:w="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37,942</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28,926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108,216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85,482</w:t>
            </w:r>
          </w:p>
        </w:tc>
        <w:tc>
          <w:tcPr>
            <w:tcW w:w="2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Asia Pacific and Japan (APAC)</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28,456</w:t>
            </w:r>
          </w:p>
        </w:tc>
        <w:tc>
          <w:tcPr>
            <w:tcW w:w="14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20,649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78,285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57,512</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60" w:type="dxa"/>
            <w:vAlign w:val="bottom"/>
            <w:tcBorders>
              <w:right w:val="single" w:sz="8" w:color="CCEEFF"/>
            </w:tcBorders>
          </w:tcPr>
          <w:p>
            <w:pPr>
              <w:spacing w:after="0"/>
              <w:rPr>
                <w:sz w:val="22"/>
                <w:szCs w:val="22"/>
                <w:color w:val="auto"/>
              </w:rPr>
            </w:pPr>
          </w:p>
        </w:tc>
        <w:tc>
          <w:tcPr>
            <w:tcW w:w="55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116,426</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84,971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312,715</w:t>
            </w:r>
          </w:p>
        </w:tc>
        <w:tc>
          <w:tcPr>
            <w:tcW w:w="10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231,097</w:t>
            </w:r>
          </w:p>
        </w:tc>
        <w:tc>
          <w:tcPr>
            <w:tcW w:w="2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4"/>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4"/>
          </w:tcPr>
          <w:p>
            <w:pPr>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72"/>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24"/>
                <w:szCs w:val="24"/>
                <w:color w:val="auto"/>
              </w:rPr>
            </w:pPr>
          </w:p>
        </w:tc>
      </w:tr>
      <w:tr>
        <w:trPr>
          <w:trHeight w:val="176"/>
        </w:trPr>
        <w:tc>
          <w:tcPr>
            <w:tcW w:w="5580" w:type="dxa"/>
            <w:vAlign w:val="bottom"/>
            <w:gridSpan w:val="4"/>
          </w:tcPr>
          <w:p>
            <w:pPr>
              <w:ind w:left="40"/>
              <w:spacing w:after="0" w:line="176" w:lineRule="exact"/>
              <w:rPr>
                <w:sz w:val="20"/>
                <w:szCs w:val="20"/>
                <w:color w:val="auto"/>
              </w:rPr>
            </w:pPr>
            <w:r>
              <w:rPr>
                <w:rFonts w:ascii="Arial" w:cs="Arial" w:eastAsia="Arial" w:hAnsi="Arial"/>
                <w:sz w:val="16"/>
                <w:szCs w:val="16"/>
                <w:b w:val="1"/>
                <w:bCs w:val="1"/>
                <w:color w:val="auto"/>
              </w:rPr>
              <w:t>Property and Equipment—Net</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2010</w:t>
            </w:r>
          </w:p>
        </w:tc>
        <w:tc>
          <w:tcPr>
            <w:tcW w:w="20" w:type="dxa"/>
            <w:vAlign w:val="bottom"/>
          </w:tcPr>
          <w:p>
            <w:pPr>
              <w:spacing w:after="0"/>
              <w:rPr>
                <w:sz w:val="15"/>
                <w:szCs w:val="15"/>
                <w:color w:val="auto"/>
              </w:rPr>
            </w:pPr>
          </w:p>
        </w:tc>
      </w:tr>
      <w:tr>
        <w:trPr>
          <w:trHeight w:val="48"/>
        </w:trPr>
        <w:tc>
          <w:tcPr>
            <w:tcW w:w="6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340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44"/>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520" w:type="dxa"/>
            <w:vAlign w:val="bottom"/>
            <w:gridSpan w:val="3"/>
          </w:tcPr>
          <w:p>
            <w:pPr>
              <w:ind w:left="120"/>
              <w:spacing w:after="0"/>
              <w:rPr>
                <w:sz w:val="20"/>
                <w:szCs w:val="20"/>
                <w:color w:val="auto"/>
              </w:rPr>
            </w:pPr>
            <w:r>
              <w:rPr>
                <w:rFonts w:ascii="Arial" w:cs="Arial" w:eastAsia="Arial" w:hAnsi="Arial"/>
                <w:sz w:val="18"/>
                <w:szCs w:val="18"/>
                <w:color w:val="auto"/>
              </w:rPr>
              <w:t>United States</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1,639</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520" w:type="dxa"/>
            <w:vAlign w:val="bottom"/>
            <w:gridSpan w:val="3"/>
          </w:tcPr>
          <w:p>
            <w:pPr>
              <w:ind w:left="120"/>
              <w:spacing w:after="0"/>
              <w:rPr>
                <w:sz w:val="20"/>
                <w:szCs w:val="20"/>
                <w:color w:val="auto"/>
              </w:rPr>
            </w:pPr>
            <w:r>
              <w:rPr>
                <w:rFonts w:ascii="Arial" w:cs="Arial" w:eastAsia="Arial" w:hAnsi="Arial"/>
                <w:sz w:val="18"/>
                <w:szCs w:val="18"/>
                <w:color w:val="auto"/>
              </w:rPr>
              <w:t>Other Americas</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Europe, Middle East and Africa (EMEA)</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Asia Pacific and Japan (APAC)</w:t>
            </w:r>
          </w:p>
        </w:tc>
        <w:tc>
          <w:tcPr>
            <w:tcW w:w="1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60" w:type="dxa"/>
            <w:vAlign w:val="bottom"/>
          </w:tcPr>
          <w:p>
            <w:pPr>
              <w:spacing w:after="0"/>
              <w:rPr>
                <w:sz w:val="22"/>
                <w:szCs w:val="22"/>
                <w:color w:val="auto"/>
              </w:rPr>
            </w:pPr>
          </w:p>
        </w:tc>
        <w:tc>
          <w:tcPr>
            <w:tcW w:w="5520" w:type="dxa"/>
            <w:vAlign w:val="bottom"/>
            <w:gridSpan w:val="3"/>
          </w:tcPr>
          <w:p>
            <w:pPr>
              <w:ind w:left="120"/>
              <w:spacing w:after="0"/>
              <w:rPr>
                <w:sz w:val="20"/>
                <w:szCs w:val="20"/>
                <w:color w:val="auto"/>
              </w:rPr>
            </w:pPr>
            <w:r>
              <w:rPr>
                <w:rFonts w:ascii="Arial" w:cs="Arial" w:eastAsia="Arial" w:hAnsi="Arial"/>
                <w:sz w:val="18"/>
                <w:szCs w:val="18"/>
                <w:color w:val="auto"/>
              </w:rPr>
              <w:t>Total property and equipment—net</w:t>
            </w: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7,485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7,056</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ACQUISITIONS</w:t>
      </w:r>
    </w:p>
    <w:p>
      <w:pPr>
        <w:sectPr>
          <w:pgSz w:w="11900" w:h="16838" w:orient="portrait"/>
          <w:cols w:equalWidth="0" w:num="1">
            <w:col w:w="11420"/>
          </w:cols>
          <w:pgMar w:left="240" w:top="125"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On April 6, 2011, we completed the acquisition of TalkSwitch Corp. (TalkSwitch), a privately held company that provides voice over IP phones and phone systems, for a cash payment of $2.6 million. We accounted for this acquisition as a purchase of a business and, accordingly, the total purchase price has been allocated to TalkSwitch tangible and identifiable intangible assets acquired and liabilities assumed based on their estimated fair market values as of the acquisition date. The purchase price allocation resulted in purchased tangible assets of approximately $0.9 million and liabilities of $0.1 million and purchased identifiable intangible assets of approximately $1.8 million. Identifiable intangible assets consist of purchased technology. The fair value assigned to identifiable intangible assets acquired is determined using the income approach, which discounts expected future cash flows to present value using estimates and assumptions determined by us. Purchased identifiable intangible assets are being amortized on a straight-line basis over three years.</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statements concerning our expectations regarding:</w:t>
      </w:r>
    </w:p>
    <w:p>
      <w:pPr>
        <w:spacing w:after="0" w:line="181"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continued realization of efficiency gains in our sales and marketing organization as well as efficiency gains in our overall headcount measured by revenue per employee;</w:t>
      </w:r>
    </w:p>
    <w:p>
      <w:pPr>
        <w:spacing w:after="0" w:line="170" w:lineRule="exact"/>
        <w:rPr>
          <w:rFonts w:ascii="Arial" w:cs="Arial" w:eastAsia="Arial" w:hAnsi="Arial"/>
          <w:sz w:val="18"/>
          <w:szCs w:val="18"/>
          <w:i w:val="1"/>
          <w:iCs w:val="1"/>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continued sales into large customers;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mix of billings between product and services, as well as, increases in sales of multi-year support and subscription contracts;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significance of stock compensation as an expense;</w:t>
      </w:r>
    </w:p>
    <w:p>
      <w:pPr>
        <w:spacing w:after="0" w:line="225" w:lineRule="exact"/>
        <w:rPr>
          <w:rFonts w:ascii="Arial" w:cs="Arial" w:eastAsia="Arial" w:hAnsi="Arial"/>
          <w:sz w:val="18"/>
          <w:szCs w:val="18"/>
          <w:color w:val="auto"/>
        </w:rPr>
      </w:pPr>
    </w:p>
    <w:p>
      <w:pPr>
        <w:ind w:left="820" w:right="42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revenues and future trends with respect to service revenue as we renew existing services contracts and expand our customer base;</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royalty payments to Trend Micro;</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 and comprehensive product portfolio;</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impact of the newly-adopted revenue recognition rules;</w:t>
      </w:r>
    </w:p>
    <w:p>
      <w:pPr>
        <w:spacing w:after="0" w:line="225" w:lineRule="exact"/>
        <w:rPr>
          <w:rFonts w:ascii="Arial" w:cs="Arial" w:eastAsia="Arial" w:hAnsi="Arial"/>
          <w:sz w:val="18"/>
          <w:szCs w:val="18"/>
          <w:i w:val="1"/>
          <w:iCs w:val="1"/>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820" w:right="32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personnel costs, research and development expense, sales and marketing expense and general and administrative expense;</w:t>
      </w:r>
    </w:p>
    <w:p>
      <w:pPr>
        <w:spacing w:after="0" w:line="170" w:lineRule="exact"/>
        <w:rPr>
          <w:rFonts w:ascii="Arial" w:cs="Arial" w:eastAsia="Arial" w:hAnsi="Arial"/>
          <w:sz w:val="18"/>
          <w:szCs w:val="18"/>
          <w:color w:val="auto"/>
        </w:rPr>
      </w:pPr>
    </w:p>
    <w:p>
      <w:pPr>
        <w:ind w:left="820" w:right="56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investments in research and development and sales and marketing staff to address market opportunities and to position ourselves for future growth;</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effective tax rate;</w:t>
      </w:r>
    </w:p>
    <w:p>
      <w:pPr>
        <w:spacing w:after="0" w:line="225" w:lineRule="exact"/>
        <w:rPr>
          <w:rFonts w:ascii="Arial" w:cs="Arial" w:eastAsia="Arial" w:hAnsi="Arial"/>
          <w:sz w:val="18"/>
          <w:szCs w:val="18"/>
          <w:i w:val="1"/>
          <w:iCs w:val="1"/>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seasonality on our business;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sufficiency of our existing cash and investments to meet our cash needs for at least the next 12 months;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as well as other statements regarding our future operations, financial condition and prospects and business strategies.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included elsewhere in this Quarterly Report on Form 10-Q and in our other Securities and Exchange Commission filings, including our Annual Report on Form 10-K for the year ended December 31, 2010, which was filed on February 25, 2011. We undertake no obligation to revise or publicly release the results of any revision to these forward-looking</w:t>
      </w:r>
    </w:p>
    <w:p>
      <w:pPr>
        <w:sectPr>
          <w:pgSz w:w="11900" w:h="16838" w:orient="portrait"/>
          <w:cols w:equalWidth="0" w:num="1">
            <w:col w:w="11400"/>
          </w:cols>
          <w:pgMar w:left="240" w:top="125" w:right="25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25" w:right="2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Given these risks and uncertainties, readers are cautioned not to place undue reliance on such forward-looking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provide network security solutions, which enable broad, integrated and high performance protection against dynamic security threats while simplifying the IT security infrastructure for enterprises, service providers and government entities worldwide. As of September 30, 2011, we had shipped over 800,000 appliances to more than 10,000 channel partners and to more than 125,000 end-customers worldwide, including a majority of the 2011 Fortune Global 100.</w:t>
      </w:r>
    </w:p>
    <w:p>
      <w:pPr>
        <w:spacing w:after="0" w:line="187"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Our core UTM product line of FortiGate appliances ships with a set of security and networking capabilities, including firewall, VPN, antivirus, intrusion prevention, application control, Web filtering, antispam and WAN acceleration functionality. We derive a substantial majority of product sales from our FortiGate appliances, which range from the FortiGate-30, designed for small businesses, to the FortiGate-5000 series for large enterprises, telecommunications carriers, and service providers. Our UTM solution also includes our FortiGuard security subscription services, which end-customers can subscribe to in order to obtain access to dynamic updates to the antivirus, intrusion prevention/application control, Web filtering and antispam functionality included in our appliances. End-customers can also choose to purchase FortiCare technical support services for our products. End-customers also often use FortiManager and FortiAnalyzer products in conjunction with a FortiGate deployment to provide centralized management, analysis and reporting capabilities. We complement our core FortiGate product line with other appliances and software that offer additional protection from security threats to other critical areas of the enterprise, such as messaging, Web application firewalls, databases, employee computers and mobile devices. Sales of these complementary products have grown in recent quarters, although these products still represent less than 10.0% of our total revenue. During the past several quarters, we have also expanded and enhanced our FortiGate UTM and FortiAP secure wireless access product lines, as well as introduced software-based virtual appliances for many of our appliance-based product lines, including FortiGate and FortiManager product lines, which help secure the end-customer's cloud-based network infrastructures with the same functionality as the traditional physical appliance in their respective product lines.</w:t>
      </w:r>
    </w:p>
    <w:p>
      <w:pPr>
        <w:spacing w:after="0" w:line="17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sales strategy is based on a distribution model whereby we primarily sell our products and services directly to distributors who sell to resellers and service providers, who, in turn, sell to our end-customers. In certain cases, we sell directly to government-focused resellers, large service providers and major systems integrators, who have significant purchasing power and unique customer deployment requirements. Typically, FortiGuard security subscription services and FortiCare technical support services are purchased along with our appliances. We invoice at the time of our sale for the total price of the products and subscription and support services, and the invoice generally becomes payable within 30 to 90 days. We generally recognize product revenue up-front based on the allocated revenue value and defer revenue for the sale of new and renewal subscription and support services contracts. We recognize the related services revenue over the service period, which is typically one year from the date the end-customer registers for these services (the date on which the services can first be used by the customer), although it can be as long as 5 years. Sales of new and renewal services increase our deferred revenue balance, which contributes significantly to our positive cash flow from operations.</w:t>
      </w:r>
    </w:p>
    <w:p>
      <w:pPr>
        <w:spacing w:after="0" w:line="141"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During the third quarter of 2011, billings (a non-GAAP financial measure that we define as total revenue plus the change in deferred revenue) and revenues grew as a result of the leverage achieved on our investments in research and development and the successful execution of our global sales strategy. Sales of FortiGate products continued to be generally balanced across entry-level (FortiGate-30 to -100 series), mid-range (FortiGate-200 to -800 series) and high-end (FortiGate-1000 to -5000 series) models with each product category representing approximately one-third of FortiGate sales. We expect some degree of variability from year to year and between quarters, although we do not consider small percentage changes meaningful in terms of business trends. The percentage of our FortiGate related billings from the mid-range category increased to 31.0% in the third quarter of 2011 from 27.0% in the third quarter of 2010, while the high-end category decreased slightly from 39.0% to 37.0%, and the entry-level category decreased from 34.0% to 32.0%.</w:t>
      </w:r>
    </w:p>
    <w:p>
      <w:pPr>
        <w:spacing w:after="0" w:line="16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also believe continued product innovation, as evidenced by the increased demand for our recently introduced FortiGate models such as the FortiGate-5001B and FortiGate-3140B in the high-end, as well as continued acceptance by small businesses of our mid-range FortiGate-200B model and FortiWifi-60C devices are reinforcing our competitive edge and driving market share gains. During the third quarter, we experienced inventory shortages due primarily to demand for specific products exceeding our forecasts.</w:t>
      </w:r>
    </w:p>
    <w:p>
      <w:pPr>
        <w:spacing w:after="0" w:line="18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During the third quarter of 2011, we also continued to invest in research and development as well as sales and marketing to expand brand awareness, strengthen our value proposition, and expand our distribution channel. We experienced healthy deal volumes driven by traction in enterprise data center deployments, core enterprise deals, and continued strength in the retail and telecommunications sectors. We also experienced a sizable increase in the number of deals involving sales greater than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41"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$100,000, although the number of deals greater than $250,000 and $500,000 were relatively flat compared to the third quarter of 2010. We expect some variability in this metric, and remain focused on investing in our sales and research and development resources in order to expand our reach into new high-growth verticals and emerging markets, and in an effort to ensure the quality and functionality of our products meet increasing customer expectations as we continue to sell to large customers, such as enterprise and service providers.</w:t>
      </w:r>
    </w:p>
    <w:p>
      <w:pPr>
        <w:spacing w:after="0" w:line="18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Billings (as further described under "Non-GAAP Financial Measures") were $118.4 million in the third quarter of 2011, an increase of 25.0% compared to the third quarter of 2010. Total revenue was $116.4 million for the third quarter of 2011, an increase of 37.0% compared to the third quarter of 2010. Both metrics were positively impacted by a $2.6 million sale of previously-acquired patents during the quarter. Revenue for the third quarter of 2011 includes a $5.1 million, or 4.4%, positive impact related to the adoption of the new revenue recognition rules, as described in our "Summary of Significant Accounting Policies" included in - Footnote 1 to our Condensed Consolidated Financial Statements. The increase was attributable to both using BESP in our allocation of arrangement consideration when we do not have VSOE, and being able to recognize upon shipment certain product revenue, which would have been deferred under the previous revenue recognition rules. Product revenue was $53.1 million, an increase of 47.8% compared to the third quarter of 2010, and a greater percentage of total revenue (45.6% in the third quarter of 2011, compared to 42.3% in the third quarter of 2010). The higher product revenue can be attributed to an increase of higher-end product billings relative to services billings compared to last year, and upfront recognition of revenue related to sales in China previously amortized ratably. Services revenue in the third quarter of 2011 was $57.8 million, an increase of 29.9% compared to the third quarter of 2010. Services revenue is important to our future revenue and profitability as it provides a source of recurring revenue for us, representing 49.7% and 52.4% of total revenue for the third quarter of 2011 and 2010, respectively. Ratable and other revenue in the third quarter of 2011 was $5.5 million, an increase of 21.3% compared to the third quarter of 2010, due to a $2.6 million sale of previously-acquired patents, partially offset by $1.6 million of declining ratable revenue amortization due to the new revenue recognition rules.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a global, geographically diversified business, with 57.0% of our total revenue generated outside of the Americas region in the third quarter of</w:t>
      </w:r>
    </w:p>
    <w:p>
      <w:pPr>
        <w:spacing w:after="0" w:line="46"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2011. Our strong operating results were driven by strong performance across all geographies, especially in the Americas and EMEA. During the quarter, $50.0 million, or 43.0%, of our total revenue was generated from the Americas, representing an increase of 41.3% from the third quarter of 2010. EMEA generated $37.9 million, or 32.6%, of our total revenue during the third quarter of 2011, representing an increase of 31.2% from the third quarter of 2010. APAC generated $28.5 million, or 24.4%, of our total revenue during the third quarter of 2011, representing an increase of 37.8% from the third quarter of 2010.</w:t>
      </w:r>
    </w:p>
    <w:p>
      <w:pPr>
        <w:spacing w:after="0" w:line="191"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Our total operating expenses were $59.1 million for the third quarter of 2011, an increase of 30.3% compared to the same period in the prior year. The 37.0% increase in revenues compared to the 30.3% increase in operating expenses from the third quarter of 2010 (as discussed under "Results of Operations" below) demonstrates the leverage that we are achieving from the efficiencies in our business operations during the past year. Despite the negative impact of foreign currency fluctuations experienced during the quarter, operating expenses as a percentage of revenue decreased to 50.7% from 53.5% during the third quarter last year. We are also seeing improvements in productivity and efficiencies in our overall headcount as our annualized third quarter 2011 revenue per employee, defined as quarterly revenue, annualized and divided by average headcount, reached a record $310,000, up from $263,000 for the third quarter of 2010. Headcount increased during the third quarter of 2011 from 1,475 at the end of the second quarter of 2011 to 1,527, as our pace of hiring picked up this quarter (particularly in research and development and sales and marketing), following a ramp up in our recruiting efforts over the past few quarters.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We monitor the key financial metrics set forth below on a quarterly basis to help us evaluate growth trends, establish budgets, measure the effectiveness of our sales and marketing efforts and assess operational efficiencies. Our total deferred revenue increased by $1.9 million from $273.2 million at June 30, 2011 to $275.1 million at September 30, 2011. Revenue recognized plus the change in deferred revenue from the beginning to the end of the period is a useful metric that management identifies as billings. Billings for services drive deferred revenue, which is an important indicator of the health and visibility of our business, and has historically represented a majority of the quarterly revenue that we recognize. We also ended the third quarter of 2011 with $503.0 million in cash, cash equivalents and investments and have had positive cash flow from operations for every fiscal year since 2005. We discuss revenue, gross margin, and the components of operating income and margin below under “Components of Operating Results,” and we discuss our cash, cash equivalents, and investments under “Liquidity and Capital Resources.” Deferred revenue and cash flow from operations are discussed immediately below the following table.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4000" w:type="dxa"/>
            <w:vAlign w:val="bottom"/>
            <w:gridSpan w:val="2"/>
          </w:tcPr>
          <w:p>
            <w:pPr>
              <w:jc w:val="right"/>
              <w:ind w:right="531"/>
              <w:spacing w:after="0"/>
              <w:rPr>
                <w:sz w:val="20"/>
                <w:szCs w:val="20"/>
                <w:color w:val="auto"/>
              </w:rPr>
            </w:pPr>
            <w:r>
              <w:rPr>
                <w:rFonts w:ascii="Arial" w:cs="Arial" w:eastAsia="Arial" w:hAnsi="Arial"/>
                <w:sz w:val="16"/>
                <w:szCs w:val="16"/>
                <w:b w:val="1"/>
                <w:bCs w:val="1"/>
                <w:color w:val="auto"/>
              </w:rPr>
              <w:t>For The Three Months Ended Or As Of</w:t>
            </w:r>
          </w:p>
        </w:tc>
      </w:tr>
      <w:tr>
        <w:trPr>
          <w:trHeight w:val="33"/>
        </w:trPr>
        <w:tc>
          <w:tcPr>
            <w:tcW w:w="74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7"/>
        </w:trPr>
        <w:tc>
          <w:tcPr>
            <w:tcW w:w="7420" w:type="dxa"/>
            <w:vAlign w:val="bottom"/>
          </w:tcPr>
          <w:p>
            <w:pPr>
              <w:spacing w:after="0"/>
              <w:rPr>
                <w:sz w:val="18"/>
                <w:szCs w:val="18"/>
                <w:color w:val="auto"/>
              </w:rPr>
            </w:pPr>
          </w:p>
        </w:tc>
        <w:tc>
          <w:tcPr>
            <w:tcW w:w="2120" w:type="dxa"/>
            <w:vAlign w:val="bottom"/>
          </w:tcPr>
          <w:p>
            <w:pPr>
              <w:jc w:val="right"/>
              <w:ind w:right="412"/>
              <w:spacing w:after="0"/>
              <w:rPr>
                <w:sz w:val="20"/>
                <w:szCs w:val="20"/>
                <w:color w:val="auto"/>
              </w:rPr>
            </w:pPr>
            <w:r>
              <w:rPr>
                <w:rFonts w:ascii="Arial" w:cs="Arial" w:eastAsia="Arial" w:hAnsi="Arial"/>
                <w:sz w:val="16"/>
                <w:szCs w:val="16"/>
                <w:b w:val="1"/>
                <w:bCs w:val="1"/>
                <w:color w:val="auto"/>
              </w:rPr>
              <w:t>September 30, 2011</w:t>
            </w:r>
          </w:p>
        </w:tc>
        <w:tc>
          <w:tcPr>
            <w:tcW w:w="1880" w:type="dxa"/>
            <w:vAlign w:val="bottom"/>
          </w:tcPr>
          <w:p>
            <w:pPr>
              <w:jc w:val="right"/>
              <w:ind w:right="171"/>
              <w:spacing w:after="0"/>
              <w:rPr>
                <w:sz w:val="20"/>
                <w:szCs w:val="20"/>
                <w:color w:val="auto"/>
              </w:rPr>
            </w:pPr>
            <w:r>
              <w:rPr>
                <w:rFonts w:ascii="Arial" w:cs="Arial" w:eastAsia="Arial" w:hAnsi="Arial"/>
                <w:sz w:val="16"/>
                <w:szCs w:val="16"/>
                <w:b w:val="1"/>
                <w:bCs w:val="1"/>
                <w:color w:val="auto"/>
              </w:rPr>
              <w:t>September 30, 2010</w:t>
            </w:r>
          </w:p>
        </w:tc>
      </w:tr>
      <w:tr>
        <w:trPr>
          <w:trHeight w:val="33"/>
        </w:trPr>
        <w:tc>
          <w:tcPr>
            <w:tcW w:w="7420" w:type="dxa"/>
            <w:vAlign w:val="bottom"/>
          </w:tcPr>
          <w:p>
            <w:pPr>
              <w:spacing w:after="0"/>
              <w:rPr>
                <w:sz w:val="2"/>
                <w:szCs w:val="2"/>
                <w:color w:val="auto"/>
              </w:rPr>
            </w:pPr>
          </w:p>
        </w:tc>
        <w:tc>
          <w:tcPr>
            <w:tcW w:w="4000" w:type="dxa"/>
            <w:vAlign w:val="bottom"/>
            <w:tcBorders>
              <w:bottom w:val="single" w:sz="8" w:color="auto"/>
            </w:tcBorders>
            <w:gridSpan w:val="2"/>
          </w:tcPr>
          <w:p>
            <w:pPr>
              <w:spacing w:after="0"/>
              <w:rPr>
                <w:sz w:val="2"/>
                <w:szCs w:val="2"/>
                <w:color w:val="auto"/>
              </w:rPr>
            </w:pPr>
          </w:p>
        </w:tc>
      </w:tr>
      <w:tr>
        <w:trPr>
          <w:trHeight w:val="217"/>
        </w:trPr>
        <w:tc>
          <w:tcPr>
            <w:tcW w:w="7420" w:type="dxa"/>
            <w:vAlign w:val="bottom"/>
          </w:tcPr>
          <w:p>
            <w:pPr>
              <w:spacing w:after="0"/>
              <w:rPr>
                <w:sz w:val="18"/>
                <w:szCs w:val="18"/>
                <w:color w:val="auto"/>
              </w:rPr>
            </w:pPr>
          </w:p>
        </w:tc>
        <w:tc>
          <w:tcPr>
            <w:tcW w:w="4000" w:type="dxa"/>
            <w:vAlign w:val="bottom"/>
            <w:gridSpan w:val="2"/>
          </w:tcPr>
          <w:p>
            <w:pPr>
              <w:jc w:val="right"/>
              <w:ind w:right="1191"/>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7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12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116,426</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84,971</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Gross margin</w:t>
            </w:r>
          </w:p>
        </w:tc>
        <w:tc>
          <w:tcPr>
            <w:tcW w:w="2120" w:type="dxa"/>
            <w:vAlign w:val="bottom"/>
          </w:tcPr>
          <w:p>
            <w:pPr>
              <w:jc w:val="right"/>
              <w:ind w:right="172"/>
              <w:spacing w:after="0"/>
              <w:rPr>
                <w:sz w:val="20"/>
                <w:szCs w:val="20"/>
                <w:color w:val="auto"/>
              </w:rPr>
            </w:pPr>
            <w:r>
              <w:rPr>
                <w:rFonts w:ascii="Arial" w:cs="Arial" w:eastAsia="Arial" w:hAnsi="Arial"/>
                <w:sz w:val="18"/>
                <w:szCs w:val="18"/>
                <w:color w:val="auto"/>
              </w:rPr>
              <w:t>73.3%</w:t>
            </w:r>
          </w:p>
        </w:tc>
        <w:tc>
          <w:tcPr>
            <w:tcW w:w="188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7"/>
        </w:trPr>
        <w:tc>
          <w:tcPr>
            <w:tcW w:w="7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income</w:t>
            </w:r>
            <w:r>
              <w:rPr>
                <w:rFonts w:ascii="Arial" w:cs="Arial" w:eastAsia="Arial" w:hAnsi="Arial"/>
                <w:sz w:val="25"/>
                <w:szCs w:val="25"/>
                <w:color w:val="auto"/>
                <w:vertAlign w:val="superscript"/>
              </w:rPr>
              <w:t>(1)</w:t>
            </w:r>
          </w:p>
        </w:tc>
        <w:tc>
          <w:tcPr>
            <w:tcW w:w="2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26,160</w:t>
            </w:r>
          </w:p>
        </w:tc>
        <w:tc>
          <w:tcPr>
            <w:tcW w:w="18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18,159</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Operating margin</w:t>
            </w:r>
          </w:p>
        </w:tc>
        <w:tc>
          <w:tcPr>
            <w:tcW w:w="2120" w:type="dxa"/>
            <w:vAlign w:val="bottom"/>
          </w:tcPr>
          <w:p>
            <w:pPr>
              <w:jc w:val="right"/>
              <w:ind w:right="172"/>
              <w:spacing w:after="0"/>
              <w:rPr>
                <w:sz w:val="20"/>
                <w:szCs w:val="20"/>
                <w:color w:val="auto"/>
              </w:rPr>
            </w:pPr>
            <w:r>
              <w:rPr>
                <w:rFonts w:ascii="Arial" w:cs="Arial" w:eastAsia="Arial" w:hAnsi="Arial"/>
                <w:sz w:val="18"/>
                <w:szCs w:val="18"/>
                <w:color w:val="auto"/>
              </w:rPr>
              <w:t>22.0%</w:t>
            </w:r>
          </w:p>
        </w:tc>
        <w:tc>
          <w:tcPr>
            <w:tcW w:w="18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7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212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275,126</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235,250</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Increase in total deferred revenue over prior quarter</w:t>
            </w:r>
          </w:p>
        </w:tc>
        <w:tc>
          <w:tcPr>
            <w:tcW w:w="2120" w:type="dxa"/>
            <w:vAlign w:val="bottom"/>
          </w:tcPr>
          <w:p>
            <w:pPr>
              <w:jc w:val="right"/>
              <w:ind w:right="332"/>
              <w:spacing w:after="0"/>
              <w:rPr>
                <w:sz w:val="20"/>
                <w:szCs w:val="20"/>
                <w:color w:val="auto"/>
              </w:rPr>
            </w:pPr>
            <w:r>
              <w:rPr>
                <w:rFonts w:ascii="Arial" w:cs="Arial" w:eastAsia="Arial" w:hAnsi="Arial"/>
                <w:sz w:val="18"/>
                <w:szCs w:val="18"/>
                <w:color w:val="auto"/>
              </w:rPr>
              <w:t>1,927</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9,729</w:t>
            </w:r>
          </w:p>
        </w:tc>
      </w:tr>
      <w:tr>
        <w:trPr>
          <w:trHeight w:val="27"/>
        </w:trPr>
        <w:tc>
          <w:tcPr>
            <w:tcW w:w="7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212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502,967</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352,344</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120" w:type="dxa"/>
            <w:vAlign w:val="bottom"/>
          </w:tcPr>
          <w:p>
            <w:pPr>
              <w:jc w:val="right"/>
              <w:ind w:right="332"/>
              <w:spacing w:after="0"/>
              <w:rPr>
                <w:sz w:val="20"/>
                <w:szCs w:val="20"/>
                <w:color w:val="auto"/>
              </w:rPr>
            </w:pPr>
            <w:r>
              <w:rPr>
                <w:rFonts w:ascii="Arial" w:cs="Arial" w:eastAsia="Arial" w:hAnsi="Arial"/>
                <w:sz w:val="18"/>
                <w:szCs w:val="18"/>
                <w:color w:val="auto"/>
              </w:rPr>
              <w:t>36,039</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32,193</w:t>
            </w:r>
          </w:p>
        </w:tc>
      </w:tr>
      <w:tr>
        <w:trPr>
          <w:trHeight w:val="27"/>
        </w:trPr>
        <w:tc>
          <w:tcPr>
            <w:tcW w:w="7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5"/>
                <w:szCs w:val="25"/>
                <w:color w:val="auto"/>
                <w:vertAlign w:val="superscript"/>
              </w:rPr>
              <w:t>(2)</w:t>
            </w:r>
          </w:p>
        </w:tc>
        <w:tc>
          <w:tcPr>
            <w:tcW w:w="2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34,704</w:t>
            </w:r>
          </w:p>
        </w:tc>
        <w:tc>
          <w:tcPr>
            <w:tcW w:w="18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31,522</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0"/>
        </w:trPr>
        <w:tc>
          <w:tcPr>
            <w:tcW w:w="7420" w:type="dxa"/>
            <w:vAlign w:val="bottom"/>
          </w:tcPr>
          <w:p>
            <w:pPr>
              <w:ind w:left="40"/>
              <w:spacing w:after="0"/>
              <w:rPr>
                <w:sz w:val="20"/>
                <w:szCs w:val="20"/>
                <w:color w:val="auto"/>
              </w:rPr>
            </w:pPr>
            <w:r>
              <w:rPr>
                <w:rFonts w:ascii="Arial" w:cs="Arial" w:eastAsia="Arial" w:hAnsi="Arial"/>
                <w:sz w:val="18"/>
                <w:szCs w:val="18"/>
                <w:color w:val="auto"/>
              </w:rPr>
              <w:t>(1)  Includes:</w:t>
            </w:r>
          </w:p>
        </w:tc>
        <w:tc>
          <w:tcPr>
            <w:tcW w:w="212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70"/>
        </w:trPr>
        <w:tc>
          <w:tcPr>
            <w:tcW w:w="742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2120" w:type="dxa"/>
            <w:vAlign w:val="bottom"/>
          </w:tcPr>
          <w:p>
            <w:pPr>
              <w:jc w:val="right"/>
              <w:ind w:right="332"/>
              <w:spacing w:after="0"/>
              <w:rPr>
                <w:sz w:val="20"/>
                <w:szCs w:val="20"/>
                <w:color w:val="auto"/>
              </w:rPr>
            </w:pPr>
            <w:r>
              <w:rPr>
                <w:rFonts w:ascii="Arial" w:cs="Arial" w:eastAsia="Arial" w:hAnsi="Arial"/>
                <w:sz w:val="18"/>
                <w:szCs w:val="18"/>
                <w:color w:val="auto"/>
              </w:rPr>
              <w:t>5,734</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2,434</w:t>
            </w:r>
          </w:p>
        </w:tc>
      </w:tr>
      <w:tr>
        <w:trPr>
          <w:trHeight w:val="270"/>
        </w:trPr>
        <w:tc>
          <w:tcPr>
            <w:tcW w:w="7420" w:type="dxa"/>
            <w:vAlign w:val="bottom"/>
          </w:tcPr>
          <w:p>
            <w:pPr>
              <w:ind w:left="440"/>
              <w:spacing w:after="0"/>
              <w:rPr>
                <w:sz w:val="20"/>
                <w:szCs w:val="20"/>
                <w:color w:val="auto"/>
              </w:rPr>
            </w:pPr>
            <w:r>
              <w:rPr>
                <w:rFonts w:ascii="Arial" w:cs="Arial" w:eastAsia="Arial" w:hAnsi="Arial"/>
                <w:sz w:val="18"/>
                <w:szCs w:val="18"/>
                <w:color w:val="auto"/>
              </w:rPr>
              <w:t>Patent settlement income</w:t>
            </w:r>
          </w:p>
        </w:tc>
        <w:tc>
          <w:tcPr>
            <w:tcW w:w="2120" w:type="dxa"/>
            <w:vAlign w:val="bottom"/>
          </w:tcPr>
          <w:p>
            <w:pPr>
              <w:jc w:val="right"/>
              <w:ind w:right="332"/>
              <w:spacing w:after="0"/>
              <w:rPr>
                <w:sz w:val="20"/>
                <w:szCs w:val="20"/>
                <w:color w:val="auto"/>
              </w:rPr>
            </w:pPr>
            <w:r>
              <w:rPr>
                <w:rFonts w:ascii="Arial" w:cs="Arial" w:eastAsia="Arial" w:hAnsi="Arial"/>
                <w:sz w:val="18"/>
                <w:szCs w:val="18"/>
                <w:color w:val="auto"/>
              </w:rPr>
              <w:t>478</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w:t>
            </w:r>
          </w:p>
        </w:tc>
      </w:tr>
    </w:tbl>
    <w:p>
      <w:pPr>
        <w:spacing w:after="0" w:line="40" w:lineRule="exact"/>
        <w:rPr>
          <w:sz w:val="20"/>
          <w:szCs w:val="20"/>
          <w:color w:val="auto"/>
        </w:rPr>
      </w:pPr>
    </w:p>
    <w:p>
      <w:pPr>
        <w:ind w:left="460" w:right="3040" w:hanging="425"/>
        <w:spacing w:after="0" w:line="340" w:lineRule="auto"/>
        <w:tabs>
          <w:tab w:leader="none" w:pos="427"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is a non-GAAP financial measure, which we define as cash flow from operations minus capital expenditures, as further described below.</w:t>
      </w:r>
    </w:p>
    <w:p>
      <w:pPr>
        <w:spacing w:after="0" w:line="14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deferred revenue balance consists of the unamortized portion of services revenue from subscription and support service contracts. We monitor our deferred revenue balance because it represents a significant portion of revenue to be recognized in future periods. The following table reflects the calculation of billings as discussed in the paragraph above.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4080" w:type="dxa"/>
            <w:vAlign w:val="bottom"/>
            <w:gridSpan w:val="3"/>
          </w:tcPr>
          <w:p>
            <w:pPr>
              <w:jc w:val="right"/>
              <w:ind w:right="119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28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7280" w:type="dxa"/>
            <w:vAlign w:val="bottom"/>
          </w:tcPr>
          <w:p>
            <w:pPr>
              <w:spacing w:after="0"/>
              <w:rPr>
                <w:sz w:val="18"/>
                <w:szCs w:val="18"/>
                <w:color w:val="auto"/>
              </w:rPr>
            </w:pPr>
          </w:p>
        </w:tc>
        <w:tc>
          <w:tcPr>
            <w:tcW w:w="2160" w:type="dxa"/>
            <w:vAlign w:val="bottom"/>
            <w:gridSpan w:val="2"/>
          </w:tcPr>
          <w:p>
            <w:pPr>
              <w:ind w:left="460"/>
              <w:spacing w:after="0"/>
              <w:rPr>
                <w:sz w:val="20"/>
                <w:szCs w:val="20"/>
                <w:color w:val="auto"/>
              </w:rPr>
            </w:pPr>
            <w:r>
              <w:rPr>
                <w:rFonts w:ascii="Arial" w:cs="Arial" w:eastAsia="Arial" w:hAnsi="Arial"/>
                <w:sz w:val="16"/>
                <w:szCs w:val="16"/>
                <w:b w:val="1"/>
                <w:bCs w:val="1"/>
                <w:color w:val="auto"/>
              </w:rPr>
              <w:t>September 30,</w:t>
            </w:r>
          </w:p>
        </w:tc>
        <w:tc>
          <w:tcPr>
            <w:tcW w:w="1920" w:type="dxa"/>
            <w:vAlign w:val="bottom"/>
          </w:tcPr>
          <w:p>
            <w:pPr>
              <w:jc w:val="right"/>
              <w:ind w:right="394"/>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280" w:type="dxa"/>
            <w:vAlign w:val="bottom"/>
          </w:tcPr>
          <w:p>
            <w:pPr>
              <w:spacing w:after="0"/>
              <w:rPr>
                <w:sz w:val="18"/>
                <w:szCs w:val="18"/>
                <w:color w:val="auto"/>
              </w:rPr>
            </w:pPr>
          </w:p>
        </w:tc>
        <w:tc>
          <w:tcPr>
            <w:tcW w:w="1960" w:type="dxa"/>
            <w:vAlign w:val="bottom"/>
          </w:tcPr>
          <w:p>
            <w:pPr>
              <w:jc w:val="right"/>
              <w:ind w:right="735"/>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8"/>
                <w:szCs w:val="18"/>
                <w:color w:val="auto"/>
              </w:rPr>
            </w:pPr>
          </w:p>
        </w:tc>
        <w:tc>
          <w:tcPr>
            <w:tcW w:w="1920" w:type="dxa"/>
            <w:vAlign w:val="bottom"/>
          </w:tcPr>
          <w:p>
            <w:pPr>
              <w:jc w:val="right"/>
              <w:ind w:right="714"/>
              <w:spacing w:after="0"/>
              <w:rPr>
                <w:sz w:val="20"/>
                <w:szCs w:val="20"/>
                <w:color w:val="auto"/>
              </w:rPr>
            </w:pPr>
            <w:r>
              <w:rPr>
                <w:rFonts w:ascii="Arial" w:cs="Arial" w:eastAsia="Arial" w:hAnsi="Arial"/>
                <w:sz w:val="16"/>
                <w:szCs w:val="16"/>
                <w:b w:val="1"/>
                <w:bCs w:val="1"/>
                <w:color w:val="auto"/>
              </w:rPr>
              <w:t>2010</w:t>
            </w:r>
          </w:p>
        </w:tc>
      </w:tr>
      <w:tr>
        <w:trPr>
          <w:trHeight w:val="33"/>
        </w:trPr>
        <w:tc>
          <w:tcPr>
            <w:tcW w:w="7280" w:type="dxa"/>
            <w:vAlign w:val="bottom"/>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r>
      <w:tr>
        <w:trPr>
          <w:trHeight w:val="217"/>
        </w:trPr>
        <w:tc>
          <w:tcPr>
            <w:tcW w:w="7280" w:type="dxa"/>
            <w:vAlign w:val="bottom"/>
          </w:tcPr>
          <w:p>
            <w:pPr>
              <w:spacing w:after="0"/>
              <w:rPr>
                <w:sz w:val="18"/>
                <w:szCs w:val="18"/>
                <w:color w:val="auto"/>
              </w:rPr>
            </w:pPr>
          </w:p>
        </w:tc>
        <w:tc>
          <w:tcPr>
            <w:tcW w:w="4080" w:type="dxa"/>
            <w:vAlign w:val="bottom"/>
            <w:gridSpan w:val="3"/>
          </w:tcPr>
          <w:p>
            <w:pPr>
              <w:jc w:val="right"/>
              <w:ind w:right="1234"/>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7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1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Revenue</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116,426</w:t>
            </w:r>
          </w:p>
        </w:tc>
        <w:tc>
          <w:tcPr>
            <w:tcW w:w="20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84,971</w:t>
            </w:r>
          </w:p>
        </w:tc>
      </w:tr>
      <w:tr>
        <w:trPr>
          <w:trHeight w:val="27"/>
        </w:trPr>
        <w:tc>
          <w:tcPr>
            <w:tcW w:w="7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deferred revenue</w:t>
            </w:r>
          </w:p>
        </w:tc>
        <w:tc>
          <w:tcPr>
            <w:tcW w:w="1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1,927</w:t>
            </w: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9,729</w:t>
            </w:r>
          </w:p>
        </w:tc>
      </w:tr>
      <w:tr>
        <w:trPr>
          <w:trHeight w:val="257"/>
        </w:trPr>
        <w:tc>
          <w:tcPr>
            <w:tcW w:w="728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1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118,353</w:t>
            </w:r>
          </w:p>
        </w:tc>
        <w:tc>
          <w:tcPr>
            <w:tcW w:w="2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94,700</w:t>
            </w:r>
          </w:p>
        </w:tc>
      </w:tr>
      <w:tr>
        <w:trPr>
          <w:trHeight w:val="20"/>
        </w:trPr>
        <w:tc>
          <w:tcPr>
            <w:tcW w:w="7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i w:val="1"/>
          <w:iCs w:val="1"/>
          <w:color w:val="auto"/>
        </w:rPr>
        <w:t xml:space="preserve">Cash flow from operations. </w:t>
      </w:r>
      <w:r>
        <w:rPr>
          <w:rFonts w:ascii="Arial" w:cs="Arial" w:eastAsia="Arial" w:hAnsi="Arial"/>
          <w:sz w:val="16"/>
          <w:szCs w:val="16"/>
          <w:color w:val="auto"/>
        </w:rPr>
        <w:t>We monitor cash flow from operations as a measure of our overall business performance. Our cash flow from operations is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in large part by advance payments for both new and renewal contracts for subscription and support services, consistent with our billings for the period. Monitoring cash flow from operations enables us to analyze our financial performance excluding the non-cash effects of certain items such as depreciation, amortization and stock-based compensation expenses, thereby allowing us to better understand and manage the cash needs of our business. Free cash flow, an alternative non-GAAP financial measure of liquidity, is defined as net cash provided by operating activities less capital expenditures.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4080" w:type="dxa"/>
            <w:vAlign w:val="bottom"/>
            <w:gridSpan w:val="3"/>
          </w:tcPr>
          <w:p>
            <w:pPr>
              <w:jc w:val="right"/>
              <w:ind w:right="1193"/>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80" w:type="dxa"/>
            <w:vAlign w:val="bottom"/>
          </w:tcPr>
          <w:p>
            <w:pPr>
              <w:spacing w:after="0"/>
              <w:rPr>
                <w:sz w:val="18"/>
                <w:szCs w:val="18"/>
                <w:color w:val="auto"/>
              </w:rPr>
            </w:pPr>
          </w:p>
        </w:tc>
        <w:tc>
          <w:tcPr>
            <w:tcW w:w="2160" w:type="dxa"/>
            <w:vAlign w:val="bottom"/>
            <w:gridSpan w:val="2"/>
          </w:tcPr>
          <w:p>
            <w:pPr>
              <w:ind w:left="460"/>
              <w:spacing w:after="0"/>
              <w:rPr>
                <w:sz w:val="20"/>
                <w:szCs w:val="20"/>
                <w:color w:val="auto"/>
              </w:rPr>
            </w:pPr>
            <w:r>
              <w:rPr>
                <w:rFonts w:ascii="Arial" w:cs="Arial" w:eastAsia="Arial" w:hAnsi="Arial"/>
                <w:sz w:val="16"/>
                <w:szCs w:val="16"/>
                <w:b w:val="1"/>
                <w:bCs w:val="1"/>
                <w:color w:val="auto"/>
              </w:rPr>
              <w:t>September 30,</w:t>
            </w:r>
          </w:p>
        </w:tc>
        <w:tc>
          <w:tcPr>
            <w:tcW w:w="1920" w:type="dxa"/>
            <w:vAlign w:val="bottom"/>
          </w:tcPr>
          <w:p>
            <w:pPr>
              <w:jc w:val="right"/>
              <w:ind w:right="393"/>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7280" w:type="dxa"/>
            <w:vAlign w:val="bottom"/>
          </w:tcPr>
          <w:p>
            <w:pPr>
              <w:spacing w:after="0"/>
              <w:rPr>
                <w:sz w:val="18"/>
                <w:szCs w:val="18"/>
                <w:color w:val="auto"/>
              </w:rPr>
            </w:pPr>
          </w:p>
        </w:tc>
        <w:tc>
          <w:tcPr>
            <w:tcW w:w="1960" w:type="dxa"/>
            <w:vAlign w:val="bottom"/>
          </w:tcPr>
          <w:p>
            <w:pPr>
              <w:jc w:val="right"/>
              <w:ind w:right="734"/>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8"/>
                <w:szCs w:val="18"/>
                <w:color w:val="auto"/>
              </w:rPr>
            </w:pPr>
          </w:p>
        </w:tc>
        <w:tc>
          <w:tcPr>
            <w:tcW w:w="1920" w:type="dxa"/>
            <w:vAlign w:val="bottom"/>
          </w:tcPr>
          <w:p>
            <w:pPr>
              <w:jc w:val="right"/>
              <w:ind w:right="713"/>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80" w:type="dxa"/>
            <w:vAlign w:val="bottom"/>
          </w:tcPr>
          <w:p>
            <w:pPr>
              <w:spacing w:after="0"/>
              <w:rPr>
                <w:sz w:val="18"/>
                <w:szCs w:val="18"/>
                <w:color w:val="auto"/>
              </w:rPr>
            </w:pPr>
          </w:p>
        </w:tc>
        <w:tc>
          <w:tcPr>
            <w:tcW w:w="4080" w:type="dxa"/>
            <w:vAlign w:val="bottom"/>
            <w:gridSpan w:val="3"/>
          </w:tcPr>
          <w:p>
            <w:pPr>
              <w:jc w:val="right"/>
              <w:ind w:right="1233"/>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w:t>
            </w:r>
          </w:p>
        </w:tc>
        <w:tc>
          <w:tcPr>
            <w:tcW w:w="1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960" w:type="dxa"/>
            <w:vAlign w:val="bottom"/>
          </w:tcPr>
          <w:p>
            <w:pPr>
              <w:jc w:val="right"/>
              <w:ind w:right="34"/>
              <w:spacing w:after="0"/>
              <w:rPr>
                <w:sz w:val="20"/>
                <w:szCs w:val="20"/>
                <w:color w:val="auto"/>
              </w:rPr>
            </w:pPr>
            <w:r>
              <w:rPr>
                <w:rFonts w:ascii="Arial" w:cs="Arial" w:eastAsia="Arial" w:hAnsi="Arial"/>
                <w:sz w:val="18"/>
                <w:szCs w:val="18"/>
                <w:color w:val="auto"/>
              </w:rPr>
              <w:t>36,039</w:t>
            </w:r>
          </w:p>
        </w:tc>
        <w:tc>
          <w:tcPr>
            <w:tcW w:w="20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32,193</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purchases of property and equipment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97"/>
        </w:trPr>
        <w:tc>
          <w:tcPr>
            <w:tcW w:w="7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Free cash flow (Non-GAAP)</w:t>
            </w:r>
          </w:p>
        </w:tc>
        <w:tc>
          <w:tcPr>
            <w:tcW w:w="1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34,704</w:t>
            </w:r>
          </w:p>
        </w:tc>
        <w:tc>
          <w:tcPr>
            <w:tcW w:w="200" w:type="dxa"/>
            <w:vAlign w:val="bottom"/>
            <w:tcBorders>
              <w:bottom w:val="single" w:sz="8" w:color="CCEEFF"/>
            </w:tcBorders>
          </w:tcPr>
          <w:p>
            <w:pPr>
              <w:spacing w:after="0"/>
              <w:rPr>
                <w:sz w:val="24"/>
                <w:szCs w:val="24"/>
                <w:color w:val="auto"/>
              </w:rPr>
            </w:pPr>
          </w:p>
        </w:tc>
        <w:tc>
          <w:tcPr>
            <w:tcW w:w="1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31,522</w:t>
            </w:r>
          </w:p>
        </w:tc>
        <w:tc>
          <w:tcPr>
            <w:tcW w:w="0" w:type="dxa"/>
            <w:vAlign w:val="bottom"/>
          </w:tcPr>
          <w:p>
            <w:pPr>
              <w:spacing w:after="0"/>
              <w:rPr>
                <w:sz w:val="1"/>
                <w:szCs w:val="1"/>
                <w:color w:val="auto"/>
              </w:rPr>
            </w:pPr>
          </w:p>
        </w:tc>
      </w:tr>
      <w:tr>
        <w:trPr>
          <w:trHeight w:val="251"/>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(52,950)</w:t>
            </w: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(84,943)</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2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7,572</w:t>
            </w:r>
          </w:p>
        </w:tc>
        <w:tc>
          <w:tcPr>
            <w:tcW w:w="200" w:type="dxa"/>
            <w:vAlign w:val="bottom"/>
          </w:tcPr>
          <w:p>
            <w:pPr>
              <w:spacing w:after="0"/>
              <w:rPr>
                <w:sz w:val="21"/>
                <w:szCs w:val="21"/>
                <w:color w:val="auto"/>
              </w:rPr>
            </w:pPr>
          </w:p>
        </w:tc>
        <w:tc>
          <w:tcPr>
            <w:tcW w:w="1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11,890</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80" w:type="dxa"/>
            <w:vAlign w:val="bottom"/>
            <w:vMerge w:val="continue"/>
          </w:tcPr>
          <w:p>
            <w:pPr>
              <w:spacing w:after="0"/>
              <w:rPr>
                <w:sz w:val="20"/>
                <w:szCs w:val="20"/>
                <w:color w:val="auto"/>
              </w:rPr>
            </w:pP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purchases of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To supplement our condensed consolidated financial statements presented in accordance with U.S. GAAP, we consider certain financial measures that are not prepared in accordance with GAAP, including non-GAAP gross margin, non-GAAP income from operations and non-GAAP operating margin, non-GAAP operating expenses, non-GAAP net income and non-GAAP free cash flow. These non-GAAP financial measures are not based on any standardized methodology prescribed by GAAP and are not necessarily comparable to similar measures presented by other companies.</w:t>
      </w:r>
    </w:p>
    <w:p>
      <w:pPr>
        <w:spacing w:after="0" w:line="17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use these non-GAAP financial measures internally in analyzing our financial results and believe they are useful to investors, as a supplement to GAAP measures, in evaluating our ongoing operational performance and enhancing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also believe that the use of these non-GAAP financial measures provides an additional tool for investors to use in comparing our recurring core business operating results over multiple periods with other companies in our industry, many of which present similar non-GAAP financial measures to investors.</w:t>
      </w:r>
    </w:p>
    <w:p>
      <w:pPr>
        <w:spacing w:after="0" w:line="16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such as stock-based compensation expense and the patent settlement. Stock-based compensation has been, and will continue to be for the foreseeable future, a significant recurring expense in our business and is an important part of our employees' overall compensation.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our Results of Operations below.</w:t>
      </w:r>
    </w:p>
    <w:p>
      <w:pPr>
        <w:spacing w:after="0" w:line="167"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Non-GAAP gross margin is gross margin as reported on our condensed consolidated statements of operations, excluding the impact of stock-based compensation expense, which is a non-cash charge. Non-GAAP income from operations is operating income, as reported on our condensed consolidated statements of operations, excluding the impact of stock-based compensation expense and the income from the patent settlement. Non-GAAP operating margin is non-GAAP income from operations divided by revenue. The following tables reconcile GAAP gross margin, income from operations, and operating margin to non-GAAP gross margin, non-GAAP income from operations, and non-GAAP operating margin for the third quarters of 2011 and 2010.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3"/>
              </w:rPr>
              <w:t>Three Months Ended</w:t>
            </w:r>
          </w:p>
        </w:tc>
        <w:tc>
          <w:tcPr>
            <w:tcW w:w="13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3220" w:type="dxa"/>
            <w:vAlign w:val="bottom"/>
            <w:gridSpan w:val="4"/>
          </w:tcPr>
          <w:p>
            <w:pPr>
              <w:ind w:left="840"/>
              <w:spacing w:after="0"/>
              <w:rPr>
                <w:sz w:val="20"/>
                <w:szCs w:val="20"/>
                <w:color w:val="auto"/>
              </w:rPr>
            </w:pPr>
            <w:r>
              <w:rPr>
                <w:rFonts w:ascii="Arial" w:cs="Arial" w:eastAsia="Arial" w:hAnsi="Arial"/>
                <w:sz w:val="16"/>
                <w:szCs w:val="16"/>
                <w:b w:val="1"/>
                <w:bCs w:val="1"/>
                <w:color w:val="auto"/>
              </w:rPr>
              <w:t>September 30, 2011</w:t>
            </w:r>
          </w:p>
        </w:tc>
        <w:tc>
          <w:tcPr>
            <w:tcW w:w="2940" w:type="dxa"/>
            <w:vAlign w:val="bottom"/>
            <w:gridSpan w:val="3"/>
          </w:tcPr>
          <w:p>
            <w:pPr>
              <w:jc w:val="right"/>
              <w:ind w:right="691"/>
              <w:spacing w:after="0"/>
              <w:rPr>
                <w:sz w:val="20"/>
                <w:szCs w:val="20"/>
                <w:color w:val="auto"/>
              </w:rPr>
            </w:pPr>
            <w:r>
              <w:rPr>
                <w:rFonts w:ascii="Arial" w:cs="Arial" w:eastAsia="Arial" w:hAnsi="Arial"/>
                <w:sz w:val="16"/>
                <w:szCs w:val="16"/>
                <w:b w:val="1"/>
                <w:bCs w:val="1"/>
                <w:color w:val="auto"/>
              </w:rPr>
              <w:t>September 30, 2010</w:t>
            </w: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of</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6"/>
                <w:szCs w:val="16"/>
                <w:b w:val="1"/>
                <w:bCs w:val="1"/>
                <w:color w:val="auto"/>
              </w:rPr>
              <w:t>% of</w:t>
            </w:r>
          </w:p>
        </w:tc>
      </w:tr>
      <w:tr>
        <w:trPr>
          <w:trHeight w:val="210"/>
        </w:trPr>
        <w:tc>
          <w:tcPr>
            <w:tcW w:w="5260" w:type="dxa"/>
            <w:vAlign w:val="bottom"/>
          </w:tcPr>
          <w:p>
            <w:pPr>
              <w:spacing w:after="0"/>
              <w:rPr>
                <w:sz w:val="18"/>
                <w:szCs w:val="18"/>
                <w:color w:val="auto"/>
              </w:rPr>
            </w:pPr>
          </w:p>
        </w:tc>
        <w:tc>
          <w:tcPr>
            <w:tcW w:w="1600" w:type="dxa"/>
            <w:vAlign w:val="bottom"/>
            <w:gridSpan w:val="2"/>
          </w:tcPr>
          <w:p>
            <w:pPr>
              <w:ind w:left="400"/>
              <w:spacing w:after="0"/>
              <w:rPr>
                <w:sz w:val="20"/>
                <w:szCs w:val="20"/>
                <w:color w:val="auto"/>
              </w:rPr>
            </w:pPr>
            <w:r>
              <w:rPr>
                <w:rFonts w:ascii="Arial" w:cs="Arial" w:eastAsia="Arial" w:hAnsi="Arial"/>
                <w:sz w:val="16"/>
                <w:szCs w:val="16"/>
                <w:b w:val="1"/>
                <w:bCs w:val="1"/>
                <w:color w:val="auto"/>
              </w:rPr>
              <w:t>Amount</w:t>
            </w: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580" w:type="dxa"/>
            <w:vAlign w:val="bottom"/>
            <w:gridSpan w:val="2"/>
          </w:tcPr>
          <w:p>
            <w:pPr>
              <w:ind w:left="400"/>
              <w:spacing w:after="0"/>
              <w:rPr>
                <w:sz w:val="20"/>
                <w:szCs w:val="20"/>
                <w:color w:val="auto"/>
              </w:rPr>
            </w:pPr>
            <w:r>
              <w:rPr>
                <w:rFonts w:ascii="Arial" w:cs="Arial" w:eastAsia="Arial" w:hAnsi="Arial"/>
                <w:sz w:val="16"/>
                <w:szCs w:val="16"/>
                <w:b w:val="1"/>
                <w:bCs w:val="1"/>
                <w:color w:val="auto"/>
              </w:rPr>
              <w:t>Amount</w:t>
            </w:r>
          </w:p>
        </w:tc>
        <w:tc>
          <w:tcPr>
            <w:tcW w:w="1360" w:type="dxa"/>
            <w:vAlign w:val="bottom"/>
          </w:tcPr>
          <w:p>
            <w:pPr>
              <w:jc w:val="right"/>
              <w:ind w:right="291"/>
              <w:spacing w:after="0"/>
              <w:rPr>
                <w:sz w:val="20"/>
                <w:szCs w:val="20"/>
                <w:color w:val="auto"/>
              </w:rPr>
            </w:pPr>
            <w:r>
              <w:rPr>
                <w:rFonts w:ascii="Arial" w:cs="Arial" w:eastAsia="Arial" w:hAnsi="Arial"/>
                <w:sz w:val="16"/>
                <w:szCs w:val="16"/>
                <w:b w:val="1"/>
                <w:bCs w:val="1"/>
                <w:color w:val="auto"/>
              </w:rPr>
              <w:t>Revenue</w:t>
            </w: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0"/>
              </w:rPr>
              <w:t>($ amounts in 000's)</w:t>
            </w:r>
          </w:p>
        </w:tc>
        <w:tc>
          <w:tcPr>
            <w:tcW w:w="13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116,426</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84,971</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5260" w:type="dxa"/>
            <w:vAlign w:val="bottom"/>
          </w:tcPr>
          <w:p>
            <w:pPr>
              <w:ind w:left="40"/>
              <w:spacing w:after="0"/>
              <w:rPr>
                <w:sz w:val="20"/>
                <w:szCs w:val="20"/>
                <w:color w:val="auto"/>
              </w:rPr>
            </w:pPr>
            <w:r>
              <w:rPr>
                <w:rFonts w:ascii="Arial" w:cs="Arial" w:eastAsia="Arial" w:hAnsi="Arial"/>
                <w:sz w:val="18"/>
                <w:szCs w:val="18"/>
                <w:color w:val="auto"/>
              </w:rPr>
              <w:t>GAAP gross profit and margin</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85,287</w:t>
            </w:r>
          </w:p>
        </w:tc>
        <w:tc>
          <w:tcPr>
            <w:tcW w:w="220" w:type="dxa"/>
            <w:vAlign w:val="bottom"/>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73.3</w:t>
            </w:r>
          </w:p>
        </w:tc>
        <w:tc>
          <w:tcPr>
            <w:tcW w:w="240" w:type="dxa"/>
            <w:vAlign w:val="bottom"/>
          </w:tcPr>
          <w:p>
            <w:pPr>
              <w:spacing w:after="0"/>
              <w:rPr>
                <w:sz w:val="24"/>
                <w:szCs w:val="24"/>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63,528</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gross profit and margin</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85,915</w:t>
            </w:r>
          </w:p>
        </w:tc>
        <w:tc>
          <w:tcPr>
            <w:tcW w:w="2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73.8</w:t>
            </w:r>
          </w:p>
        </w:tc>
        <w:tc>
          <w:tcPr>
            <w:tcW w:w="24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63,796</w:t>
            </w:r>
          </w:p>
        </w:tc>
        <w:tc>
          <w:tcPr>
            <w:tcW w:w="2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r>
      <w:tr>
        <w:trPr>
          <w:trHeight w:val="176"/>
        </w:trPr>
        <w:tc>
          <w:tcPr>
            <w:tcW w:w="5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GAAP income from operations and margin</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26,160</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18,159</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1,516</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Patent settlement</w:t>
            </w:r>
          </w:p>
        </w:tc>
        <w:tc>
          <w:tcPr>
            <w:tcW w:w="138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income from operations and margin</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31,416</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26.5</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20,593</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486"/>
        <w:spacing w:after="0" w:line="308" w:lineRule="auto"/>
        <w:rPr>
          <w:sz w:val="20"/>
          <w:szCs w:val="20"/>
          <w:color w:val="auto"/>
        </w:rPr>
      </w:pPr>
      <w:r>
        <w:rPr>
          <w:rFonts w:ascii="Arial" w:cs="Arial" w:eastAsia="Arial" w:hAnsi="Arial"/>
          <w:sz w:val="17"/>
          <w:szCs w:val="17"/>
          <w:color w:val="auto"/>
        </w:rPr>
        <w:t>Non-GAAP operating expenses exclude the impact of stock-based compensation expense and the income from the patent settlement. The following tables reconcile GAAP operating expenses to non-GAAP operating expenses for the third quarters of 2011 and 2010.</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3"/>
              </w:rPr>
              <w:t>Three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60" w:type="dxa"/>
            <w:vAlign w:val="bottom"/>
          </w:tcPr>
          <w:p>
            <w:pPr>
              <w:spacing w:after="0"/>
              <w:rPr>
                <w:sz w:val="18"/>
                <w:szCs w:val="18"/>
                <w:color w:val="auto"/>
              </w:rPr>
            </w:pPr>
          </w:p>
        </w:tc>
        <w:tc>
          <w:tcPr>
            <w:tcW w:w="3220" w:type="dxa"/>
            <w:vAlign w:val="bottom"/>
            <w:gridSpan w:val="4"/>
          </w:tcPr>
          <w:p>
            <w:pPr>
              <w:ind w:left="840"/>
              <w:spacing w:after="0"/>
              <w:rPr>
                <w:sz w:val="20"/>
                <w:szCs w:val="20"/>
                <w:color w:val="auto"/>
              </w:rPr>
            </w:pPr>
            <w:r>
              <w:rPr>
                <w:rFonts w:ascii="Arial" w:cs="Arial" w:eastAsia="Arial" w:hAnsi="Arial"/>
                <w:sz w:val="16"/>
                <w:szCs w:val="16"/>
                <w:b w:val="1"/>
                <w:bCs w:val="1"/>
                <w:color w:val="auto"/>
              </w:rPr>
              <w:t>September 30, 2011</w:t>
            </w:r>
          </w:p>
        </w:tc>
        <w:tc>
          <w:tcPr>
            <w:tcW w:w="2940" w:type="dxa"/>
            <w:vAlign w:val="bottom"/>
            <w:gridSpan w:val="3"/>
          </w:tcPr>
          <w:p>
            <w:pPr>
              <w:jc w:val="right"/>
              <w:ind w:right="691"/>
              <w:spacing w:after="0"/>
              <w:rPr>
                <w:sz w:val="20"/>
                <w:szCs w:val="20"/>
                <w:color w:val="auto"/>
              </w:rPr>
            </w:pPr>
            <w:r>
              <w:rPr>
                <w:rFonts w:ascii="Arial" w:cs="Arial" w:eastAsia="Arial" w:hAnsi="Arial"/>
                <w:sz w:val="16"/>
                <w:szCs w:val="16"/>
                <w:b w:val="1"/>
                <w:bCs w:val="1"/>
                <w:color w:val="auto"/>
              </w:rPr>
              <w:t>September 30, 2010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of</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411"/>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600" w:type="dxa"/>
            <w:vAlign w:val="bottom"/>
            <w:gridSpan w:val="2"/>
          </w:tcPr>
          <w:p>
            <w:pPr>
              <w:ind w:left="400"/>
              <w:spacing w:after="0"/>
              <w:rPr>
                <w:sz w:val="20"/>
                <w:szCs w:val="20"/>
                <w:color w:val="auto"/>
              </w:rPr>
            </w:pPr>
            <w:r>
              <w:rPr>
                <w:rFonts w:ascii="Arial" w:cs="Arial" w:eastAsia="Arial" w:hAnsi="Arial"/>
                <w:sz w:val="16"/>
                <w:szCs w:val="16"/>
                <w:b w:val="1"/>
                <w:bCs w:val="1"/>
                <w:color w:val="auto"/>
              </w:rPr>
              <w:t>Amount</w:t>
            </w: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580" w:type="dxa"/>
            <w:vAlign w:val="bottom"/>
            <w:gridSpan w:val="2"/>
          </w:tcPr>
          <w:p>
            <w:pPr>
              <w:ind w:left="400"/>
              <w:spacing w:after="0"/>
              <w:rPr>
                <w:sz w:val="20"/>
                <w:szCs w:val="20"/>
                <w:color w:val="auto"/>
              </w:rPr>
            </w:pPr>
            <w:r>
              <w:rPr>
                <w:rFonts w:ascii="Arial" w:cs="Arial" w:eastAsia="Arial" w:hAnsi="Arial"/>
                <w:sz w:val="16"/>
                <w:szCs w:val="16"/>
                <w:b w:val="1"/>
                <w:bCs w:val="1"/>
                <w:color w:val="auto"/>
              </w:rPr>
              <w:t>Amount</w:t>
            </w:r>
          </w:p>
        </w:tc>
        <w:tc>
          <w:tcPr>
            <w:tcW w:w="1360" w:type="dxa"/>
            <w:vAlign w:val="bottom"/>
          </w:tcPr>
          <w:p>
            <w:pPr>
              <w:jc w:val="right"/>
              <w:ind w:right="291"/>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 amounts in 000's)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research and development expenses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16,834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12,389</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(1,516)</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research and development expenses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15,318</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11,789</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80"/>
              <w:spacing w:after="0"/>
              <w:rPr>
                <w:sz w:val="20"/>
                <w:szCs w:val="20"/>
                <w:color w:val="auto"/>
              </w:rPr>
            </w:pPr>
            <w:r>
              <w:rPr>
                <w:rFonts w:ascii="Arial" w:cs="Arial" w:eastAsia="Arial" w:hAnsi="Arial"/>
                <w:sz w:val="18"/>
                <w:szCs w:val="18"/>
                <w:color w:val="auto"/>
              </w:rPr>
              <w:t>Sales and marketing expenses:</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sales and marketing expenses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36,934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26,987</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(2,708)</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sales and marketing expenses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34,226</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29.4</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25,970</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80"/>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general and administrative expenses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5,993</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(549)</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 settlement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general and administrative expenses</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4,955</w:t>
            </w:r>
          </w:p>
        </w:tc>
        <w:tc>
          <w:tcPr>
            <w:tcW w:w="2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5,444</w:t>
            </w:r>
          </w:p>
        </w:tc>
        <w:tc>
          <w:tcPr>
            <w:tcW w:w="2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26"/>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GAAP operating expenses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59,127</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45,369</w:t>
            </w:r>
          </w:p>
        </w:tc>
        <w:tc>
          <w:tcPr>
            <w:tcW w:w="2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Patent settlement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operating expenses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54,499</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46.7</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43,203</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Non-GAAP net income is net income, as reported in our condensed consolidated statements of operations, excluding the</w:t>
      </w:r>
    </w:p>
    <w:p>
      <w:pPr>
        <w:sectPr>
          <w:pgSz w:w="11900" w:h="16838" w:orient="portrait"/>
          <w:cols w:equalWidth="0" w:num="1">
            <w:col w:w="11420"/>
          </w:cols>
          <w:pgMar w:left="240" w:top="341" w:right="239" w:bottom="102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41" w:right="239" w:bottom="1027"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impact of stock-based compensation expense and income from the patent settlement. The following tables reconcile GAAP net income as reported on our condensed consolidated statements of operations to non-GAAP net income for the third quarters of 2011 and 2010.</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4080" w:type="dxa"/>
            <w:vAlign w:val="bottom"/>
            <w:gridSpan w:val="3"/>
          </w:tcPr>
          <w:p>
            <w:pPr>
              <w:jc w:val="right"/>
              <w:ind w:right="121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16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30, 2011</w:t>
            </w:r>
          </w:p>
        </w:tc>
        <w:tc>
          <w:tcPr>
            <w:tcW w:w="1920" w:type="dxa"/>
            <w:vAlign w:val="bottom"/>
          </w:tcPr>
          <w:p>
            <w:pPr>
              <w:jc w:val="right"/>
              <w:ind w:right="191"/>
              <w:spacing w:after="0"/>
              <w:rPr>
                <w:sz w:val="20"/>
                <w:szCs w:val="20"/>
                <w:color w:val="auto"/>
              </w:rPr>
            </w:pPr>
            <w:r>
              <w:rPr>
                <w:rFonts w:ascii="Arial" w:cs="Arial" w:eastAsia="Arial" w:hAnsi="Arial"/>
                <w:sz w:val="16"/>
                <w:szCs w:val="16"/>
                <w:b w:val="1"/>
                <w:bCs w:val="1"/>
                <w:color w:val="auto"/>
              </w:rPr>
              <w:t>September 30, 2010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4080" w:type="dxa"/>
            <w:vAlign w:val="bottom"/>
            <w:gridSpan w:val="3"/>
          </w:tcPr>
          <w:p>
            <w:pPr>
              <w:jc w:val="right"/>
              <w:ind w:right="1251"/>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280" w:type="dxa"/>
            <w:vAlign w:val="bottom"/>
          </w:tcPr>
          <w:p>
            <w:pPr>
              <w:ind w:left="260"/>
              <w:spacing w:after="0"/>
              <w:rPr>
                <w:sz w:val="20"/>
                <w:szCs w:val="20"/>
                <w:color w:val="auto"/>
              </w:rPr>
            </w:pPr>
            <w:r>
              <w:rPr>
                <w:rFonts w:ascii="Arial" w:cs="Arial" w:eastAsia="Arial" w:hAnsi="Arial"/>
                <w:sz w:val="18"/>
                <w:szCs w:val="18"/>
                <w:color w:val="auto"/>
              </w:rPr>
              <w:t>GAAP net income</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17,917</w:t>
            </w:r>
          </w:p>
        </w:tc>
        <w:tc>
          <w:tcPr>
            <w:tcW w:w="220" w:type="dxa"/>
            <w:vAlign w:val="bottom"/>
          </w:tcPr>
          <w:p>
            <w:pPr>
              <w:spacing w:after="0"/>
              <w:rPr>
                <w:sz w:val="21"/>
                <w:szCs w:val="21"/>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14,017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5"/>
                <w:szCs w:val="25"/>
                <w:color w:val="auto"/>
                <w:vertAlign w:val="superscript"/>
              </w:rPr>
              <w:t>(1)</w:t>
            </w:r>
          </w:p>
        </w:tc>
        <w:tc>
          <w:tcPr>
            <w:tcW w:w="1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5,734</w:t>
            </w:r>
          </w:p>
        </w:tc>
        <w:tc>
          <w:tcPr>
            <w:tcW w:w="2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tcPr>
          <w:p>
            <w:pPr>
              <w:ind w:left="380"/>
              <w:spacing w:after="0" w:line="270" w:lineRule="exact"/>
              <w:rPr>
                <w:sz w:val="20"/>
                <w:szCs w:val="20"/>
                <w:color w:val="auto"/>
              </w:rPr>
            </w:pPr>
            <w:r>
              <w:rPr>
                <w:rFonts w:ascii="Arial" w:cs="Arial" w:eastAsia="Arial" w:hAnsi="Arial"/>
                <w:sz w:val="18"/>
                <w:szCs w:val="18"/>
                <w:color w:val="auto"/>
              </w:rPr>
              <w:t>Patent settlement</w:t>
            </w:r>
            <w:r>
              <w:rPr>
                <w:rFonts w:ascii="Arial" w:cs="Arial" w:eastAsia="Arial" w:hAnsi="Arial"/>
                <w:sz w:val="25"/>
                <w:szCs w:val="25"/>
                <w:color w:val="auto"/>
                <w:vertAlign w:val="superscript"/>
              </w:rPr>
              <w:t>(2)</w:t>
            </w:r>
          </w:p>
        </w:tc>
        <w:tc>
          <w:tcPr>
            <w:tcW w:w="194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3"/>
                <w:szCs w:val="23"/>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Provision for income taxes</w:t>
            </w:r>
            <w:r>
              <w:rPr>
                <w:rFonts w:ascii="Arial" w:cs="Arial" w:eastAsia="Arial" w:hAnsi="Arial"/>
                <w:sz w:val="25"/>
                <w:szCs w:val="25"/>
                <w:color w:val="auto"/>
                <w:vertAlign w:val="superscript"/>
              </w:rPr>
              <w:t>(3)</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9,207</w:t>
            </w:r>
          </w:p>
        </w:tc>
        <w:tc>
          <w:tcPr>
            <w:tcW w:w="22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280" w:type="dxa"/>
            <w:vAlign w:val="bottom"/>
          </w:tcPr>
          <w:p>
            <w:pPr>
              <w:ind w:left="380"/>
              <w:spacing w:after="0"/>
              <w:rPr>
                <w:sz w:val="20"/>
                <w:szCs w:val="20"/>
                <w:color w:val="auto"/>
              </w:rPr>
            </w:pPr>
            <w:r>
              <w:rPr>
                <w:rFonts w:ascii="Arial" w:cs="Arial" w:eastAsia="Arial" w:hAnsi="Arial"/>
                <w:sz w:val="18"/>
                <w:szCs w:val="18"/>
                <w:color w:val="auto"/>
              </w:rPr>
              <w:t>Non-GAAP income before provision for income taxes</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32,380</w:t>
            </w:r>
          </w:p>
        </w:tc>
        <w:tc>
          <w:tcPr>
            <w:tcW w:w="220" w:type="dxa"/>
            <w:vAlign w:val="bottom"/>
          </w:tcPr>
          <w:p>
            <w:pPr>
              <w:spacing w:after="0"/>
              <w:rPr>
                <w:sz w:val="20"/>
                <w:szCs w:val="20"/>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20,705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Tax effects related to non-GAAP adjustments</w:t>
            </w:r>
            <w:r>
              <w:rPr>
                <w:rFonts w:ascii="Arial" w:cs="Arial" w:eastAsia="Arial" w:hAnsi="Arial"/>
                <w:sz w:val="25"/>
                <w:szCs w:val="25"/>
                <w:color w:val="auto"/>
                <w:vertAlign w:val="superscript"/>
              </w:rPr>
              <w:t>(4)</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(10,685)</w:t>
            </w:r>
          </w:p>
        </w:tc>
        <w:tc>
          <w:tcPr>
            <w:tcW w:w="22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2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Non-GAAP net income</w:t>
            </w: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21,695</w:t>
            </w:r>
          </w:p>
        </w:tc>
        <w:tc>
          <w:tcPr>
            <w:tcW w:w="2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13,458</w:t>
            </w: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7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Non-GAAP net income per share - diluted</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0.13</w:t>
            </w:r>
          </w:p>
        </w:tc>
        <w:tc>
          <w:tcPr>
            <w:tcW w:w="2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280" w:type="dxa"/>
            <w:vAlign w:val="bottom"/>
          </w:tcPr>
          <w:p>
            <w:pPr>
              <w:ind w:left="260"/>
              <w:spacing w:after="0"/>
              <w:rPr>
                <w:sz w:val="20"/>
                <w:szCs w:val="20"/>
                <w:color w:val="auto"/>
              </w:rPr>
            </w:pPr>
            <w:r>
              <w:rPr>
                <w:rFonts w:ascii="Arial" w:cs="Arial" w:eastAsia="Arial" w:hAnsi="Arial"/>
                <w:sz w:val="18"/>
                <w:szCs w:val="18"/>
                <w:color w:val="auto"/>
              </w:rPr>
              <w:t>Shares used in per share calculation - diluted</w:t>
            </w: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163,869</w:t>
            </w:r>
          </w:p>
        </w:tc>
        <w:tc>
          <w:tcPr>
            <w:tcW w:w="220" w:type="dxa"/>
            <w:vAlign w:val="bottom"/>
          </w:tcPr>
          <w:p>
            <w:pPr>
              <w:spacing w:after="0"/>
              <w:rPr>
                <w:sz w:val="24"/>
                <w:szCs w:val="24"/>
                <w:color w:val="auto"/>
              </w:rPr>
            </w:pPr>
          </w:p>
        </w:tc>
        <w:tc>
          <w:tcPr>
            <w:tcW w:w="1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155,842</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jc w:val="right"/>
              <w:ind w:right="6690"/>
              <w:spacing w:after="0"/>
              <w:rPr>
                <w:sz w:val="20"/>
                <w:szCs w:val="20"/>
                <w:color w:val="auto"/>
              </w:rPr>
            </w:pPr>
            <w:r>
              <w:rPr>
                <w:rFonts w:ascii="Arial" w:cs="Arial" w:eastAsia="Arial" w:hAnsi="Arial"/>
                <w:sz w:val="18"/>
                <w:szCs w:val="18"/>
                <w:color w:val="auto"/>
                <w:w w:val="96"/>
              </w:rPr>
              <w:t>---------</w:t>
            </w: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 expense is added back to GAAP net income to reconcile to non-GAAP income before taxes.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patent settlement income is removed from GAAP net income to reconcile to non-GAAP income before taxes.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Provision for income taxes is our GAAP provision that must be added to GAAP net income to reconcile to non-GAAP income before taxes.</w:t>
      </w:r>
    </w:p>
    <w:p>
      <w:pPr>
        <w:spacing w:after="0" w:line="20" w:lineRule="exact"/>
        <w:rPr>
          <w:rFonts w:ascii="Arial" w:cs="Arial" w:eastAsia="Arial" w:hAnsi="Arial"/>
          <w:sz w:val="17"/>
          <w:szCs w:val="17"/>
          <w:color w:val="auto"/>
        </w:rPr>
      </w:pPr>
    </w:p>
    <w:p>
      <w:pPr>
        <w:jc w:val="both"/>
        <w:ind w:left="500" w:right="100" w:hanging="492"/>
        <w:spacing w:after="0" w:line="255"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provision related to non-GAAP income before tax reflects 33.0% and 35.0% effective tax rates in the third quarter of 2011 and 2010, respectively. Based on the annual estimate for geographic split of income, as well as various tax credits we expect to achieve in various locations, we currently plan to use a 33.0% tax rate for the year, subject to discrete items that may occur in a particular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derive our revenue from sales of our products and subscription and support services. We recognize our revenue in accordance with the guidance in ASC 985-605 and all related interpretations</w:t>
      </w:r>
      <w:r>
        <w:rPr>
          <w:rFonts w:ascii="Arial" w:cs="Arial" w:eastAsia="Arial" w:hAnsi="Arial"/>
          <w:sz w:val="18"/>
          <w:szCs w:val="18"/>
          <w:i w:val="1"/>
          <w:iCs w:val="1"/>
          <w:color w:val="auto"/>
        </w:rPr>
        <w:t>,</w:t>
      </w:r>
      <w:r>
        <w:rPr>
          <w:rFonts w:ascii="Arial" w:cs="Arial" w:eastAsia="Arial" w:hAnsi="Arial"/>
          <w:sz w:val="18"/>
          <w:szCs w:val="18"/>
          <w:color w:val="auto"/>
        </w:rPr>
        <w:t xml:space="preserve"> which is discussed in further detail in Footnote 1 to our Condensed Consolidated Financial Statements, “Summary of Significant Accounting Policies - Revenue Recognition.” Revenue is recognized when persuasive evidence of an arrangement exists, delivery has occurred, the price is fixed or determinable and collectability is probable.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total revenue is comprised of the following:</w:t>
      </w:r>
    </w:p>
    <w:p>
      <w:pPr>
        <w:spacing w:after="0" w:line="225" w:lineRule="exact"/>
        <w:rPr>
          <w:sz w:val="20"/>
          <w:szCs w:val="20"/>
          <w:color w:val="auto"/>
        </w:rPr>
      </w:pPr>
    </w:p>
    <w:p>
      <w:pPr>
        <w:ind w:left="820" w:hanging="326"/>
        <w:spacing w:after="0" w:line="270"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Product revenue</w:t>
      </w:r>
      <w:r>
        <w:rPr>
          <w:rFonts w:ascii="Arial" w:cs="Arial" w:eastAsia="Arial" w:hAnsi="Arial"/>
          <w:sz w:val="17"/>
          <w:szCs w:val="17"/>
          <w:color w:val="auto"/>
        </w:rPr>
        <w:t>. Product revenue is generated from sales of our appliances and software. The substantial majority of our product revenue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generated by our FortiGate line of appliances, and we do not expect this to change in the foreseeable future. Product revenue also includes revenue derived from sales of FortiManager, FortiAnalyzer, FortiSwitch, FortiMail, FortiDB, FortiWeb, FortiAP, FortiScan, FortiCarrier, FortiBalancer, FortiCache, FortiBridge, and FortiAuthenticator appliances, and our FortiClient and virtual domain, or VDOM, software. Additionally, we generate revenue from the TalkSwitch line of telephony products. We recognize product revenue on sales to distributors that have no general right of return and end-customers upon shipment, once all other revenue recognition criteria have been met. As a percentage of total revenue, we expect our product revenue may vary from quarter-to-quarter based on seasonal and cyclical factors, but generally may remain at comparable levels or decline modestly over time, as services revenue becomes a larger portion of our business as our customers renew existing services contracts and we expand our customer base.</w:t>
      </w:r>
    </w:p>
    <w:p>
      <w:pPr>
        <w:spacing w:after="0" w:line="181" w:lineRule="exact"/>
        <w:rPr>
          <w:rFonts w:ascii="Arial" w:cs="Arial" w:eastAsia="Arial" w:hAnsi="Arial"/>
          <w:sz w:val="17"/>
          <w:szCs w:val="17"/>
          <w:color w:val="auto"/>
        </w:rPr>
      </w:pPr>
    </w:p>
    <w:p>
      <w:pPr>
        <w:ind w:left="820" w:right="40" w:hanging="326"/>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Services revenue</w:t>
      </w:r>
      <w:r>
        <w:rPr>
          <w:rFonts w:ascii="Arial" w:cs="Arial" w:eastAsia="Arial" w:hAnsi="Arial"/>
          <w:sz w:val="18"/>
          <w:szCs w:val="18"/>
          <w:color w:val="auto"/>
        </w:rPr>
        <w:t>. Services revenue is generated primarily from FortiCare technical support services for software updates, maintenance releases</w:t>
      </w:r>
      <w:r>
        <w:rPr>
          <w:rFonts w:ascii="Arial" w:cs="Arial" w:eastAsia="Arial" w:hAnsi="Arial"/>
          <w:sz w:val="18"/>
          <w:szCs w:val="18"/>
          <w:i w:val="1"/>
          <w:iCs w:val="1"/>
          <w:color w:val="auto"/>
        </w:rPr>
        <w:t xml:space="preserve"> </w:t>
      </w:r>
      <w:r>
        <w:rPr>
          <w:rFonts w:ascii="Arial" w:cs="Arial" w:eastAsia="Arial" w:hAnsi="Arial"/>
          <w:sz w:val="18"/>
          <w:szCs w:val="18"/>
          <w:color w:val="auto"/>
        </w:rPr>
        <w:t>and patches, Internet access to technical content, telephone and Internet access to technical support personnel and hardware support, and FortiGuard security subscription services related to antivirus, intrusion prevention, Web filtering, antispam and vulnerability management updates. We recognize revenue from</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820" w:right="20"/>
        <w:spacing w:after="0" w:line="304" w:lineRule="auto"/>
        <w:rPr>
          <w:sz w:val="20"/>
          <w:szCs w:val="20"/>
          <w:color w:val="auto"/>
        </w:rPr>
      </w:pPr>
      <w:r>
        <w:rPr>
          <w:rFonts w:ascii="Arial" w:cs="Arial" w:eastAsia="Arial" w:hAnsi="Arial"/>
          <w:sz w:val="18"/>
          <w:szCs w:val="18"/>
          <w:color w:val="auto"/>
        </w:rPr>
        <w:t>subscription and support services over the service performance period. Our typical contractual support and subscription term is one year from the date of registration, although, we do offer multi-year support and subscription contracts. We also generate a small portion of our revenue from professional services and training services, and we recognize this revenue as the services are provided. As a percentage of total revenue, we expect our services revenue to remain at comparable levels or increase as our customers renew existing service contracts, as our services revenue growth rate depends significantly on the growth of our customer base.</w:t>
      </w:r>
    </w:p>
    <w:p>
      <w:pPr>
        <w:spacing w:after="0" w:line="161" w:lineRule="exact"/>
        <w:rPr>
          <w:sz w:val="20"/>
          <w:szCs w:val="20"/>
          <w:color w:val="auto"/>
        </w:rPr>
      </w:pPr>
    </w:p>
    <w:p>
      <w:pPr>
        <w:ind w:left="820" w:right="60" w:hanging="326"/>
        <w:spacing w:after="0" w:line="271"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Ratable and other revenue</w:t>
      </w:r>
      <w:r>
        <w:rPr>
          <w:rFonts w:ascii="Arial" w:cs="Arial" w:eastAsia="Arial" w:hAnsi="Arial"/>
          <w:sz w:val="17"/>
          <w:szCs w:val="17"/>
          <w:color w:val="auto"/>
        </w:rPr>
        <w:t>. Ratable and other revenue is generated from sales of our products and services in cases where the fair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being provided cannot be separated from the value of the entire sale. In these cases, the value of the entire sale is deferred and recognized ratably over the service performance period. See Footnote 1 to our Condensed Consolidated Financial Statements - “Summary of Significant Accounting Policies - Revenue Recognition” for more details. Ratable and other revenue was formerly referred to as Ratable product and services revenue. We have made this change to reflect a $2.6 million sale of previously-acquired patents during the third quarter. In the third quarters of 2011 and 2010, ratable and other revenue represented approximately 4.7% and 5.3% of total revenue, respectively. Over time we expect this category to continue to decline due to the new revenue recognition rules, which allow us to use BESP in our allocation of arrangement consideration when we do not have VSOE.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total cost of revenue is comprised of the following:</w:t>
      </w:r>
    </w:p>
    <w:p>
      <w:pPr>
        <w:spacing w:after="0" w:line="225" w:lineRule="exact"/>
        <w:rPr>
          <w:sz w:val="20"/>
          <w:szCs w:val="20"/>
          <w:color w:val="auto"/>
        </w:rPr>
      </w:pPr>
    </w:p>
    <w:p>
      <w:pPr>
        <w:ind w:left="820" w:right="140" w:hanging="326"/>
        <w:spacing w:after="0" w:line="272"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Cost of product revenue. </w:t>
      </w:r>
      <w:r>
        <w:rPr>
          <w:rFonts w:ascii="Arial" w:cs="Arial" w:eastAsia="Arial" w:hAnsi="Arial"/>
          <w:sz w:val="17"/>
          <w:szCs w:val="17"/>
          <w:color w:val="auto"/>
        </w:rPr>
        <w:t>A substantial majority of the cost of product revenue consists of third-party manufacturing costs. Our cost of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also includes product testing costs, write-offs for excess and obsolete inventory, royalty payments, amortization and any impairment of applicable acquired intangible assets, warranty costs, shipping and allocated facilities costs, stock-based compensation costs, and personnel costs associated with logistics and quality control. Personnel costs include cash-based personnel costs such as salaries, benefits and bonuses. Royalties reflect amounts related to Trend Micro since 2006, which Trend Micro claims are owed through 2015, as discussed in “Item 1 - Legal Proceedings.” For fiscal 2009, 2010 and the first three quarters of 2011, this royalty represented approximately one percent of total revenue, and we do not expect this percentage to increase substantially in the foreseeable future.</w:t>
      </w:r>
    </w:p>
    <w:p>
      <w:pPr>
        <w:spacing w:after="0" w:line="177" w:lineRule="exact"/>
        <w:rPr>
          <w:rFonts w:ascii="Arial" w:cs="Arial" w:eastAsia="Arial" w:hAnsi="Arial"/>
          <w:sz w:val="17"/>
          <w:szCs w:val="17"/>
          <w:color w:val="auto"/>
        </w:rPr>
      </w:pPr>
    </w:p>
    <w:p>
      <w:pPr>
        <w:ind w:left="820" w:hanging="326"/>
        <w:spacing w:after="0" w:line="259"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Cost of services revenue is primarily comprised of cash-based personnel costs associated with our FortiGuard Labs team</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technical support, professional services and training teams, as well as depreciation, supplies, data center, data communications, facility-related costs and stock-based compensation costs. We expect our cost of services revenue will increase as we continue to invest in subscription and support services to meet the needs of our growing customer base.</w:t>
      </w:r>
    </w:p>
    <w:p>
      <w:pPr>
        <w:spacing w:after="0" w:line="186"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Cost of ratable and other revenue</w:t>
      </w:r>
      <w:r>
        <w:rPr>
          <w:rFonts w:ascii="Arial" w:cs="Arial" w:eastAsia="Arial" w:hAnsi="Arial"/>
          <w:sz w:val="16"/>
          <w:szCs w:val="16"/>
          <w:color w:val="auto"/>
        </w:rPr>
        <w:t>. Cost of ratable and other revenue is comprised primarily of deferred product costs and services-related costs.</w:t>
      </w:r>
    </w:p>
    <w:p>
      <w:pPr>
        <w:spacing w:after="0" w:line="24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as a percentage of revenue, or gross margin, has been and will continue to be affected by a variety of factors,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sales price of our products, any excess inventory write-offs, manufacturing costs, services headcount, the mix of products sold and the mix of revenue between products and services. We believe our overall gross margin for the near term will remain comparable (or decrease slightly) to that achieved through the first three quarters of 2011.</w:t>
      </w:r>
    </w:p>
    <w:p>
      <w:pPr>
        <w:spacing w:after="0" w:line="187"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Our operating expenses consist of research and development, sales and marketing, and general and administrative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are the most significant component of operating expenses and consist of cash-based personnel costs such as salaries, benefits, bonuses and, with regard to the sales and marketing expense, sales commissions. They also include non-cash charges, specifically, stock-based compensation. We expect personnel costs to continue to increase in absolute dollars as we hire new employees.</w:t>
      </w:r>
    </w:p>
    <w:p>
      <w:pPr>
        <w:spacing w:after="0" w:line="171" w:lineRule="exact"/>
        <w:rPr>
          <w:sz w:val="20"/>
          <w:szCs w:val="20"/>
          <w:color w:val="auto"/>
        </w:rPr>
      </w:pPr>
    </w:p>
    <w:p>
      <w:pPr>
        <w:ind w:left="820" w:hanging="326"/>
        <w:spacing w:after="0" w:line="276"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 consists primarily of cash-based personnel costs. Additional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expenses include ASIC and system prototypes and certification-related expenses, depreciation of capital equipment, facility-related expenses and stock-based compensation expenses. The majority of our research and development is focused on both software development and the ongoing development of our hardware platform. We record all research and development expenses as incurred, except for capital equipment which is depreciated over time. Our development teams are primarily located in Canada, China, and California. We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41"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820" w:right="120"/>
        <w:spacing w:after="0" w:line="324" w:lineRule="auto"/>
        <w:rPr>
          <w:sz w:val="20"/>
          <w:szCs w:val="20"/>
          <w:color w:val="auto"/>
        </w:rPr>
      </w:pPr>
      <w:r>
        <w:rPr>
          <w:rFonts w:ascii="Arial" w:cs="Arial" w:eastAsia="Arial" w:hAnsi="Arial"/>
          <w:sz w:val="18"/>
          <w:szCs w:val="18"/>
          <w:color w:val="auto"/>
        </w:rPr>
        <w:t>expect our spending for research and development to increase in absolute dollars but remain comparable to recent periods as a percentage of total revenue.</w:t>
      </w:r>
    </w:p>
    <w:p>
      <w:pPr>
        <w:spacing w:after="0" w:line="143" w:lineRule="exact"/>
        <w:rPr>
          <w:sz w:val="20"/>
          <w:szCs w:val="20"/>
          <w:color w:val="auto"/>
        </w:rPr>
      </w:pPr>
    </w:p>
    <w:p>
      <w:pPr>
        <w:ind w:left="820" w:right="40" w:hanging="326"/>
        <w:spacing w:after="0" w:line="273"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is the largest component of our operating expenses and primarily consists of cash-based</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Additional sales and marketing expenses include stock-based compensation, promotional and other marketing expenses, travel, depreciation of capital equipment and located facility-related expenses. We intend to hire additional personnel focused on sales and marketing and expand our sales and marketing efforts worldwide in order to increase our presence in new geographic markets and enterprise verticals, add new customers and increase penetration within our existing customer base. Accordingly, we expect sales and marketing expenses to increase in absolute dollars and to continue to be our largest operating expense.</w:t>
      </w:r>
    </w:p>
    <w:p>
      <w:pPr>
        <w:spacing w:after="0" w:line="178" w:lineRule="exact"/>
        <w:rPr>
          <w:rFonts w:ascii="Arial" w:cs="Arial" w:eastAsia="Arial" w:hAnsi="Arial"/>
          <w:sz w:val="17"/>
          <w:szCs w:val="17"/>
          <w:color w:val="auto"/>
        </w:rPr>
      </w:pPr>
    </w:p>
    <w:p>
      <w:pPr>
        <w:ind w:left="820" w:right="180" w:hanging="326"/>
        <w:spacing w:after="0" w:line="273"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 consists of cash-based personnel costs as well as professional fees,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depreciation of capital equipment and software, and facility-related expenses. General and administrative personnel include our executive, finance, human resources, information technology and legal organizations. Our professional fees principally consist of outside legal, auditing, accounting, information technology and other consulting costs. We expect that general and administrative expense will increase in absolute dollars as we hire additional personnel, make improvements to our information technology infrastructure, and defend our intellectual property, but remain comparable to recent periods as a percentage of total revenue.</w:t>
      </w:r>
    </w:p>
    <w:p>
      <w:pPr>
        <w:spacing w:after="0" w:line="178"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consists of income earned on our cash, cash equivalents and investments. We have historically invested our cash in</w:t>
      </w:r>
      <w:r>
        <w:rPr>
          <w:rFonts w:ascii="Arial" w:cs="Arial" w:eastAsia="Arial" w:hAnsi="Arial"/>
          <w:sz w:val="16"/>
          <w:szCs w:val="16"/>
          <w:i w:val="1"/>
          <w:iCs w:val="1"/>
          <w:color w:val="auto"/>
        </w:rPr>
        <w:t xml:space="preserve"> </w:t>
      </w:r>
      <w:r>
        <w:rPr>
          <w:rFonts w:ascii="Arial" w:cs="Arial" w:eastAsia="Arial" w:hAnsi="Arial"/>
          <w:sz w:val="16"/>
          <w:szCs w:val="16"/>
          <w:color w:val="auto"/>
        </w:rPr>
        <w:t>money market funds, commercial paper, corporate debt securities, municipal bonds, term deposits, and U.S. government and agency debt securities.</w:t>
      </w:r>
    </w:p>
    <w:p>
      <w:pPr>
        <w:spacing w:after="0" w:line="124" w:lineRule="exact"/>
        <w:rPr>
          <w:sz w:val="20"/>
          <w:szCs w:val="20"/>
          <w:color w:val="auto"/>
        </w:rPr>
      </w:pPr>
    </w:p>
    <w:p>
      <w:pPr>
        <w:jc w:val="center"/>
        <w:ind w:right="120"/>
        <w:spacing w:after="0"/>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income (expense), net consists primarily of foreign exchange and related hedging gains and losses. Foreign</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exchange gains and losses relate to foreign currency exchange re-measurement. The hedging gains and losses are related to our settled balance sheet hedges.</w:t>
      </w:r>
    </w:p>
    <w:p>
      <w:pPr>
        <w:spacing w:after="0" w:line="245"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Our income tax provision is based on our worldwide estimated annualized effective tax rate. We are subject to tax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as well as other tax jurisdictions or countries in which we conduct business. Earnings from our non-U.S. activities are subject to local country income tax and may be subject to current U.S. income tax. Our effective tax rates differ from the statutory rate primarily due to foreign income subject to different tax rates than the U.S., research and development tax credits (when applicable), withholding tax, nondeductible compensation and adjustments related to our intercompany transfer pricing.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U.S.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believe the accounting policies and estimates discussed under Item 7, “Management's Discussion and Analysis of Financial Condition and Results of Operations” in our Annual Report on Form 10-K for the fiscal year ended December 31, 2010, reflect our more significant judgments and estimates used in the preparation of the consolidated financial statements. Effective January 1, 2011, we prospectively adopted the new accounting standards related to software revenue recognition for applicable transactions originating or materially modified after December 31, 2010, which is discussed in further detail in Footnote 1 to our Condensed Consolidated Financial Statements, “Summary of Significant Accounting Policies - Revenue Recognition.”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41" w:right="2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2011 and September 30,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760" w:type="dxa"/>
            <w:vAlign w:val="bottom"/>
            <w:gridSpan w:val="4"/>
          </w:tcPr>
          <w:p>
            <w:pPr>
              <w:ind w:left="620"/>
              <w:spacing w:after="0"/>
              <w:rPr>
                <w:sz w:val="20"/>
                <w:szCs w:val="20"/>
                <w:color w:val="auto"/>
              </w:rPr>
            </w:pPr>
            <w:r>
              <w:rPr>
                <w:rFonts w:ascii="Arial" w:cs="Arial" w:eastAsia="Arial" w:hAnsi="Arial"/>
                <w:sz w:val="16"/>
                <w:szCs w:val="16"/>
                <w:b w:val="1"/>
                <w:bCs w:val="1"/>
                <w:color w:val="auto"/>
              </w:rPr>
              <w:t>September 30, 2011</w:t>
            </w:r>
          </w:p>
        </w:tc>
        <w:tc>
          <w:tcPr>
            <w:tcW w:w="2740" w:type="dxa"/>
            <w:vAlign w:val="bottom"/>
            <w:gridSpan w:val="4"/>
          </w:tcPr>
          <w:p>
            <w:pPr>
              <w:ind w:left="600"/>
              <w:spacing w:after="0"/>
              <w:rPr>
                <w:sz w:val="20"/>
                <w:szCs w:val="20"/>
                <w:color w:val="auto"/>
              </w:rPr>
            </w:pPr>
            <w:r>
              <w:rPr>
                <w:rFonts w:ascii="Arial" w:cs="Arial" w:eastAsia="Arial" w:hAnsi="Arial"/>
                <w:sz w:val="16"/>
                <w:szCs w:val="16"/>
                <w:b w:val="1"/>
                <w:bCs w:val="1"/>
                <w:color w:val="auto"/>
              </w:rPr>
              <w:t>September 30, 2010</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151"/>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1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540"/>
              <w:spacing w:after="0"/>
              <w:rPr>
                <w:sz w:val="20"/>
                <w:szCs w:val="20"/>
                <w:color w:val="auto"/>
              </w:rPr>
            </w:pPr>
            <w:r>
              <w:rPr>
                <w:rFonts w:ascii="Arial" w:cs="Arial" w:eastAsia="Arial" w:hAnsi="Arial"/>
                <w:sz w:val="16"/>
                <w:szCs w:val="16"/>
                <w:b w:val="1"/>
                <w:bCs w:val="1"/>
                <w:color w:val="auto"/>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53,093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35,913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17,180</w:t>
            </w:r>
          </w:p>
        </w:tc>
        <w:tc>
          <w:tcPr>
            <w:tcW w:w="136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57,835</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44,527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5,498</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4,531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967</w:t>
            </w:r>
          </w:p>
        </w:tc>
        <w:tc>
          <w:tcPr>
            <w:tcW w:w="13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116,426</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84,971</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31,455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3"/>
        </w:trPr>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Americas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50,028</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35,396</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14,632</w:t>
            </w:r>
          </w:p>
        </w:tc>
        <w:tc>
          <w:tcPr>
            <w:tcW w:w="136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EMEA</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37,942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28,926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APAC</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28,456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20,649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7,807</w:t>
            </w:r>
          </w:p>
        </w:tc>
        <w:tc>
          <w:tcPr>
            <w:tcW w:w="136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116,426</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84,971</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31,455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Total revenue increased $31.5 million, or 37.0%, in the third quarter of 2011 compared to the third quarter of 2010. The adoption of the new revenue recognition rules, described in the notes to our financial statements, contributed $5.1 million of the increase, and the sale of certain previously-acquired patents contributed $2.6 million of the increase. The Americas and APAC regions contributed the largest portion of this growth, while the EMEA region demonstrated solid year-over-year revenue growth as well. Product revenue increased $17.2 million, or 47.8%, compared to the third quarter of 2010, as we experienced higher sales volumes and increased demand for our mid-range products which enabled us to further penetrate into the enterprise market and specifically the retail sector. Revenue was impacted by inventory shortages, which resulted from demand for specific products that exceeded our forecasts coupled with the timing of the related orders. Services revenue increased $13.3 million, or 29.9%, in the third quarter of 2011 compared to the third quarter of 2010 due to recognition of revenue from our growing deferred revenue balance consisting of subscription and support contracts sold to a larger customer base. The increase in ratable and other revenue was primarily due to revenue recognized from a $2.6 million sale of previously-acquired patents, which more than offset the decline in amortization of ratable revenue due to the new revenue recognition rules of $1.6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3440" w:type="dxa"/>
            <w:vAlign w:val="bottom"/>
            <w:gridSpan w:val="4"/>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9"/>
        </w:trPr>
        <w:tc>
          <w:tcPr>
            <w:tcW w:w="504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72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1500" w:type="dxa"/>
            <w:vAlign w:val="bottom"/>
          </w:tcPr>
          <w:p>
            <w:pPr>
              <w:jc w:val="right"/>
              <w:ind w:right="512"/>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380" w:type="dxa"/>
            <w:vAlign w:val="bottom"/>
          </w:tcPr>
          <w:p>
            <w:pPr>
              <w:jc w:val="right"/>
              <w:ind w:right="271"/>
              <w:spacing w:after="0"/>
              <w:rPr>
                <w:sz w:val="20"/>
                <w:szCs w:val="20"/>
                <w:color w:val="auto"/>
              </w:rPr>
            </w:pPr>
            <w:r>
              <w:rPr>
                <w:rFonts w:ascii="Arial" w:cs="Arial" w:eastAsia="Arial" w:hAnsi="Arial"/>
                <w:sz w:val="16"/>
                <w:szCs w:val="16"/>
                <w:b w:val="1"/>
                <w:bCs w:val="1"/>
                <w:color w:val="auto"/>
              </w:rPr>
              <w:t>$ Change</w:t>
            </w:r>
          </w:p>
        </w:tc>
        <w:tc>
          <w:tcPr>
            <w:tcW w:w="156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3"/>
          </w:tcPr>
          <w:p>
            <w:pPr>
              <w:jc w:val="right"/>
              <w:ind w:right="831"/>
              <w:spacing w:after="0"/>
              <w:rPr>
                <w:sz w:val="20"/>
                <w:szCs w:val="20"/>
                <w:color w:val="auto"/>
              </w:rPr>
            </w:pPr>
            <w:r>
              <w:rPr>
                <w:rFonts w:ascii="Arial" w:cs="Arial" w:eastAsia="Arial" w:hAnsi="Arial"/>
                <w:sz w:val="16"/>
                <w:szCs w:val="16"/>
                <w:b w:val="1"/>
                <w:bCs w:val="1"/>
                <w:color w:val="auto"/>
              </w:rPr>
              <w:t>($ amounts in 000's)</w:t>
            </w:r>
          </w:p>
        </w:tc>
        <w:tc>
          <w:tcPr>
            <w:tcW w:w="15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20,606</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13,263</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7,343</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55.4</w:t>
            </w: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9,438</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6,565</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2,873</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1,095</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1,615</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(520)</w:t>
            </w:r>
          </w:p>
        </w:tc>
        <w:tc>
          <w:tcPr>
            <w:tcW w:w="156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7"/>
        </w:trPr>
        <w:tc>
          <w:tcPr>
            <w:tcW w:w="50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31,139</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21,443</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9,696</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3"/>
        </w:trPr>
        <w:tc>
          <w:tcPr>
            <w:tcW w:w="5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83.7</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73.3</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74.8</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60" w:type="dxa"/>
            <w:vAlign w:val="bottom"/>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Total gross margin decreased 1.5 percentage points in the third quarter of 2011 primarily due to a higher mix of product revenue, which generally has lower gross margins than services revenue. In addition, product gross margin decreased 1.9 percentage points in the third quarter of 2011 compared to 2010 primarily related to increased sales of mid-range products and</w:t>
      </w:r>
    </w:p>
    <w:p>
      <w:pPr>
        <w:sectPr>
          <w:pgSz w:w="11900" w:h="16838" w:orient="portrait"/>
          <w:cols w:equalWidth="0" w:num="1">
            <w:col w:w="11420"/>
          </w:cols>
          <w:pgMar w:left="240" w:top="34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41"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to an increase in warranty related costs. From time to time, we have experienced sales of previously reserved inventory. During the three months ended September 30, 2011, we experienced a positive impact of 0.5 percentage points due to the sale of fully reserved inventory compared to a positive impact of</w:t>
      </w:r>
    </w:p>
    <w:p>
      <w:pPr>
        <w:ind w:right="20"/>
        <w:spacing w:after="0" w:line="253" w:lineRule="auto"/>
        <w:rPr>
          <w:sz w:val="20"/>
          <w:szCs w:val="20"/>
          <w:color w:val="auto"/>
        </w:rPr>
      </w:pPr>
      <w:r>
        <w:rPr>
          <w:rFonts w:ascii="Arial" w:cs="Arial" w:eastAsia="Arial" w:hAnsi="Arial"/>
          <w:sz w:val="18"/>
          <w:szCs w:val="18"/>
          <w:color w:val="auto"/>
        </w:rPr>
        <w:t>0.7 percentage points in the same period of prior year. The 1.6 percentage point decrease in services gross margin was primarily due to a $2.9 million increase in services costs caused by $1.9 million of higher cash-based personnel costs as we continued to scale our support and FortiGuard global security research organizations, a $0.3 million increase in professional services costs, a $0.4 million increase in warranty expense and a $0.3 million increase in stock-based compensation. Ratable and other revenue gross margin increased 15.7 percentage points, as a result of the sale of previously-acquired patents, which resulted in a direct positive impact of $2.6 million to gross margin.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760" w:type="dxa"/>
            <w:vAlign w:val="bottom"/>
            <w:gridSpan w:val="4"/>
          </w:tcPr>
          <w:p>
            <w:pPr>
              <w:ind w:left="620"/>
              <w:spacing w:after="0"/>
              <w:rPr>
                <w:sz w:val="20"/>
                <w:szCs w:val="20"/>
                <w:color w:val="auto"/>
              </w:rPr>
            </w:pPr>
            <w:r>
              <w:rPr>
                <w:rFonts w:ascii="Arial" w:cs="Arial" w:eastAsia="Arial" w:hAnsi="Arial"/>
                <w:sz w:val="16"/>
                <w:szCs w:val="16"/>
                <w:b w:val="1"/>
                <w:bCs w:val="1"/>
                <w:color w:val="auto"/>
              </w:rPr>
              <w:t>September 30, 2011</w:t>
            </w:r>
          </w:p>
        </w:tc>
        <w:tc>
          <w:tcPr>
            <w:tcW w:w="2740" w:type="dxa"/>
            <w:vAlign w:val="bottom"/>
            <w:gridSpan w:val="4"/>
          </w:tcPr>
          <w:p>
            <w:pPr>
              <w:ind w:left="600"/>
              <w:spacing w:after="0"/>
              <w:rPr>
                <w:sz w:val="20"/>
                <w:szCs w:val="20"/>
                <w:color w:val="auto"/>
              </w:rPr>
            </w:pPr>
            <w:r>
              <w:rPr>
                <w:rFonts w:ascii="Arial" w:cs="Arial" w:eastAsia="Arial" w:hAnsi="Arial"/>
                <w:sz w:val="16"/>
                <w:szCs w:val="16"/>
                <w:b w:val="1"/>
                <w:bCs w:val="1"/>
                <w:color w:val="auto"/>
              </w:rPr>
              <w:t>September 30, 2010</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152"/>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1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540"/>
              <w:spacing w:after="0"/>
              <w:rPr>
                <w:sz w:val="20"/>
                <w:szCs w:val="20"/>
                <w:color w:val="auto"/>
              </w:rPr>
            </w:pPr>
            <w:r>
              <w:rPr>
                <w:rFonts w:ascii="Arial" w:cs="Arial" w:eastAsia="Arial" w:hAnsi="Arial"/>
                <w:sz w:val="16"/>
                <w:szCs w:val="16"/>
                <w:b w:val="1"/>
                <w:bCs w:val="1"/>
                <w:color w:val="auto"/>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16,834</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12,389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4,445</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35.9</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36,934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26,987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9,947</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5,359</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5,993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(634)</w:t>
            </w:r>
          </w:p>
        </w:tc>
        <w:tc>
          <w:tcPr>
            <w:tcW w:w="1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59,127</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45,369</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13,758</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Research and development expense increased $4.4 million, or 35.9%, in the third quarter of 2011 compared to the third quarter of 2010 primarily due to an increase of $2.8 million in cash-based personnel costs related to increased salaries and benefits as a result of increased headcount to support the development of new products and continued enhancements of our existing products. Increases in stock-compensation expense of $0.9 million, depreciation and other expenses of $0.3 million, product development and certification expenses of $0.2 million, and occupancy-related cost of $0.2 million contributed to the overall increase in research and development expense. An 8.0% year-over-year increase in the Canadian dollar exchange rate against the US dollar also significantly contributed to the increase in research and development expense, as a majority of our research and development personnel are located in Canada.</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420" w:firstLine="486"/>
        <w:spacing w:after="0" w:line="286" w:lineRule="auto"/>
        <w:rPr>
          <w:sz w:val="20"/>
          <w:szCs w:val="20"/>
          <w:color w:val="auto"/>
        </w:rPr>
      </w:pPr>
      <w:r>
        <w:rPr>
          <w:rFonts w:ascii="Arial" w:cs="Arial" w:eastAsia="Arial" w:hAnsi="Arial"/>
          <w:sz w:val="16"/>
          <w:szCs w:val="16"/>
          <w:color w:val="auto"/>
        </w:rPr>
        <w:t>Sales and marketing expense increased $9.9 million, or 36.9%, in the third quarter of 2011 compared to the third quarter of 2010 primarily due to increased cash-based personnel costs of $6.6 million including higher salaries, commissions, and benefits from increased headcount in sales in order to expand our distribution channel. We also incurred a $1.7 million increase in stock-based compensation expense, a $0.7 million increase in marketing activities, a $0.5 million increase in travel expense, and a $0.4 million increase related to professional services, supplies and other operating expenses. A</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12.0% increase in the Euro exchange rate against the US dollar also contributed to the increase in sales and marketing expense. We intend to continue to make investments in our sales resources and infrastructure, which are critical to support sustainable growth.</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00" w:firstLine="486"/>
        <w:spacing w:after="0" w:line="312" w:lineRule="auto"/>
        <w:rPr>
          <w:sz w:val="20"/>
          <w:szCs w:val="20"/>
          <w:color w:val="auto"/>
        </w:rPr>
      </w:pPr>
      <w:r>
        <w:rPr>
          <w:rFonts w:ascii="Arial" w:cs="Arial" w:eastAsia="Arial" w:hAnsi="Arial"/>
          <w:sz w:val="16"/>
          <w:szCs w:val="16"/>
          <w:color w:val="auto"/>
        </w:rPr>
        <w:t>In the third quarter of 2011, general and administrative expense decreased $0.6 million, or 10.6%, compared to the third quarter of 2010. The decrease was due to the recording of $0.5 million in patent settlement income, a $0.4 million reduction in legal fees and a $0.3 decrease in accounting-related expenses, offset partially by a $0.3 million increase in cash-based personnel costs and a $0.3 million increase in stock-based compensation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200" w:type="dxa"/>
            <w:vAlign w:val="bottom"/>
            <w:gridSpan w:val="2"/>
          </w:tcPr>
          <w:p>
            <w:pPr>
              <w:jc w:val="right"/>
              <w:ind w:right="755"/>
              <w:spacing w:after="0"/>
              <w:rPr>
                <w:sz w:val="20"/>
                <w:szCs w:val="20"/>
                <w:color w:val="auto"/>
              </w:rPr>
            </w:pPr>
            <w:r>
              <w:rPr>
                <w:rFonts w:ascii="Arial" w:cs="Arial" w:eastAsia="Arial" w:hAnsi="Arial"/>
                <w:sz w:val="16"/>
                <w:szCs w:val="16"/>
                <w:b w:val="1"/>
                <w:bCs w:val="1"/>
                <w:color w:val="auto"/>
              </w:rPr>
              <w:t>Three Months Ended</w:t>
            </w: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60" w:type="dxa"/>
            <w:vAlign w:val="bottom"/>
          </w:tcPr>
          <w:p>
            <w:pPr>
              <w:jc w:val="right"/>
              <w:ind w:right="355"/>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tcPr>
          <w:p>
            <w:pPr>
              <w:jc w:val="right"/>
              <w:ind w:right="175"/>
              <w:spacing w:after="0"/>
              <w:rPr>
                <w:sz w:val="20"/>
                <w:szCs w:val="20"/>
                <w:color w:val="auto"/>
              </w:rPr>
            </w:pPr>
            <w:r>
              <w:rPr>
                <w:rFonts w:ascii="Arial" w:cs="Arial" w:eastAsia="Arial" w:hAnsi="Arial"/>
                <w:sz w:val="16"/>
                <w:szCs w:val="16"/>
                <w:b w:val="1"/>
                <w:bCs w:val="1"/>
                <w:color w:val="auto"/>
              </w:rPr>
              <w:t>September 30,</w:t>
            </w: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60" w:type="dxa"/>
            <w:vAlign w:val="bottom"/>
          </w:tcPr>
          <w:p>
            <w:pPr>
              <w:jc w:val="right"/>
              <w:ind w:right="675"/>
              <w:spacing w:after="0"/>
              <w:rPr>
                <w:sz w:val="20"/>
                <w:szCs w:val="20"/>
                <w:color w:val="auto"/>
              </w:rPr>
            </w:pPr>
            <w:r>
              <w:rPr>
                <w:rFonts w:ascii="Arial" w:cs="Arial" w:eastAsia="Arial" w:hAnsi="Arial"/>
                <w:sz w:val="16"/>
                <w:szCs w:val="16"/>
                <w:b w:val="1"/>
                <w:bCs w:val="1"/>
                <w:color w:val="auto"/>
              </w:rPr>
              <w:t>2011</w:t>
            </w:r>
          </w:p>
        </w:tc>
        <w:tc>
          <w:tcPr>
            <w:tcW w:w="1540" w:type="dxa"/>
            <w:vAlign w:val="bottom"/>
          </w:tcPr>
          <w:p>
            <w:pPr>
              <w:jc w:val="right"/>
              <w:ind w:right="495"/>
              <w:spacing w:after="0"/>
              <w:rPr>
                <w:sz w:val="20"/>
                <w:szCs w:val="20"/>
                <w:color w:val="auto"/>
              </w:rPr>
            </w:pPr>
            <w:r>
              <w:rPr>
                <w:rFonts w:ascii="Arial" w:cs="Arial" w:eastAsia="Arial" w:hAnsi="Arial"/>
                <w:sz w:val="16"/>
                <w:szCs w:val="16"/>
                <w:b w:val="1"/>
                <w:bCs w:val="1"/>
                <w:color w:val="auto"/>
              </w:rPr>
              <w:t>2010</w:t>
            </w:r>
          </w:p>
        </w:tc>
        <w:tc>
          <w:tcPr>
            <w:tcW w:w="1800" w:type="dxa"/>
            <w:vAlign w:val="bottom"/>
          </w:tcPr>
          <w:p>
            <w:pPr>
              <w:jc w:val="right"/>
              <w:ind w:right="473"/>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 Change</w:t>
            </w: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40" w:type="dxa"/>
            <w:vAlign w:val="bottom"/>
            <w:gridSpan w:val="2"/>
          </w:tcPr>
          <w:p>
            <w:pPr>
              <w:jc w:val="right"/>
              <w:ind w:right="1033"/>
              <w:spacing w:after="0"/>
              <w:rPr>
                <w:sz w:val="20"/>
                <w:szCs w:val="20"/>
                <w:color w:val="auto"/>
              </w:rPr>
            </w:pPr>
            <w:r>
              <w:rPr>
                <w:rFonts w:ascii="Arial" w:cs="Arial" w:eastAsia="Arial" w:hAnsi="Arial"/>
                <w:sz w:val="16"/>
                <w:szCs w:val="16"/>
                <w:b w:val="1"/>
                <w:bCs w:val="1"/>
                <w:color w:val="auto"/>
              </w:rPr>
              <w:t>($ amounts in 000's)</w:t>
            </w:r>
          </w:p>
        </w:tc>
        <w:tc>
          <w:tcPr>
            <w:tcW w:w="13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904</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514</w:t>
            </w:r>
          </w:p>
        </w:tc>
        <w:tc>
          <w:tcPr>
            <w:tcW w:w="18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390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43"/>
        </w:trPr>
        <w:tc>
          <w:tcPr>
            <w:tcW w:w="4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660" w:type="dxa"/>
            <w:vAlign w:val="bottom"/>
          </w:tcPr>
          <w:p>
            <w:pPr>
              <w:jc w:val="right"/>
              <w:ind w:right="215"/>
              <w:spacing w:after="0"/>
              <w:rPr>
                <w:sz w:val="20"/>
                <w:szCs w:val="20"/>
                <w:color w:val="auto"/>
              </w:rPr>
            </w:pPr>
            <w:r>
              <w:rPr>
                <w:rFonts w:ascii="Arial" w:cs="Arial" w:eastAsia="Arial" w:hAnsi="Arial"/>
                <w:sz w:val="18"/>
                <w:szCs w:val="18"/>
                <w:color w:val="auto"/>
              </w:rPr>
              <w:t>60</w:t>
            </w:r>
          </w:p>
        </w:tc>
        <w:tc>
          <w:tcPr>
            <w:tcW w:w="1540" w:type="dxa"/>
            <w:vAlign w:val="bottom"/>
          </w:tcPr>
          <w:p>
            <w:pPr>
              <w:jc w:val="right"/>
              <w:spacing w:after="0"/>
              <w:rPr>
                <w:sz w:val="20"/>
                <w:szCs w:val="20"/>
                <w:color w:val="auto"/>
              </w:rPr>
            </w:pPr>
            <w:r>
              <w:rPr>
                <w:rFonts w:ascii="Arial" w:cs="Arial" w:eastAsia="Arial" w:hAnsi="Arial"/>
                <w:sz w:val="18"/>
                <w:szCs w:val="18"/>
                <w:color w:val="auto"/>
              </w:rPr>
              <w:t>(402)</w:t>
            </w:r>
          </w:p>
        </w:tc>
        <w:tc>
          <w:tcPr>
            <w:tcW w:w="1800" w:type="dxa"/>
            <w:vAlign w:val="bottom"/>
          </w:tcPr>
          <w:p>
            <w:pPr>
              <w:jc w:val="right"/>
              <w:ind w:right="233"/>
              <w:spacing w:after="0"/>
              <w:rPr>
                <w:sz w:val="20"/>
                <w:szCs w:val="20"/>
                <w:color w:val="auto"/>
              </w:rPr>
            </w:pPr>
            <w:r>
              <w:rPr>
                <w:rFonts w:ascii="Arial" w:cs="Arial" w:eastAsia="Arial" w:hAnsi="Arial"/>
                <w:sz w:val="18"/>
                <w:szCs w:val="18"/>
                <w:color w:val="auto"/>
              </w:rPr>
              <w:t>462</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191"/>
        </w:trPr>
        <w:tc>
          <w:tcPr>
            <w:tcW w:w="5040" w:type="dxa"/>
            <w:vAlign w:val="bottom"/>
            <w:gridSpan w:val="2"/>
          </w:tcPr>
          <w:p>
            <w:pPr>
              <w:spacing w:after="0"/>
              <w:rPr>
                <w:sz w:val="20"/>
                <w:szCs w:val="20"/>
                <w:color w:val="auto"/>
              </w:rPr>
            </w:pPr>
            <w:r>
              <w:rPr>
                <w:rFonts w:ascii="Arial" w:cs="Arial" w:eastAsia="Arial" w:hAnsi="Arial"/>
                <w:sz w:val="14"/>
                <w:szCs w:val="14"/>
                <w:color w:val="auto"/>
              </w:rPr>
              <w:t>* not meaningful</w:t>
            </w:r>
          </w:p>
        </w:tc>
        <w:tc>
          <w:tcPr>
            <w:tcW w:w="1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200" w:lineRule="exact"/>
        <w:rPr>
          <w:sz w:val="20"/>
          <w:szCs w:val="20"/>
          <w:color w:val="auto"/>
        </w:rPr>
      </w:pPr>
    </w:p>
    <w:p>
      <w:pPr>
        <w:ind w:right="360" w:firstLine="486"/>
        <w:spacing w:after="0" w:line="312" w:lineRule="auto"/>
        <w:rPr>
          <w:sz w:val="20"/>
          <w:szCs w:val="20"/>
          <w:color w:val="auto"/>
        </w:rPr>
      </w:pPr>
      <w:r>
        <w:rPr>
          <w:rFonts w:ascii="Arial" w:cs="Arial" w:eastAsia="Arial" w:hAnsi="Arial"/>
          <w:sz w:val="16"/>
          <w:szCs w:val="16"/>
          <w:color w:val="auto"/>
        </w:rPr>
        <w:t>The $0.4 million increase in interest income in the third quarter of 2011 compared to the third quarter of 2010 was due to interest earned on higher invested balances. The change in other income (expense), net for the third quarter of 2011 when compared to the third quarter of 2010 was the result of foreign currency gains. The gain for the three months ended September 30, 2011 was primarily due to the strengthening of the U.S. dollar.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200" w:type="dxa"/>
            <w:vAlign w:val="bottom"/>
            <w:gridSpan w:val="2"/>
          </w:tcPr>
          <w:p>
            <w:pPr>
              <w:jc w:val="right"/>
              <w:ind w:right="755"/>
              <w:spacing w:after="0"/>
              <w:rPr>
                <w:sz w:val="20"/>
                <w:szCs w:val="20"/>
                <w:color w:val="auto"/>
              </w:rPr>
            </w:pPr>
            <w:r>
              <w:rPr>
                <w:rFonts w:ascii="Arial" w:cs="Arial" w:eastAsia="Arial" w:hAnsi="Arial"/>
                <w:sz w:val="16"/>
                <w:szCs w:val="16"/>
                <w:b w:val="1"/>
                <w:bCs w:val="1"/>
                <w:color w:val="auto"/>
              </w:rPr>
              <w:t>Three Months Ended</w:t>
            </w: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5000" w:type="dxa"/>
            <w:vAlign w:val="bottom"/>
          </w:tcPr>
          <w:p>
            <w:pPr>
              <w:spacing w:after="0"/>
              <w:rPr>
                <w:sz w:val="18"/>
                <w:szCs w:val="18"/>
                <w:color w:val="auto"/>
              </w:rPr>
            </w:pPr>
          </w:p>
        </w:tc>
        <w:tc>
          <w:tcPr>
            <w:tcW w:w="1660" w:type="dxa"/>
            <w:vAlign w:val="bottom"/>
          </w:tcPr>
          <w:p>
            <w:pPr>
              <w:jc w:val="right"/>
              <w:ind w:right="355"/>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tcPr>
          <w:p>
            <w:pPr>
              <w:jc w:val="right"/>
              <w:ind w:right="175"/>
              <w:spacing w:after="0"/>
              <w:rPr>
                <w:sz w:val="20"/>
                <w:szCs w:val="20"/>
                <w:color w:val="auto"/>
              </w:rPr>
            </w:pPr>
            <w:r>
              <w:rPr>
                <w:rFonts w:ascii="Arial" w:cs="Arial" w:eastAsia="Arial" w:hAnsi="Arial"/>
                <w:sz w:val="16"/>
                <w:szCs w:val="16"/>
                <w:b w:val="1"/>
                <w:bCs w:val="1"/>
                <w:color w:val="auto"/>
              </w:rPr>
              <w:t>September 30,</w:t>
            </w: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1660" w:type="dxa"/>
            <w:vAlign w:val="bottom"/>
          </w:tcPr>
          <w:p>
            <w:pPr>
              <w:jc w:val="right"/>
              <w:ind w:right="675"/>
              <w:spacing w:after="0"/>
              <w:rPr>
                <w:sz w:val="20"/>
                <w:szCs w:val="20"/>
                <w:color w:val="auto"/>
              </w:rPr>
            </w:pPr>
            <w:r>
              <w:rPr>
                <w:rFonts w:ascii="Arial" w:cs="Arial" w:eastAsia="Arial" w:hAnsi="Arial"/>
                <w:sz w:val="16"/>
                <w:szCs w:val="16"/>
                <w:b w:val="1"/>
                <w:bCs w:val="1"/>
                <w:color w:val="auto"/>
              </w:rPr>
              <w:t>2011</w:t>
            </w:r>
          </w:p>
        </w:tc>
        <w:tc>
          <w:tcPr>
            <w:tcW w:w="1540" w:type="dxa"/>
            <w:vAlign w:val="bottom"/>
          </w:tcPr>
          <w:p>
            <w:pPr>
              <w:jc w:val="right"/>
              <w:ind w:right="495"/>
              <w:spacing w:after="0"/>
              <w:rPr>
                <w:sz w:val="20"/>
                <w:szCs w:val="20"/>
                <w:color w:val="auto"/>
              </w:rPr>
            </w:pPr>
            <w:r>
              <w:rPr>
                <w:rFonts w:ascii="Arial" w:cs="Arial" w:eastAsia="Arial" w:hAnsi="Arial"/>
                <w:sz w:val="16"/>
                <w:szCs w:val="16"/>
                <w:b w:val="1"/>
                <w:bCs w:val="1"/>
                <w:color w:val="auto"/>
              </w:rPr>
              <w:t>2010</w:t>
            </w:r>
          </w:p>
        </w:tc>
        <w:tc>
          <w:tcPr>
            <w:tcW w:w="1800" w:type="dxa"/>
            <w:vAlign w:val="bottom"/>
          </w:tcPr>
          <w:p>
            <w:pPr>
              <w:jc w:val="right"/>
              <w:ind w:right="473"/>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5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40" w:type="dxa"/>
            <w:vAlign w:val="bottom"/>
            <w:gridSpan w:val="2"/>
          </w:tcPr>
          <w:p>
            <w:pPr>
              <w:jc w:val="right"/>
              <w:ind w:right="1033"/>
              <w:spacing w:after="0"/>
              <w:rPr>
                <w:sz w:val="20"/>
                <w:szCs w:val="20"/>
                <w:color w:val="auto"/>
              </w:rPr>
            </w:pPr>
            <w:r>
              <w:rPr>
                <w:rFonts w:ascii="Arial" w:cs="Arial" w:eastAsia="Arial" w:hAnsi="Arial"/>
                <w:sz w:val="16"/>
                <w:szCs w:val="16"/>
                <w:b w:val="1"/>
                <w:bCs w:val="1"/>
                <w:color w:val="auto"/>
              </w:rPr>
              <w:t>($ amounts in 000's)</w:t>
            </w: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9,207</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4,254</w:t>
            </w:r>
          </w:p>
        </w:tc>
        <w:tc>
          <w:tcPr>
            <w:tcW w:w="18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4,953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660" w:type="dxa"/>
            <w:vAlign w:val="bottom"/>
          </w:tcPr>
          <w:p>
            <w:pPr>
              <w:jc w:val="right"/>
              <w:ind w:right="215"/>
              <w:spacing w:after="0"/>
              <w:rPr>
                <w:sz w:val="20"/>
                <w:szCs w:val="20"/>
                <w:color w:val="auto"/>
              </w:rPr>
            </w:pPr>
            <w:r>
              <w:rPr>
                <w:rFonts w:ascii="Arial" w:cs="Arial" w:eastAsia="Arial" w:hAnsi="Arial"/>
                <w:sz w:val="18"/>
                <w:szCs w:val="18"/>
                <w:color w:val="auto"/>
              </w:rPr>
              <w:t>33.9</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23.3</w:t>
            </w:r>
          </w:p>
        </w:tc>
        <w:tc>
          <w:tcPr>
            <w:tcW w:w="1800" w:type="dxa"/>
            <w:vAlign w:val="bottom"/>
          </w:tcPr>
          <w:p>
            <w:pPr>
              <w:jc w:val="right"/>
              <w:ind w:right="233"/>
              <w:spacing w:after="0"/>
              <w:rPr>
                <w:sz w:val="20"/>
                <w:szCs w:val="20"/>
                <w:color w:val="auto"/>
              </w:rPr>
            </w:pPr>
            <w:r>
              <w:rPr>
                <w:rFonts w:ascii="Arial" w:cs="Arial" w:eastAsia="Arial" w:hAnsi="Arial"/>
                <w:sz w:val="18"/>
                <w:szCs w:val="18"/>
                <w:color w:val="auto"/>
              </w:rPr>
              <w:t>10.6</w:t>
            </w:r>
          </w:p>
        </w:tc>
        <w:tc>
          <w:tcPr>
            <w:tcW w:w="1360" w:type="dxa"/>
            <w:vAlign w:val="bottom"/>
          </w:tcPr>
          <w:p>
            <w:pPr>
              <w:jc w:val="right"/>
              <w:spacing w:after="0"/>
              <w:rPr>
                <w:sz w:val="20"/>
                <w:szCs w:val="20"/>
                <w:color w:val="auto"/>
              </w:rPr>
            </w:pPr>
            <w:r>
              <w:rPr>
                <w:rFonts w:ascii="Arial" w:cs="Arial" w:eastAsia="Arial" w:hAnsi="Arial"/>
                <w:sz w:val="18"/>
                <w:szCs w:val="18"/>
                <w:color w:val="auto"/>
              </w:rPr>
              <w:t>45.5</w:t>
            </w:r>
          </w:p>
        </w:tc>
      </w:tr>
    </w:tbl>
    <w:p>
      <w:pPr>
        <w:spacing w:after="0" w:line="22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effective tax rate was 33.9% for the three months ended September 30, 2011, compared with an effective tax rate of 23.3% for the three months ended September 30, 2010. The provision for income taxes for the three months ended September 30, 2011 is comprised of foreign income taxes, U.S. federal and state taxes, and withholding tax, and includes the benefit from adjustments in our intercompany transfer pricing associated with the benefit of stock options exercised by employees in various foreign subsidiaries. During the three months ended September 30, 2011 and September 30, 2010, we paid $0.3 million and $0.3 million in income taxes, respectively.</w:t>
      </w:r>
    </w:p>
    <w:p>
      <w:pPr>
        <w:spacing w:after="0" w:line="18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increase in the effective tax rate for the three months ended September 30, 2011, compared with the same period in the prior year, is attributable to adjusting the effective rate due to increased income during the quarter, as well as lower adjustments in our intercompany transfer pricing associated with the benefit of stock options exercised by employees in various foreign subsidiaries during the current quarter, which gave rise to a higher overall effective tax rate of 28.9% for the nine months ended September 30, 2011.</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41" w:right="2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2011 and September 30,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580"/>
              <w:spacing w:after="0"/>
              <w:rPr>
                <w:sz w:val="20"/>
                <w:szCs w:val="20"/>
                <w:color w:val="auto"/>
              </w:rPr>
            </w:pPr>
            <w:r>
              <w:rPr>
                <w:rFonts w:ascii="Arial" w:cs="Arial" w:eastAsia="Arial" w:hAnsi="Arial"/>
                <w:sz w:val="16"/>
                <w:szCs w:val="16"/>
                <w:b w:val="1"/>
                <w:bCs w:val="1"/>
                <w:color w:val="auto"/>
              </w:rPr>
              <w:t>Nine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760" w:type="dxa"/>
            <w:vAlign w:val="bottom"/>
            <w:gridSpan w:val="4"/>
          </w:tcPr>
          <w:p>
            <w:pPr>
              <w:ind w:left="620"/>
              <w:spacing w:after="0"/>
              <w:rPr>
                <w:sz w:val="20"/>
                <w:szCs w:val="20"/>
                <w:color w:val="auto"/>
              </w:rPr>
            </w:pPr>
            <w:r>
              <w:rPr>
                <w:rFonts w:ascii="Arial" w:cs="Arial" w:eastAsia="Arial" w:hAnsi="Arial"/>
                <w:sz w:val="16"/>
                <w:szCs w:val="16"/>
                <w:b w:val="1"/>
                <w:bCs w:val="1"/>
                <w:color w:val="auto"/>
              </w:rPr>
              <w:t>September 30, 2011</w:t>
            </w:r>
          </w:p>
        </w:tc>
        <w:tc>
          <w:tcPr>
            <w:tcW w:w="2740" w:type="dxa"/>
            <w:vAlign w:val="bottom"/>
            <w:gridSpan w:val="4"/>
          </w:tcPr>
          <w:p>
            <w:pPr>
              <w:ind w:left="600"/>
              <w:spacing w:after="0"/>
              <w:rPr>
                <w:sz w:val="20"/>
                <w:szCs w:val="20"/>
                <w:color w:val="auto"/>
              </w:rPr>
            </w:pPr>
            <w:r>
              <w:rPr>
                <w:rFonts w:ascii="Arial" w:cs="Arial" w:eastAsia="Arial" w:hAnsi="Arial"/>
                <w:sz w:val="16"/>
                <w:szCs w:val="16"/>
                <w:b w:val="1"/>
                <w:bCs w:val="1"/>
                <w:color w:val="auto"/>
              </w:rPr>
              <w:t>September 30, 2010</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151"/>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1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540"/>
              <w:spacing w:after="0"/>
              <w:rPr>
                <w:sz w:val="20"/>
                <w:szCs w:val="20"/>
                <w:color w:val="auto"/>
              </w:rPr>
            </w:pPr>
            <w:r>
              <w:rPr>
                <w:rFonts w:ascii="Arial" w:cs="Arial" w:eastAsia="Arial" w:hAnsi="Arial"/>
                <w:sz w:val="16"/>
                <w:szCs w:val="16"/>
                <w:b w:val="1"/>
                <w:bCs w:val="1"/>
                <w:color w:val="auto"/>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139,945</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94,060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45,885</w:t>
            </w:r>
          </w:p>
        </w:tc>
        <w:tc>
          <w:tcPr>
            <w:tcW w:w="136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159,192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124,116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35,076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13,578</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12,921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657</w:t>
            </w:r>
          </w:p>
        </w:tc>
        <w:tc>
          <w:tcPr>
            <w:tcW w:w="1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312,715</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231,097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81,618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3"/>
        </w:trPr>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Americas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126,214</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88,103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38,111</w:t>
            </w:r>
          </w:p>
        </w:tc>
        <w:tc>
          <w:tcPr>
            <w:tcW w:w="136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EMEA</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108,216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85,482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22,734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APAC</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78,285</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57,512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20,773</w:t>
            </w:r>
          </w:p>
        </w:tc>
        <w:tc>
          <w:tcPr>
            <w:tcW w:w="136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312,715</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231,097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81,618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revenue increased $81.6 million, or 35.3%, in the nine months ended September 30, 2011 compared to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2010, with all three regions growing over the prior year. The adoption of the new revenue recognition rules, described in the notes to our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contributed $14.1 million of the increase, and the sale of previously-acquired patents contributed $2.6 million of the increase. Product revenue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$45.9 million, or 48.8%, compared to the nine months ended September 30, 2010. The increase in product revenue was primarily driven strong growth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mid-range and high-end product lines from increased sales to enterprise and service provider customers. Services revenue increased $35.1 million, or 28.3%,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nine months ended September 30, 2011 compared to the nine months ended September 30, 2010, due to recognition of revenue from our growing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balance consisting of subscription and support contracts sold to a larger customer base. The increase in ratable and other revenue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revenue recognized from a $2.6 million sale of previously-acquired patents, offset by a $1.9 million decline in amortization of ratable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revenue due to the above-mentioned adoption of new revenue recognition rules.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420" w:type="dxa"/>
            <w:vAlign w:val="bottom"/>
            <w:gridSpan w:val="4"/>
          </w:tcPr>
          <w:p>
            <w:pPr>
              <w:ind w:left="920"/>
              <w:spacing w:after="0"/>
              <w:rPr>
                <w:sz w:val="20"/>
                <w:szCs w:val="20"/>
                <w:color w:val="auto"/>
              </w:rPr>
            </w:pPr>
            <w:r>
              <w:rPr>
                <w:rFonts w:ascii="Arial" w:cs="Arial" w:eastAsia="Arial" w:hAnsi="Arial"/>
                <w:sz w:val="16"/>
                <w:szCs w:val="16"/>
                <w:b w:val="1"/>
                <w:bCs w:val="1"/>
                <w:color w:val="auto"/>
              </w:rPr>
              <w:t>Nine Months Ended</w:t>
            </w: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9"/>
        </w:trPr>
        <w:tc>
          <w:tcPr>
            <w:tcW w:w="502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2011</w:t>
            </w:r>
          </w:p>
        </w:tc>
        <w:tc>
          <w:tcPr>
            <w:tcW w:w="24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rPr>
              <w:t>$ Change</w:t>
            </w:r>
          </w:p>
        </w:tc>
        <w:tc>
          <w:tcPr>
            <w:tcW w:w="156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3"/>
          </w:tcPr>
          <w:p>
            <w:pPr>
              <w:jc w:val="right"/>
              <w:ind w:right="811"/>
              <w:spacing w:after="0"/>
              <w:rPr>
                <w:sz w:val="20"/>
                <w:szCs w:val="20"/>
                <w:color w:val="auto"/>
              </w:rPr>
            </w:pPr>
            <w:r>
              <w:rPr>
                <w:rFonts w:ascii="Arial" w:cs="Arial" w:eastAsia="Arial" w:hAnsi="Arial"/>
                <w:sz w:val="16"/>
                <w:szCs w:val="16"/>
                <w:b w:val="1"/>
                <w:bCs w:val="1"/>
                <w:color w:val="auto"/>
              </w:rPr>
              <w:t>($ amounts in 000's)</w:t>
            </w:r>
          </w:p>
        </w:tc>
        <w:tc>
          <w:tcPr>
            <w:tcW w:w="15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Product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51,272</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36,399</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14,873</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40.9</w:t>
            </w: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25,815</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19,851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5,964</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4,026</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4,733</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(707)</w:t>
            </w:r>
          </w:p>
        </w:tc>
        <w:tc>
          <w:tcPr>
            <w:tcW w:w="15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81,113</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60,983</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20,130</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w:t>
            </w: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3"/>
        </w:trPr>
        <w:tc>
          <w:tcPr>
            <w:tcW w:w="5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Product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5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70.3</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5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74.1</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73.6</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560" w:type="dxa"/>
            <w:vAlign w:val="bottom"/>
            <w:shd w:val="clear" w:color="auto" w:fill="CCEEFF"/>
          </w:tcPr>
          <w:p>
            <w:pPr>
              <w:spacing w:after="0"/>
              <w:rPr>
                <w:sz w:val="21"/>
                <w:szCs w:val="21"/>
                <w:color w:val="auto"/>
              </w:rPr>
            </w:pPr>
          </w:p>
        </w:tc>
      </w:tr>
      <w:tr>
        <w:trPr>
          <w:trHeight w:val="27"/>
        </w:trPr>
        <w:tc>
          <w:tcPr>
            <w:tcW w:w="50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Total gross margin improved by 0.5 percentage points in the nine months ended September 30, 2011 compared to the nine months ended September 30, 2010 due to improved product gross margins, which increased 2.1 percentage points, but were significantly offset by an increase of product revenue in the overall revenue mix, which reduces the overall gross margin. Product gross margin increased 2.1 percentage points in the nine months ended September 30, 2011 compared to the nine months ended September 30, 2010 due to a greater mix of mid-range and high-end products. From time to time, we have</w:t>
      </w:r>
    </w:p>
    <w:p>
      <w:pPr>
        <w:sectPr>
          <w:pgSz w:w="11900" w:h="16838" w:orient="portrait"/>
          <w:cols w:equalWidth="0" w:num="1">
            <w:col w:w="11420"/>
          </w:cols>
          <w:pgMar w:left="240" w:top="34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41"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experienced sales of previously reserved inventory. During the nine months ended September 30, 2011, we experienced a positive impact of 0.4 percentage points due to the sale of fully reserved inventory compared to a positive impact of 0.6 percentage points in the same period prior year. Services gross margin remained relatively flat. Services cost increased by $6.0 million primarily due to $4.5 million of higher cash-based personnel costs, an increase in professional services of $0.6 million and an increase in supplies and warranty expenses of $0.5 million. In addition, stock-based compensation increased $0.4 million. Ratable and other revenue gross margin increased 6.9 percentage points, primarily as a result of a $2.6 million sale of previously-acquired patents during the third quarter of 2011, which had a direct positive impact to gross margin.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580"/>
              <w:spacing w:after="0"/>
              <w:rPr>
                <w:sz w:val="20"/>
                <w:szCs w:val="20"/>
                <w:color w:val="auto"/>
              </w:rPr>
            </w:pPr>
            <w:r>
              <w:rPr>
                <w:rFonts w:ascii="Arial" w:cs="Arial" w:eastAsia="Arial" w:hAnsi="Arial"/>
                <w:sz w:val="16"/>
                <w:szCs w:val="16"/>
                <w:b w:val="1"/>
                <w:bCs w:val="1"/>
                <w:color w:val="auto"/>
              </w:rPr>
              <w:t>Nine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760" w:type="dxa"/>
            <w:vAlign w:val="bottom"/>
            <w:gridSpan w:val="4"/>
          </w:tcPr>
          <w:p>
            <w:pPr>
              <w:ind w:left="620"/>
              <w:spacing w:after="0"/>
              <w:rPr>
                <w:sz w:val="20"/>
                <w:szCs w:val="20"/>
                <w:color w:val="auto"/>
              </w:rPr>
            </w:pPr>
            <w:r>
              <w:rPr>
                <w:rFonts w:ascii="Arial" w:cs="Arial" w:eastAsia="Arial" w:hAnsi="Arial"/>
                <w:sz w:val="16"/>
                <w:szCs w:val="16"/>
                <w:b w:val="1"/>
                <w:bCs w:val="1"/>
                <w:color w:val="auto"/>
              </w:rPr>
              <w:t>September 30, 2011</w:t>
            </w:r>
          </w:p>
        </w:tc>
        <w:tc>
          <w:tcPr>
            <w:tcW w:w="2740" w:type="dxa"/>
            <w:vAlign w:val="bottom"/>
            <w:gridSpan w:val="4"/>
          </w:tcPr>
          <w:p>
            <w:pPr>
              <w:ind w:left="600"/>
              <w:spacing w:after="0"/>
              <w:rPr>
                <w:sz w:val="20"/>
                <w:szCs w:val="20"/>
                <w:color w:val="auto"/>
              </w:rPr>
            </w:pPr>
            <w:r>
              <w:rPr>
                <w:rFonts w:ascii="Arial" w:cs="Arial" w:eastAsia="Arial" w:hAnsi="Arial"/>
                <w:sz w:val="16"/>
                <w:szCs w:val="16"/>
                <w:b w:val="1"/>
                <w:bCs w:val="1"/>
                <w:color w:val="auto"/>
              </w:rPr>
              <w:t>September 30, 2010</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152"/>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1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540"/>
              <w:spacing w:after="0"/>
              <w:rPr>
                <w:sz w:val="20"/>
                <w:szCs w:val="20"/>
                <w:color w:val="auto"/>
              </w:rPr>
            </w:pPr>
            <w:r>
              <w:rPr>
                <w:rFonts w:ascii="Arial" w:cs="Arial" w:eastAsia="Arial" w:hAnsi="Arial"/>
                <w:sz w:val="16"/>
                <w:szCs w:val="16"/>
                <w:b w:val="1"/>
                <w:bCs w:val="1"/>
                <w:color w:val="auto"/>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47,197</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36,999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10,198</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27.6</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105,548</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81,487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24,061</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16,473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16,985</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w:t>
            </w: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169,218</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135,471</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33,747</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Research and development expense increased $10.2 million, or 27.6%, in the nine months ended September 30, 2011 compared to the nine months ended September 30, 2010, primarily due to an increase of $7.6 million in cash-based personnel costs as a result of increased headcount to support the development of new products and continued enhancements of our existing products. In addition, we incurred stock-based compensation expense of $1.2 million, product development expenses of $0.5 million, depreciation expense of $0.4 million, other operating expenses of $0.3 million and occupancy-related costs of $0.1. A 7.0% year-over-year increase in the Canadian dollar exchange rate against the US dollar also significantly contributed to the increase in research and development expense, as a majority of our research and development personnel are located in Canada.</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Sales and marketing expense increased $24.1 million, or 29.5%, in the nine months ended September 30, 2011 compared to the nine months ended September 30, 2010 as we continued to increase our sales headcount in order to expand our global footprint. The increase consisted of $15.8 million in higher cash-based personnel costs based on increased headcount, a $3.5 million increase in stock-based compensation expense, a $1.7 million increase in marketing-related expenses, a $1.4 million increase in travel expenses, a $1.2 million increase in professional services, supplies and other expenses, and a $0.5 million increase in occupancy-related costs. A 6.0% year-over-year increase in the Euro exchange rate against the US dollar also contributed to the increase in sales and marketing expense. As a percentage of revenue, sales and marketing expenses decreased 1.5 percentage points due to the leverage we are achieving from the investment in our sales force during the past year, as evidenced by our revenue growth of 35.3% exceeding our sales and marketing expenses growth of 29.5%.</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the nine months ended September 30, 2011, general and administrative expense decreased $0.5 million, or 3.0%, compared to the nine months ended September 30, 2010. The decrease was due to the recording of $1.5 million in patent settlement income, a $0.9 million decrease in legal fees, a $0.2 million decrease in accounting-related expenses, partially offset by a $1.5 million increase in cash-based personnel costs and stock-based compensation of $0.6 million as a result of increased headcount.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200" w:type="dxa"/>
            <w:vAlign w:val="bottom"/>
            <w:gridSpan w:val="2"/>
          </w:tcPr>
          <w:p>
            <w:pPr>
              <w:jc w:val="right"/>
              <w:ind w:right="815"/>
              <w:spacing w:after="0"/>
              <w:rPr>
                <w:sz w:val="20"/>
                <w:szCs w:val="20"/>
                <w:color w:val="auto"/>
              </w:rPr>
            </w:pPr>
            <w:r>
              <w:rPr>
                <w:rFonts w:ascii="Arial" w:cs="Arial" w:eastAsia="Arial" w:hAnsi="Arial"/>
                <w:sz w:val="16"/>
                <w:szCs w:val="16"/>
                <w:b w:val="1"/>
                <w:bCs w:val="1"/>
                <w:color w:val="auto"/>
              </w:rPr>
              <w:t>Nine Months Ended</w:t>
            </w:r>
          </w:p>
        </w:tc>
        <w:tc>
          <w:tcPr>
            <w:tcW w:w="1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5020" w:type="dxa"/>
            <w:vAlign w:val="bottom"/>
          </w:tcPr>
          <w:p>
            <w:pPr>
              <w:spacing w:after="0"/>
              <w:rPr>
                <w:sz w:val="18"/>
                <w:szCs w:val="18"/>
                <w:color w:val="auto"/>
              </w:rPr>
            </w:pPr>
          </w:p>
        </w:tc>
        <w:tc>
          <w:tcPr>
            <w:tcW w:w="1680" w:type="dxa"/>
            <w:vAlign w:val="bottom"/>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tcPr>
          <w:p>
            <w:pPr>
              <w:jc w:val="right"/>
              <w:ind w:right="195"/>
              <w:spacing w:after="0"/>
              <w:rPr>
                <w:sz w:val="20"/>
                <w:szCs w:val="20"/>
                <w:color w:val="auto"/>
              </w:rPr>
            </w:pPr>
            <w:r>
              <w:rPr>
                <w:rFonts w:ascii="Arial" w:cs="Arial" w:eastAsia="Arial" w:hAnsi="Arial"/>
                <w:sz w:val="16"/>
                <w:szCs w:val="16"/>
                <w:b w:val="1"/>
                <w:bCs w:val="1"/>
                <w:color w:val="auto"/>
              </w:rPr>
              <w:t>September 30,</w:t>
            </w:r>
          </w:p>
        </w:tc>
        <w:tc>
          <w:tcPr>
            <w:tcW w:w="1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680" w:type="dxa"/>
            <w:vAlign w:val="bottom"/>
          </w:tcPr>
          <w:p>
            <w:pPr>
              <w:jc w:val="right"/>
              <w:ind w:right="695"/>
              <w:spacing w:after="0"/>
              <w:rPr>
                <w:sz w:val="20"/>
                <w:szCs w:val="20"/>
                <w:color w:val="auto"/>
              </w:rPr>
            </w:pPr>
            <w:r>
              <w:rPr>
                <w:rFonts w:ascii="Arial" w:cs="Arial" w:eastAsia="Arial" w:hAnsi="Arial"/>
                <w:sz w:val="16"/>
                <w:szCs w:val="16"/>
                <w:b w:val="1"/>
                <w:bCs w:val="1"/>
                <w:color w:val="auto"/>
              </w:rPr>
              <w:t>2011</w:t>
            </w:r>
          </w:p>
        </w:tc>
        <w:tc>
          <w:tcPr>
            <w:tcW w:w="1520" w:type="dxa"/>
            <w:vAlign w:val="bottom"/>
          </w:tcPr>
          <w:p>
            <w:pPr>
              <w:jc w:val="right"/>
              <w:ind w:right="495"/>
              <w:spacing w:after="0"/>
              <w:rPr>
                <w:sz w:val="20"/>
                <w:szCs w:val="20"/>
                <w:color w:val="auto"/>
              </w:rPr>
            </w:pPr>
            <w:r>
              <w:rPr>
                <w:rFonts w:ascii="Arial" w:cs="Arial" w:eastAsia="Arial" w:hAnsi="Arial"/>
                <w:sz w:val="16"/>
                <w:szCs w:val="16"/>
                <w:b w:val="1"/>
                <w:bCs w:val="1"/>
                <w:color w:val="auto"/>
              </w:rPr>
              <w:t>2010</w:t>
            </w:r>
          </w:p>
        </w:tc>
        <w:tc>
          <w:tcPr>
            <w:tcW w:w="178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00" w:type="dxa"/>
            <w:vAlign w:val="bottom"/>
            <w:gridSpan w:val="2"/>
          </w:tcPr>
          <w:p>
            <w:pPr>
              <w:jc w:val="right"/>
              <w:ind w:right="1013"/>
              <w:spacing w:after="0"/>
              <w:rPr>
                <w:sz w:val="20"/>
                <w:szCs w:val="20"/>
                <w:color w:val="auto"/>
              </w:rPr>
            </w:pPr>
            <w:r>
              <w:rPr>
                <w:rFonts w:ascii="Arial" w:cs="Arial" w:eastAsia="Arial" w:hAnsi="Arial"/>
                <w:sz w:val="16"/>
                <w:szCs w:val="16"/>
                <w:b w:val="1"/>
                <w:bCs w:val="1"/>
                <w:color w:val="auto"/>
              </w:rPr>
              <w:t>($ amounts in 000's)</w:t>
            </w:r>
          </w:p>
        </w:tc>
        <w:tc>
          <w:tcPr>
            <w:tcW w:w="13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2,560</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1,181</w:t>
            </w:r>
          </w:p>
        </w:tc>
        <w:tc>
          <w:tcPr>
            <w:tcW w:w="17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1,379</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116.8</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680" w:type="dxa"/>
            <w:vAlign w:val="bottom"/>
          </w:tcPr>
          <w:p>
            <w:pPr>
              <w:jc w:val="right"/>
              <w:ind w:right="175"/>
              <w:spacing w:after="0"/>
              <w:rPr>
                <w:sz w:val="20"/>
                <w:szCs w:val="20"/>
                <w:color w:val="auto"/>
              </w:rPr>
            </w:pPr>
            <w:r>
              <w:rPr>
                <w:rFonts w:ascii="Arial" w:cs="Arial" w:eastAsia="Arial" w:hAnsi="Arial"/>
                <w:sz w:val="18"/>
                <w:szCs w:val="18"/>
                <w:color w:val="auto"/>
              </w:rPr>
              <w:t>(242)</w:t>
            </w:r>
          </w:p>
        </w:tc>
        <w:tc>
          <w:tcPr>
            <w:tcW w:w="1520" w:type="dxa"/>
            <w:vAlign w:val="bottom"/>
          </w:tcPr>
          <w:p>
            <w:pPr>
              <w:jc w:val="right"/>
              <w:spacing w:after="0"/>
              <w:rPr>
                <w:sz w:val="20"/>
                <w:szCs w:val="20"/>
                <w:color w:val="auto"/>
              </w:rPr>
            </w:pPr>
            <w:r>
              <w:rPr>
                <w:rFonts w:ascii="Arial" w:cs="Arial" w:eastAsia="Arial" w:hAnsi="Arial"/>
                <w:sz w:val="18"/>
                <w:szCs w:val="18"/>
                <w:color w:val="auto"/>
              </w:rPr>
              <w:t>(565)</w:t>
            </w:r>
          </w:p>
        </w:tc>
        <w:tc>
          <w:tcPr>
            <w:tcW w:w="1780" w:type="dxa"/>
            <w:vAlign w:val="bottom"/>
          </w:tcPr>
          <w:p>
            <w:pPr>
              <w:jc w:val="right"/>
              <w:ind w:right="213"/>
              <w:spacing w:after="0"/>
              <w:rPr>
                <w:sz w:val="20"/>
                <w:szCs w:val="20"/>
                <w:color w:val="auto"/>
              </w:rPr>
            </w:pPr>
            <w:r>
              <w:rPr>
                <w:rFonts w:ascii="Arial" w:cs="Arial" w:eastAsia="Arial" w:hAnsi="Arial"/>
                <w:sz w:val="18"/>
                <w:szCs w:val="18"/>
                <w:color w:val="auto"/>
              </w:rPr>
              <w:t>323</w:t>
            </w:r>
          </w:p>
        </w:tc>
        <w:tc>
          <w:tcPr>
            <w:tcW w:w="1360" w:type="dxa"/>
            <w:vAlign w:val="bottom"/>
          </w:tcPr>
          <w:p>
            <w:pPr>
              <w:jc w:val="right"/>
              <w:spacing w:after="0"/>
              <w:rPr>
                <w:sz w:val="20"/>
                <w:szCs w:val="20"/>
                <w:color w:val="auto"/>
              </w:rPr>
            </w:pPr>
            <w:r>
              <w:rPr>
                <w:rFonts w:ascii="Arial" w:cs="Arial" w:eastAsia="Arial" w:hAnsi="Arial"/>
                <w:sz w:val="18"/>
                <w:szCs w:val="18"/>
                <w:color w:val="auto"/>
              </w:rPr>
              <w:t>(57.2)</w:t>
            </w:r>
          </w:p>
        </w:tc>
      </w:tr>
    </w:tbl>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$1.4 million increase in interest income in the nine months ended September 30, 2011 compared to the nine months ended September 30, 2010 was due to higher balances of cash, cash equivalents and investments. The change in other income (expense), net for the nine months ended September 30, 2011 when compared to the nine months ended September 30, 2010 was the result of lower foreign exchange losses in the first nine months of 2011 compared to the first nine months of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200" w:type="dxa"/>
            <w:vAlign w:val="bottom"/>
            <w:gridSpan w:val="2"/>
          </w:tcPr>
          <w:p>
            <w:pPr>
              <w:jc w:val="right"/>
              <w:ind w:right="815"/>
              <w:spacing w:after="0"/>
              <w:rPr>
                <w:sz w:val="20"/>
                <w:szCs w:val="20"/>
                <w:color w:val="auto"/>
              </w:rPr>
            </w:pPr>
            <w:r>
              <w:rPr>
                <w:rFonts w:ascii="Arial" w:cs="Arial" w:eastAsia="Arial" w:hAnsi="Arial"/>
                <w:sz w:val="16"/>
                <w:szCs w:val="16"/>
                <w:b w:val="1"/>
                <w:bCs w:val="1"/>
                <w:color w:val="auto"/>
              </w:rPr>
              <w:t>Nine Months Ended</w:t>
            </w:r>
          </w:p>
        </w:tc>
        <w:tc>
          <w:tcPr>
            <w:tcW w:w="1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5020" w:type="dxa"/>
            <w:vAlign w:val="bottom"/>
          </w:tcPr>
          <w:p>
            <w:pPr>
              <w:spacing w:after="0"/>
              <w:rPr>
                <w:sz w:val="18"/>
                <w:szCs w:val="18"/>
                <w:color w:val="auto"/>
              </w:rPr>
            </w:pPr>
          </w:p>
        </w:tc>
        <w:tc>
          <w:tcPr>
            <w:tcW w:w="1660" w:type="dxa"/>
            <w:vAlign w:val="bottom"/>
          </w:tcPr>
          <w:p>
            <w:pPr>
              <w:jc w:val="right"/>
              <w:ind w:right="355"/>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tcPr>
          <w:p>
            <w:pPr>
              <w:jc w:val="right"/>
              <w:ind w:right="195"/>
              <w:spacing w:after="0"/>
              <w:rPr>
                <w:sz w:val="20"/>
                <w:szCs w:val="20"/>
                <w:color w:val="auto"/>
              </w:rPr>
            </w:pPr>
            <w:r>
              <w:rPr>
                <w:rFonts w:ascii="Arial" w:cs="Arial" w:eastAsia="Arial" w:hAnsi="Arial"/>
                <w:sz w:val="16"/>
                <w:szCs w:val="16"/>
                <w:b w:val="1"/>
                <w:bCs w:val="1"/>
                <w:color w:val="auto"/>
              </w:rPr>
              <w:t>September 30,</w:t>
            </w:r>
          </w:p>
        </w:tc>
        <w:tc>
          <w:tcPr>
            <w:tcW w:w="1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660" w:type="dxa"/>
            <w:vAlign w:val="bottom"/>
          </w:tcPr>
          <w:p>
            <w:pPr>
              <w:jc w:val="right"/>
              <w:ind w:right="675"/>
              <w:spacing w:after="0"/>
              <w:rPr>
                <w:sz w:val="20"/>
                <w:szCs w:val="20"/>
                <w:color w:val="auto"/>
              </w:rPr>
            </w:pPr>
            <w:r>
              <w:rPr>
                <w:rFonts w:ascii="Arial" w:cs="Arial" w:eastAsia="Arial" w:hAnsi="Arial"/>
                <w:sz w:val="16"/>
                <w:szCs w:val="16"/>
                <w:b w:val="1"/>
                <w:bCs w:val="1"/>
                <w:color w:val="auto"/>
              </w:rPr>
              <w:t>2011</w:t>
            </w:r>
          </w:p>
        </w:tc>
        <w:tc>
          <w:tcPr>
            <w:tcW w:w="1540" w:type="dxa"/>
            <w:vAlign w:val="bottom"/>
          </w:tcPr>
          <w:p>
            <w:pPr>
              <w:jc w:val="right"/>
              <w:ind w:right="495"/>
              <w:spacing w:after="0"/>
              <w:rPr>
                <w:sz w:val="20"/>
                <w:szCs w:val="20"/>
                <w:color w:val="auto"/>
              </w:rPr>
            </w:pPr>
            <w:r>
              <w:rPr>
                <w:rFonts w:ascii="Arial" w:cs="Arial" w:eastAsia="Arial" w:hAnsi="Arial"/>
                <w:sz w:val="16"/>
                <w:szCs w:val="16"/>
                <w:b w:val="1"/>
                <w:bCs w:val="1"/>
                <w:color w:val="auto"/>
              </w:rPr>
              <w:t>2010</w:t>
            </w:r>
          </w:p>
        </w:tc>
        <w:tc>
          <w:tcPr>
            <w:tcW w:w="178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20" w:type="dxa"/>
            <w:vAlign w:val="bottom"/>
            <w:gridSpan w:val="2"/>
          </w:tcPr>
          <w:p>
            <w:pPr>
              <w:jc w:val="right"/>
              <w:ind w:right="1013"/>
              <w:spacing w:after="0"/>
              <w:rPr>
                <w:sz w:val="20"/>
                <w:szCs w:val="20"/>
                <w:color w:val="auto"/>
              </w:rPr>
            </w:pPr>
            <w:r>
              <w:rPr>
                <w:rFonts w:ascii="Arial" w:cs="Arial" w:eastAsia="Arial" w:hAnsi="Arial"/>
                <w:sz w:val="16"/>
                <w:szCs w:val="16"/>
                <w:b w:val="1"/>
                <w:bCs w:val="1"/>
                <w:color w:val="auto"/>
              </w:rPr>
              <w:t>($ amounts in 000's)</w:t>
            </w:r>
          </w:p>
        </w:tc>
        <w:tc>
          <w:tcPr>
            <w:tcW w:w="13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18,704</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10,155</w:t>
            </w:r>
          </w:p>
        </w:tc>
        <w:tc>
          <w:tcPr>
            <w:tcW w:w="17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8,549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660" w:type="dxa"/>
            <w:vAlign w:val="bottom"/>
          </w:tcPr>
          <w:p>
            <w:pPr>
              <w:jc w:val="right"/>
              <w:ind w:right="215"/>
              <w:spacing w:after="0"/>
              <w:rPr>
                <w:sz w:val="20"/>
                <w:szCs w:val="20"/>
                <w:color w:val="auto"/>
              </w:rPr>
            </w:pPr>
            <w:r>
              <w:rPr>
                <w:rFonts w:ascii="Arial" w:cs="Arial" w:eastAsia="Arial" w:hAnsi="Arial"/>
                <w:sz w:val="18"/>
                <w:szCs w:val="18"/>
                <w:color w:val="auto"/>
              </w:rPr>
              <w:t>28.9</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28.8</w:t>
            </w:r>
          </w:p>
        </w:tc>
        <w:tc>
          <w:tcPr>
            <w:tcW w:w="1780" w:type="dxa"/>
            <w:vAlign w:val="bottom"/>
          </w:tcPr>
          <w:p>
            <w:pPr>
              <w:jc w:val="right"/>
              <w:ind w:right="213"/>
              <w:spacing w:after="0"/>
              <w:rPr>
                <w:sz w:val="20"/>
                <w:szCs w:val="20"/>
                <w:color w:val="auto"/>
              </w:rPr>
            </w:pPr>
            <w:r>
              <w:rPr>
                <w:rFonts w:ascii="Arial" w:cs="Arial" w:eastAsia="Arial" w:hAnsi="Arial"/>
                <w:sz w:val="18"/>
                <w:szCs w:val="18"/>
                <w:color w:val="auto"/>
              </w:rPr>
              <w:t>0.1</w:t>
            </w: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22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effective tax rate was 28.9% for the nine months ended September 30, 2011, compared with an effective tax rate of 28.8% for the nine months ended September 30, 2010. The provision for income taxes for the nine months ended September 30, 2011 was comprised of foreign income taxes, U.S. federal and state taxes, and withholding tax. During the nine months ended September 30, 2011 and 2010, we received a refund of $0.7 million and paid $1.5 million in income taxes,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0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5"/>
              </w:rPr>
              <w:t>2010</w:t>
            </w:r>
          </w:p>
        </w:tc>
      </w:tr>
      <w:tr>
        <w:trPr>
          <w:trHeight w:val="33"/>
        </w:trPr>
        <w:tc>
          <w:tcPr>
            <w:tcW w:w="800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r>
      <w:tr>
        <w:trPr>
          <w:trHeight w:val="217"/>
        </w:trPr>
        <w:tc>
          <w:tcPr>
            <w:tcW w:w="8000" w:type="dxa"/>
            <w:vAlign w:val="bottom"/>
          </w:tcPr>
          <w:p>
            <w:pPr>
              <w:spacing w:after="0"/>
              <w:rPr>
                <w:sz w:val="18"/>
                <w:szCs w:val="18"/>
                <w:color w:val="auto"/>
              </w:rPr>
            </w:pPr>
          </w:p>
        </w:tc>
        <w:tc>
          <w:tcPr>
            <w:tcW w:w="3420" w:type="dxa"/>
            <w:vAlign w:val="bottom"/>
            <w:gridSpan w:val="3"/>
          </w:tcPr>
          <w:p>
            <w:pPr>
              <w:jc w:val="right"/>
              <w:ind w:right="913"/>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66,630</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66,859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436,337</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320,601</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502,967</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387,460</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63"/>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252,259</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201,776</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62"/>
        </w:trPr>
        <w:tc>
          <w:tcPr>
            <w:tcW w:w="8000" w:type="dxa"/>
            <w:vAlign w:val="bottom"/>
          </w:tcPr>
          <w:p>
            <w:pPr>
              <w:spacing w:after="0"/>
              <w:rPr>
                <w:sz w:val="24"/>
                <w:szCs w:val="24"/>
                <w:color w:val="auto"/>
              </w:rPr>
            </w:pPr>
          </w:p>
        </w:tc>
        <w:tc>
          <w:tcPr>
            <w:tcW w:w="3420" w:type="dxa"/>
            <w:vAlign w:val="bottom"/>
            <w:gridSpan w:val="3"/>
          </w:tcPr>
          <w:p>
            <w:pPr>
              <w:jc w:val="right"/>
              <w:ind w:right="91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80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800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80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5"/>
              </w:rPr>
              <w:t>2010</w:t>
            </w:r>
          </w:p>
        </w:tc>
      </w:tr>
      <w:tr>
        <w:trPr>
          <w:trHeight w:val="33"/>
        </w:trPr>
        <w:tc>
          <w:tcPr>
            <w:tcW w:w="800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r>
      <w:tr>
        <w:trPr>
          <w:trHeight w:val="217"/>
        </w:trPr>
        <w:tc>
          <w:tcPr>
            <w:tcW w:w="8000" w:type="dxa"/>
            <w:vAlign w:val="bottom"/>
          </w:tcPr>
          <w:p>
            <w:pPr>
              <w:spacing w:after="0"/>
              <w:rPr>
                <w:sz w:val="18"/>
                <w:szCs w:val="18"/>
                <w:color w:val="auto"/>
              </w:rPr>
            </w:pPr>
          </w:p>
        </w:tc>
        <w:tc>
          <w:tcPr>
            <w:tcW w:w="3420" w:type="dxa"/>
            <w:vAlign w:val="bottom"/>
            <w:gridSpan w:val="3"/>
          </w:tcPr>
          <w:p>
            <w:pPr>
              <w:jc w:val="right"/>
              <w:ind w:right="913"/>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110,283</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71,959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1620" w:type="dxa"/>
            <w:vAlign w:val="bottom"/>
          </w:tcPr>
          <w:p>
            <w:pPr>
              <w:jc w:val="right"/>
              <w:spacing w:after="0"/>
              <w:rPr>
                <w:sz w:val="20"/>
                <w:szCs w:val="20"/>
                <w:color w:val="auto"/>
              </w:rPr>
            </w:pPr>
            <w:r>
              <w:rPr>
                <w:rFonts w:ascii="Arial" w:cs="Arial" w:eastAsia="Arial" w:hAnsi="Arial"/>
                <w:sz w:val="18"/>
                <w:szCs w:val="18"/>
                <w:color w:val="auto"/>
              </w:rPr>
              <w:t>(132,837)</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(234,802)</w:t>
            </w: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23,282</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27,211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620" w:type="dxa"/>
            <w:vAlign w:val="bottom"/>
          </w:tcPr>
          <w:p>
            <w:pPr>
              <w:jc w:val="right"/>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313</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(135,319)</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At September 30, 2011, our cash, cash equivalents and investments of $503.0 million were invested primarily in money market funds, commercial paper, corporate debt securities, municipal bonds, term deposits and U.S. government and agency debt securities. We do not enter into investments for trading or speculative purposes. We believe that our cash from operations together with existing cash and cash equivalents will be sufficient to meet our anticipated cash needs for at least the next 12 months. Our future capital requirements will depend on many factors including our growth rate, the timing and extent of spending necessary to support development efforts, the expansion of sales and marketing activities, the introduction of new and enhanced products and services offerings, the costs to ensure the continuing market acceptance of our products, and any capital</w:t>
      </w:r>
    </w:p>
    <w:p>
      <w:pPr>
        <w:sectPr>
          <w:pgSz w:w="11900" w:h="16838" w:orient="portrait"/>
          <w:cols w:equalWidth="0" w:num="1">
            <w:col w:w="11420"/>
          </w:cols>
          <w:pgMar w:left="240" w:top="341"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41"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acquisitions. In the event that additional financing is required from outside sources, we may not be able to raise it on terms acceptable to us or at all. If we were unable to raise additional capital when desired, our business, operating results and financial condition would be adversely affected.</w:t>
      </w:r>
    </w:p>
    <w:p>
      <w:pPr>
        <w:spacing w:after="0" w:line="107"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3020" w:type="dxa"/>
            <w:vAlign w:val="bottom"/>
            <w:gridSpan w:val="3"/>
          </w:tcPr>
          <w:p>
            <w:pPr>
              <w:jc w:val="right"/>
              <w:ind w:right="73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2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tcPr>
          <w:p>
            <w:pPr>
              <w:jc w:val="right"/>
              <w:ind w:right="15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7820" w:type="dxa"/>
            <w:vAlign w:val="bottom"/>
          </w:tcPr>
          <w:p>
            <w:pPr>
              <w:spacing w:after="0"/>
              <w:rPr>
                <w:sz w:val="18"/>
                <w:szCs w:val="18"/>
                <w:color w:val="auto"/>
              </w:rPr>
            </w:pPr>
          </w:p>
        </w:tc>
        <w:tc>
          <w:tcPr>
            <w:tcW w:w="14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4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20" w:type="dxa"/>
            <w:vAlign w:val="bottom"/>
          </w:tcPr>
          <w:p>
            <w:pPr>
              <w:spacing w:after="0"/>
              <w:rPr>
                <w:sz w:val="18"/>
                <w:szCs w:val="18"/>
                <w:color w:val="auto"/>
              </w:rPr>
            </w:pPr>
          </w:p>
        </w:tc>
        <w:tc>
          <w:tcPr>
            <w:tcW w:w="3020" w:type="dxa"/>
            <w:vAlign w:val="bottom"/>
            <w:gridSpan w:val="3"/>
          </w:tcPr>
          <w:p>
            <w:pPr>
              <w:jc w:val="right"/>
              <w:ind w:right="731"/>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45,998</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25,104</w:t>
            </w:r>
          </w:p>
        </w:tc>
        <w:tc>
          <w:tcPr>
            <w:tcW w:w="0" w:type="dxa"/>
            <w:vAlign w:val="bottom"/>
          </w:tcPr>
          <w:p>
            <w:pPr>
              <w:spacing w:after="0"/>
              <w:rPr>
                <w:sz w:val="1"/>
                <w:szCs w:val="1"/>
                <w:color w:val="auto"/>
              </w:rPr>
            </w:pPr>
          </w:p>
        </w:tc>
      </w:tr>
      <w:tr>
        <w:trPr>
          <w:trHeight w:val="270"/>
        </w:trPr>
        <w:tc>
          <w:tcPr>
            <w:tcW w:w="78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Adjustments for non-cash charges</w:t>
            </w:r>
            <w:r>
              <w:rPr>
                <w:rFonts w:ascii="Arial" w:cs="Arial" w:eastAsia="Arial" w:hAnsi="Arial"/>
                <w:sz w:val="25"/>
                <w:szCs w:val="25"/>
                <w:color w:val="auto"/>
                <w:vertAlign w:val="superscript"/>
              </w:rPr>
              <w:t>(1)</w:t>
            </w: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18,054</w:t>
            </w:r>
          </w:p>
        </w:tc>
        <w:tc>
          <w:tcPr>
            <w:tcW w:w="22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11,836</w:t>
            </w: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before non-cash charges</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64,052</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36,940</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Increase in deferred revenues</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22,471</w:t>
            </w:r>
          </w:p>
        </w:tc>
        <w:tc>
          <w:tcPr>
            <w:tcW w:w="2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33,321</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income tax payable and deferred tax assets, net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17,867</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Increase in accounts payable and accrued liabilities, net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7,381</w:t>
            </w:r>
          </w:p>
        </w:tc>
        <w:tc>
          <w:tcPr>
            <w:tcW w:w="2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in deferred cost of revenues</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3,188</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Increase in deferred settlement and other liabilities</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2,664</w:t>
            </w:r>
          </w:p>
        </w:tc>
        <w:tc>
          <w:tcPr>
            <w:tcW w:w="2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accrued payroll and compensation</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1,582</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Increase in prepaid expenses and other assets, net</w:t>
            </w:r>
          </w:p>
        </w:tc>
        <w:tc>
          <w:tcPr>
            <w:tcW w:w="1400" w:type="dxa"/>
            <w:vAlign w:val="bottom"/>
          </w:tcPr>
          <w:p>
            <w:pPr>
              <w:jc w:val="right"/>
              <w:spacing w:after="0"/>
              <w:rPr>
                <w:sz w:val="20"/>
                <w:szCs w:val="20"/>
                <w:color w:val="auto"/>
              </w:rPr>
            </w:pPr>
            <w:r>
              <w:rPr>
                <w:rFonts w:ascii="Arial" w:cs="Arial" w:eastAsia="Arial" w:hAnsi="Arial"/>
                <w:sz w:val="18"/>
                <w:szCs w:val="18"/>
                <w:color w:val="auto"/>
              </w:rPr>
              <w:t>(3,885)</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accounts receivable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Increase in inventories</w:t>
            </w:r>
          </w:p>
        </w:tc>
        <w:tc>
          <w:tcPr>
            <w:tcW w:w="1400" w:type="dxa"/>
            <w:vAlign w:val="bottom"/>
          </w:tcPr>
          <w:p>
            <w:pPr>
              <w:jc w:val="right"/>
              <w:spacing w:after="0"/>
              <w:rPr>
                <w:sz w:val="20"/>
                <w:szCs w:val="20"/>
                <w:color w:val="auto"/>
              </w:rPr>
            </w:pPr>
            <w:r>
              <w:rPr>
                <w:rFonts w:ascii="Arial" w:cs="Arial" w:eastAsia="Arial" w:hAnsi="Arial"/>
                <w:sz w:val="18"/>
                <w:szCs w:val="18"/>
                <w:color w:val="auto"/>
              </w:rPr>
              <w:t>(1,478)</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110,283</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71,959</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vMerge w:val="continue"/>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740" w:right="80" w:hanging="732"/>
        <w:spacing w:after="0" w:line="277"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Non-cash charges primarily consist of stock-based compensation expense, depreciation and amortization, loss on disposal of fixed assets, amortization of investment premiums, and excess tax benefit from employee stock option plans.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Cash generated by operating activities is our primary source of liquidity. Our operating activities during the nine months ended September 30, 2011 provided $110.3 million in cash as a result of net income of $46.0 million, increased by non-cash adjustments of $18.1 million and sources of cash of $55.2 million partially offset by uses of cash of $8.9 million. Non-cash adjustments consisted of stock-based compensation of $12.7 million, amortization of investment premiums of $9.5 million, and depreciation and amortization of $5.1 million, offset partially by an excess tax benefit from employee stock option exercises of $9.3 million. Sources of cash were related to a $22.5 million increase in deferred revenue which was attributable primarily to increased sales of our subscription and support services, which have yet to be recognized as income, a $17.9 million increase in income tax payable, due to our continued profitability and timing of tax payments, a $7.4 million increase in accounts payable and accrued liabilities, a $3.2 million decrease in deferred cost of revenues, a $2.7 million increase in other liabilities, mainly due to the deferral of the patent litigation settlement, which is being amortized over three years, and a $1.6 million increase in accrued payroll and compensation. Uses of cash were related to a $3.9 increase in prepaid expenses, a $3.6 million increase in accounts receivable due to the overall growth of our business, and a $1.5 million increase in inventory from relatively low levels at September 30, 2010 (net of evaluation equipment for internal use, which was transferred to fixed assets).</w:t>
      </w:r>
    </w:p>
    <w:p>
      <w:pPr>
        <w:spacing w:after="0" w:line="183"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Our operating activities during the nine months ended September 30, 2010 provided $72.0 million in cash as a result of net income of $25.1 million, increased by non-cash adjustments of $11.8 million and sources of cash of $46.0 million partially offset by uses of cash of $11.0 million. Non-cash adjustments consist of stock-based compensation of $6.8 million, amortization of investment premiums of $5.0 million, and depreciation and amortization of $4.2 million, offset by an excess tax benefit from employee stock option plans of $4.2 million. Sources of cash were related to a $33.3 million increase in deferred revenue, which was attributable primarily to increased sales of our subscription and support services, which have yet to be recognized as income, a $7.3 million increase in income tax payable and deferred tax assets, due to our continued profitability and timing of tax payments, a $4.3 million increase in accrued payroll and compensation primarily related to increased headcount and employer taxes related to the exercise of stock options, and a $1.0 million increase in accounts payable and accrued liabilities, related to timing of payments. Uses of cash were related to a $5.0 million increase in accounts receivable due to a three day increase (from 60 to 63 days) in our days sales outstanding and the overall growth of our business, a $2.8 million increase in inventory primarily to support our fourth quarter shipments, and a $3.1 million increase in prepaid expenses and other assets.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341" w:right="2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Our investing activities during the nine months ended September 30, 2011 and September 30, 2010 consisted primarily of purchases and sales of investments, and to a lesser extent capital expenditures. The $132.8 million of cash used in investing activities during the nine months ended months ended September 30, 2011 was due to net purchases of investments of $127.4 million, $2.8 million used for capital expenditures (net of evaluation equipment for internal use, which was transferred from inventory) and $2.6 million used for the purchase of TalkSwitch.</w:t>
      </w:r>
    </w:p>
    <w:p>
      <w:pPr>
        <w:spacing w:after="0" w:line="171"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$234.8 million of cash used by investing activities during the nine months ended September 30, 2010 was due primarily to net purchases of investments of $231.9 million and $2.9 million for capital expenditures.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Our financing activities during the nine months ended September 30, 2011 resulted in net cash provided of $23.3 million as a result of receiving proceeds of $14.0 million from the exercise of options to purchase our common stock and an excess tax benefit from employee stock option exercises of $9.3 million.</w:t>
      </w:r>
    </w:p>
    <w:p>
      <w:pPr>
        <w:spacing w:after="0" w:line="18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Our financing activities in the nine months ended September 30, 2010 resulted in net cash provided of $27.2 million as a result of receiving proceeds of $23.9 million from the exercise of options to purchase our common stock, upon the expiration of lock-up agreements six months following our Initial Public Offering, and an excess tax benefit from employee stock option plans of $4.2 million related to option exercises, all partially offset by $0.9 million issuance cost paid in connection with our initial public offering, which had been accrued as of December 31,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our contractual obligations as of September 30, 2011: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Payments Due By Period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620" w:type="dxa"/>
            <w:vAlign w:val="bottom"/>
            <w:gridSpan w:val="2"/>
          </w:tcPr>
          <w:p>
            <w:pPr>
              <w:ind w:left="580"/>
              <w:spacing w:after="0"/>
              <w:rPr>
                <w:sz w:val="20"/>
                <w:szCs w:val="20"/>
                <w:color w:val="auto"/>
              </w:rPr>
            </w:pPr>
            <w:r>
              <w:rPr>
                <w:rFonts w:ascii="Arial" w:cs="Arial" w:eastAsia="Arial" w:hAnsi="Arial"/>
                <w:sz w:val="16"/>
                <w:szCs w:val="16"/>
                <w:b w:val="1"/>
                <w:bCs w:val="1"/>
                <w:color w:val="auto"/>
              </w:rPr>
              <w:t>Total</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w w:val="96"/>
              </w:rPr>
              <w:t>Remainder of 2011</w:t>
            </w:r>
          </w:p>
        </w:tc>
        <w:tc>
          <w:tcPr>
            <w:tcW w:w="1660" w:type="dxa"/>
            <w:vAlign w:val="bottom"/>
            <w:gridSpan w:val="3"/>
          </w:tcPr>
          <w:p>
            <w:pPr>
              <w:jc w:val="right"/>
              <w:ind w:right="234"/>
              <w:spacing w:after="0"/>
              <w:rPr>
                <w:sz w:val="20"/>
                <w:szCs w:val="20"/>
                <w:color w:val="auto"/>
              </w:rPr>
            </w:pPr>
            <w:r>
              <w:rPr>
                <w:rFonts w:ascii="Arial" w:cs="Arial" w:eastAsia="Arial" w:hAnsi="Arial"/>
                <w:sz w:val="16"/>
                <w:szCs w:val="16"/>
                <w:b w:val="1"/>
                <w:bCs w:val="1"/>
                <w:color w:val="auto"/>
              </w:rPr>
              <w:t>2012 - 2014</w:t>
            </w:r>
          </w:p>
        </w:tc>
        <w:tc>
          <w:tcPr>
            <w:tcW w:w="100" w:type="dxa"/>
            <w:vAlign w:val="bottom"/>
          </w:tcPr>
          <w:p>
            <w:pPr>
              <w:spacing w:after="0"/>
              <w:rPr>
                <w:sz w:val="20"/>
                <w:szCs w:val="20"/>
                <w:color w:val="auto"/>
              </w:rPr>
            </w:pPr>
          </w:p>
        </w:tc>
        <w:tc>
          <w:tcPr>
            <w:tcW w:w="1480" w:type="dxa"/>
            <w:vAlign w:val="bottom"/>
          </w:tcPr>
          <w:p>
            <w:pPr>
              <w:jc w:val="right"/>
              <w:ind w:right="232"/>
              <w:spacing w:after="0"/>
              <w:rPr>
                <w:sz w:val="20"/>
                <w:szCs w:val="20"/>
                <w:color w:val="auto"/>
              </w:rPr>
            </w:pPr>
            <w:r>
              <w:rPr>
                <w:rFonts w:ascii="Arial" w:cs="Arial" w:eastAsia="Arial" w:hAnsi="Arial"/>
                <w:sz w:val="16"/>
                <w:szCs w:val="16"/>
                <w:b w:val="1"/>
                <w:bCs w:val="1"/>
                <w:color w:val="auto"/>
              </w:rPr>
              <w:t>2015 - 2016</w:t>
            </w:r>
          </w:p>
        </w:tc>
        <w:tc>
          <w:tcPr>
            <w:tcW w:w="100" w:type="dxa"/>
            <w:vAlign w:val="bottom"/>
          </w:tcPr>
          <w:p>
            <w:pPr>
              <w:spacing w:after="0"/>
              <w:rPr>
                <w:sz w:val="20"/>
                <w:szCs w:val="20"/>
                <w:color w:val="auto"/>
              </w:rPr>
            </w:pPr>
          </w:p>
        </w:tc>
        <w:tc>
          <w:tcPr>
            <w:tcW w:w="1480" w:type="dxa"/>
            <w:vAlign w:val="bottom"/>
          </w:tcPr>
          <w:p>
            <w:pPr>
              <w:ind w:left="380"/>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 amounts in 000's)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15,949</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66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12,594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25"/>
                <w:szCs w:val="25"/>
                <w:color w:val="auto"/>
                <w:vertAlign w:val="superscript"/>
              </w:rPr>
              <w:t>(2)</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32,520</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20,276</w:t>
            </w:r>
          </w:p>
        </w:tc>
        <w:tc>
          <w:tcPr>
            <w:tcW w:w="1660" w:type="dxa"/>
            <w:vAlign w:val="bottom"/>
            <w:gridSpan w:val="3"/>
          </w:tcPr>
          <w:p>
            <w:pPr>
              <w:jc w:val="right"/>
              <w:ind w:right="14"/>
              <w:spacing w:after="0"/>
              <w:rPr>
                <w:sz w:val="20"/>
                <w:szCs w:val="20"/>
                <w:color w:val="auto"/>
              </w:rPr>
            </w:pPr>
            <w:r>
              <w:rPr>
                <w:rFonts w:ascii="Arial" w:cs="Arial" w:eastAsia="Arial" w:hAnsi="Arial"/>
                <w:sz w:val="18"/>
                <w:szCs w:val="18"/>
                <w:color w:val="auto"/>
              </w:rPr>
              <w:t>12,244</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Royalty commitments </w:t>
            </w:r>
            <w:r>
              <w:rPr>
                <w:rFonts w:ascii="Arial" w:cs="Arial" w:eastAsia="Arial" w:hAnsi="Arial"/>
                <w:sz w:val="25"/>
                <w:szCs w:val="25"/>
                <w:color w:val="auto"/>
                <w:vertAlign w:val="superscript"/>
              </w:rPr>
              <w:t>(3)</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3,250</w:t>
            </w:r>
          </w:p>
        </w:tc>
        <w:tc>
          <w:tcPr>
            <w:tcW w:w="12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(4)</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51,719</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22,582</w:t>
            </w:r>
          </w:p>
        </w:tc>
        <w:tc>
          <w:tcPr>
            <w:tcW w:w="1660" w:type="dxa"/>
            <w:vAlign w:val="bottom"/>
            <w:gridSpan w:val="3"/>
          </w:tcPr>
          <w:p>
            <w:pPr>
              <w:jc w:val="right"/>
              <w:ind w:right="14"/>
              <w:spacing w:after="0"/>
              <w:rPr>
                <w:sz w:val="20"/>
                <w:szCs w:val="20"/>
                <w:color w:val="auto"/>
              </w:rPr>
            </w:pPr>
            <w:r>
              <w:rPr>
                <w:rFonts w:ascii="Arial" w:cs="Arial" w:eastAsia="Arial" w:hAnsi="Arial"/>
                <w:sz w:val="18"/>
                <w:szCs w:val="18"/>
                <w:color w:val="auto"/>
              </w:rPr>
              <w:t>27,338</w:t>
            </w:r>
          </w:p>
        </w:tc>
        <w:tc>
          <w:tcPr>
            <w:tcW w:w="100" w:type="dxa"/>
            <w:vAlign w:val="bottom"/>
          </w:tcPr>
          <w:p>
            <w:pPr>
              <w:spacing w:after="0"/>
              <w:rPr>
                <w:sz w:val="22"/>
                <w:szCs w:val="22"/>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2"/>
                <w:szCs w:val="22"/>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contractual obligations from non-cancelable office space under operating leases.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minimum purchase commitments with independent contract manufacturers.</w:t>
      </w:r>
    </w:p>
    <w:p>
      <w:pPr>
        <w:spacing w:after="0" w:line="9" w:lineRule="exact"/>
        <w:rPr>
          <w:rFonts w:ascii="Arial" w:cs="Arial" w:eastAsia="Arial" w:hAnsi="Arial"/>
          <w:sz w:val="18"/>
          <w:szCs w:val="18"/>
          <w:color w:val="auto"/>
        </w:rPr>
      </w:pPr>
    </w:p>
    <w:p>
      <w:pPr>
        <w:ind w:left="500" w:right="320" w:hanging="492"/>
        <w:spacing w:after="0" w:line="265"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minimum royalties claimed by Trend Micro pursuant to the January 2006 settlement and license agreement between Trend Micro and Fortinet, which are subject to dispute. See “Part II: Item 1 - Legal Proceedings.” We have accrued $6.3 million as of September 30, 2011, related to amounts under the settlement and license agreement with Trend Micro which have not been paid pursuant to the dispute.</w:t>
      </w:r>
    </w:p>
    <w:p>
      <w:pPr>
        <w:ind w:left="500" w:right="100" w:hanging="492"/>
        <w:spacing w:after="0" w:line="25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amounts related to ASC 740-10 (</w:t>
      </w:r>
      <w:r>
        <w:rPr>
          <w:rFonts w:ascii="Arial" w:cs="Arial" w:eastAsia="Arial" w:hAnsi="Arial"/>
          <w:sz w:val="18"/>
          <w:szCs w:val="18"/>
          <w:i w:val="1"/>
          <w:iCs w:val="1"/>
          <w:color w:val="auto"/>
        </w:rPr>
        <w:t>formerly referred to as SFAS Interpretation No. 48, Accounting for Uncertainty in Income Taxes-an interpretation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SFAS No. 109 </w:t>
      </w:r>
      <w:r>
        <w:rPr>
          <w:rFonts w:ascii="Arial" w:cs="Arial" w:eastAsia="Arial" w:hAnsi="Arial"/>
          <w:sz w:val="18"/>
          <w:szCs w:val="18"/>
          <w:color w:val="auto"/>
        </w:rPr>
        <w:t>(FIN 48)) are included. As of September 30, 2011, we had approximately $17.2 million of tax liabilities, including interest,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 tax positions. Because of the high degree of uncertainty regarding the settlement of these liabilities, we are unable to estimate the years in which future cash outflows may occur.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As of September 30, 2011,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 of Notes to Condensed Consolidated Financial Statements for recent accounting pronouncements that could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have an effect on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There have been no material changes in our market risk during the nine months ended September 30, 2011, compared to the disclosures in Part II, Item 7A of our Annual Report on Form 10-K for the year ended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procedures (as defined in Rules 13a-15(e) or 15d-15(e) under the Securities Exchange Act of 1934, as amended (the “Exchange Act”))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2011. In designing and evaluating the disclosure controls and procedures, management recognized that any controls and procedures, no matter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how well designed and operated, can provide only reasonable assurance of achieving the desired control objectives. In addition, the design of disclosure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controls and procedures must reflect the fact that there are resource constraints and that management is required to apply its judgment in evaluating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benefits of possible controls and procedures relative to their costs.</w:t>
      </w:r>
    </w:p>
    <w:p>
      <w:pPr>
        <w:spacing w:after="0" w:line="21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September 30, 2011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Rules 13a-15(f) or 15d-15(f) under the Exchange Act) during our third quarter of 2011 that have materially affected, or are reasonably likely to materially affect, our internal control over financial reporting.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firstLine="486"/>
        <w:spacing w:after="0" w:line="290" w:lineRule="auto"/>
        <w:rPr>
          <w:sz w:val="20"/>
          <w:szCs w:val="20"/>
          <w:color w:val="auto"/>
        </w:rPr>
      </w:pPr>
      <w:r>
        <w:rPr>
          <w:rFonts w:ascii="Arial" w:cs="Arial" w:eastAsia="Arial" w:hAnsi="Arial"/>
          <w:sz w:val="16"/>
          <w:szCs w:val="16"/>
          <w:color w:val="auto"/>
        </w:rPr>
        <w:t>In August 2009, Trend Micro filed a complaint against us in the Superior Court of the State of California for Santa Clara County alleging breach of contract and seeking a declaratory judgment that we are obligated to make certain royalty payments to Trend Micro pursuant to a settlement and license agreement entered into in January 2006. We maintain that the patents that are the basis for the royalty payments are invalid and as a result of the patents' invalidity along with other defenses, we believe we have no contractual obligation to pay the royalties. We filed an action in the U.S. District Court for the Northern District of California that is stayed pending the resolution of the state court action. We have continued to accrue expense based on the quarterly royalties provided for in the settlement and license agreement. In May 2011, in response to petitions for re-examination we filed with the U.S. Patent and Trademark Office (“PTO”) on two Trend Micro patents, the PTO issued final office actions rejecting a number of the Trend Micro patent claims allegedly forming the basis for the royalty payments. Trend Micro has responded disputing one of the final office actions.</w:t>
      </w:r>
    </w:p>
    <w:p>
      <w:pPr>
        <w:spacing w:after="0" w:line="166"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In August 2009, Enhanced Security Research, LLC and Security Research Holdings LLC (collectively “ESR”), a non-practicing entity, 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on both asserted patents. The PTO has finally rejected all of the claims of the patents in the suit and ESR has appealed this result to the Board of Patent Appeals and Interferences (“BPAI”). There was a related action that was dismissed by the District Court and appealed by ESR to the Federal Circuit. The Federal Circuit in June 2011 rejected ESR's appeal and confirmed the dismissal.</w:t>
      </w:r>
    </w:p>
    <w:p>
      <w:pPr>
        <w:spacing w:after="0" w:line="165"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In July 2010, Network Protection Sciences, LLC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341" w:right="29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infringement.</w:t>
      </w:r>
    </w:p>
    <w:p>
      <w:pPr>
        <w:spacing w:after="0" w:line="225"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In April 2010, an individual, a former stockholder of Fortinet, filed a class action lawsuit against us claiming unspecified damages in the Superior Court of the State of California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The plaintiff is claiming unspecified damages. In September 2010, the Court granted our motion to transfer the case to the California Superior Court for Santa Clara County and the plaintiff has filed an amended complaint in the Superior Court to add individual defendants, among other amendments.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all other information contained in this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channel partner and end-customer orders;</w:t>
      </w:r>
    </w:p>
    <w:p>
      <w:pPr>
        <w:spacing w:after="0" w:line="225"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shipments, which may depend on many factors such as inventory levels and logistics, our ability to ship new products on schedule and accurately forecast inventory requirements, and potential delays in the manufacturing process;</w:t>
      </w:r>
    </w:p>
    <w:p>
      <w:pPr>
        <w:spacing w:after="0" w:line="170" w:lineRule="exact"/>
        <w:rPr>
          <w:rFonts w:ascii="Arial" w:cs="Arial" w:eastAsia="Arial" w:hAnsi="Arial"/>
          <w:sz w:val="18"/>
          <w:szCs w:val="18"/>
          <w:color w:val="auto"/>
        </w:rPr>
      </w:pPr>
    </w:p>
    <w:p>
      <w:pPr>
        <w:ind w:left="820" w:right="24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820" w:right="12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accuracy and timing of point of sale reporting by our sell-through distributors, which impacts our ability to recognize revenue;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225" w:lineRule="exact"/>
        <w:rPr>
          <w:rFonts w:ascii="Arial" w:cs="Arial" w:eastAsia="Arial" w:hAnsi="Arial"/>
          <w:sz w:val="18"/>
          <w:szCs w:val="18"/>
          <w:color w:val="auto"/>
        </w:rPr>
      </w:pPr>
    </w:p>
    <w:p>
      <w:pPr>
        <w:ind w:left="820" w:right="12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deferral of orders from end-customers in anticipation of new products or product enhancements announced by us or our competitors;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41" w:right="2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right="46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70"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length of services contracts sold;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products and services;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disruption in our channel or termination of our relationship with important channel partners;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key suppliers, which could disrupt our supply chain;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our foreign markets;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jc w:val="both"/>
        <w:ind w:right="200" w:firstLine="486"/>
        <w:spacing w:after="0" w:line="273" w:lineRule="auto"/>
        <w:rPr>
          <w:sz w:val="20"/>
          <w:szCs w:val="20"/>
          <w:color w:val="auto"/>
        </w:rPr>
      </w:pPr>
      <w:r>
        <w:rPr>
          <w:rFonts w:ascii="Arial" w:cs="Arial" w:eastAsia="Arial" w:hAnsi="Arial"/>
          <w:sz w:val="17"/>
          <w:szCs w:val="17"/>
          <w:color w:val="auto"/>
        </w:rPr>
        <w:t>Any one of the factors above or the cumulative effect of some of the factors referred to above may result in significant fluctuations in our quarterly financial and other operating results, including fluctuations in our key metrics.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may not be able to sustain profitability in future periods if we fail to increase billings, revenue or deferred revenue, manage our cost structure, or are subject to unanticipated liabilities. Billings and revenue growth may slow or billings and revenue may decline for a number of possible reasons, including slowing demand for our products or services, increasing competition, a decrease in the growth of our overall market, softness in demand in certain geographies, or if we fail for any reason to continue to capitalize on growth opportunities. Any failure by us to maintain profitability and continue our billings and revenue growth could cause the price of our common stock to materially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a concentration of shipments at the end of the quarter could cause our revenue to fall below expected levels.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a result of customer-buying patterns and the efforts of our sales force and channel partners to meet or exceed quarterly quotas, historically we have received a substantial portion of a quarter's sales orders and generated a substantial portion of a quarter's revenue during the last two weeks or last days of the quarter. If expected revenue at the end of any quarter is delayed for any reason, including the failure of anticipated purchase orders to materialize, our or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revenue for that quarter could fall below our expectations or those of securities analysts and investors, resulting in a decline in our stock price.</w:t>
      </w:r>
    </w:p>
    <w:p>
      <w:pPr>
        <w:spacing w:after="0" w:line="189"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We rely significantly on revenue from subscription and support services which may decline, and, because we recognize revenue from subscriptions and support services over the term of the relevant service period, downturns or upturns in sales are not immediately reflected in full in our operating results.</w:t>
      </w:r>
    </w:p>
    <w:p>
      <w:pPr>
        <w:spacing w:after="0" w:line="10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Our services revenue accounted for 49.7% and 52.4% of our total revenue for the third quarters of fiscal 2011 and 2010, respectively. Sales of new or renewal subscription and services contracts may decline and fluctuate as a result of a number of factors, including end-customers' level of satisfaction with our products and services, the prices of our products and services,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41" w:right="2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prices of products and services offered by our competitors or reductions in our customers' spending levels. If our sales of new or renewal subscription and services contracts decline, our revenue and revenue growth may decline and our business will suffer. In addition, we recognize subscription and service revenue monthly over the term of the relevant service period, which is typically one year but has been as long as five years. As a result, much of the revenue we report each quarter is the recognition of deferred revenue from subscription and services contracts entered into during previous quarters. Consequently, a decline in new or renewed subscription or service contracts in any one quarter will not be fully reflected in revenue in that quarter, but will negatively affect our revenue in future quarters. Accordingly, the effect of significant downturns in new or renewed sales of our subscriptions or services is not reflected in full in our results of operations until future periods. Our subscription and service revenue also makes it difficult for us to rapidly increase our revenue through additional service sales in any period, as revenue from new and renewal service contracts must be recognized over the applicable service period. Furthermore increases in the average term of services contracts would result in revenue for services contracts being recognized over longer periods of time.</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Our channel partners may increase orders during periods of product shortages, cancel orders if their inventory is too high, return product or take advantage of price protection (if any),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73"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experienced inventory shortages in the third quarter of 2011, based largely on more demand for certain products than we had forecast. If we are unable to effectively manage our inventory and that of our distribution partners, our results of operations could be adversely affected.</w:t>
      </w:r>
    </w:p>
    <w:p>
      <w:pPr>
        <w:spacing w:after="0" w:line="16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88"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have incentives to promote our competitors' products to the detriment of our own. They may cease selling our products altogether. We cannot assure you that we will retain these channel partners or that we will be able to secure additional or replacement partners.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manage existing sales channels, our business will be seriously harmed.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341" w:right="2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service providers and government entities. Sales to enterprises, service providers and government entities involve risks that may not be present (or that are present to a lesser extent) with sales to small-to-mid-sized entities. These risks include:</w:t>
      </w:r>
    </w:p>
    <w:p>
      <w:pPr>
        <w:spacing w:after="0" w:line="181" w:lineRule="exact"/>
        <w:rPr>
          <w:sz w:val="20"/>
          <w:szCs w:val="20"/>
          <w:color w:val="auto"/>
        </w:rPr>
      </w:pPr>
    </w:p>
    <w:p>
      <w:pPr>
        <w:jc w:val="both"/>
        <w:ind w:left="820" w:right="180" w:hanging="326"/>
        <w:spacing w:after="0" w:line="264"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competition from larger competitors, such as Cisco Systems, Inc., Check Point Software Technologies Ltd., McAfee, Inc. (acquired by Intel, Inc.), and Juniper Networks, Inc., that traditionally target enterprises, service providers and government entities and that may already have purchase commitments from those end-customers;</w:t>
      </w:r>
    </w:p>
    <w:p>
      <w:pPr>
        <w:spacing w:after="0" w:line="181"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820" w:right="24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more stringent requirements in our support service contracts, including stricter support response times, and increased penalties for any failure to meet support requirements; and</w:t>
      </w:r>
    </w:p>
    <w:p>
      <w:pPr>
        <w:spacing w:after="0" w:line="170"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who elects not to purchase our products and services.</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Large enterprises, service providers and government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 entities are frequently subject to budget constraints, multiple approvals, and unplanned administrative, processing and other delays. Finally, enterprise, service providers and government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4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An actual or perceived security breach or infection of the network of one of our end-customers, regardless of whether the breach is attributable to the failure of our products or services to prevent the security breach, could adversely affect the market's perception of our security products.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defects, errors or vulnerabilities in our products, or misuse of our products, could result in:</w:t>
      </w:r>
    </w:p>
    <w:p>
      <w:pPr>
        <w:spacing w:after="0" w:line="189" w:lineRule="exact"/>
        <w:rPr>
          <w:sz w:val="20"/>
          <w:szCs w:val="20"/>
          <w:color w:val="auto"/>
        </w:rPr>
      </w:pPr>
    </w:p>
    <w:p>
      <w:pPr>
        <w:ind w:left="820" w:right="6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rapid growth, and if we do not appropriately manage any future growth, or are unable to improve our systems and processes, our operating results will be negatively affected.</w:t>
      </w:r>
    </w:p>
    <w:p>
      <w:pPr>
        <w:spacing w:after="0" w:line="170"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have a high volume business that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improvements to these systems and processes in a timely or efficient manner.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7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341" w:right="2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estimates used in preparing our consolidated financial statements include those related to revenue recognition, stock-based compensation, valuation of inventory, warranty liabilities, and accounting for income taxes.</w:t>
      </w:r>
    </w:p>
    <w:p>
      <w:pPr>
        <w:spacing w:after="0" w:line="17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In the past, we have experienced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in the locations where we have a substantial presence and need for highly-skilled personnel: the San Francisco Bay Area, Vancouver, Canada and Beijing, China. A large portion of our employee base is substantially vested in significant stock option grants, and the ability to exercise those options and sell their stock may result in a larger than normal turnover rate.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future performance depends on the continued services and continuing contributions of our senior management to execute on our business plan, and to identify and pursue new opportunities and product innovations. The loss of services of senior management, particularly Ken Xie, our Co-founder, President and Chief Executive Officer, Michael Xie, our Co-founder, Vice President of Engineering and Chief Technical Officer, and Ken Goldman, our Vice President and Chief Financial Officer, could significantly delay or prevent the achievement of our development and strategic objectives.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distributors, reduced unit sales and lower or no growth.</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w:t>
      </w:r>
    </w:p>
    <w:p>
      <w:pPr>
        <w:spacing w:after="0" w:line="170"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We outsource the manufacturing of our security appliance products to a variety of contract manufacturing partners and original design manufacturing partners.</w:t>
      </w:r>
    </w:p>
    <w:p>
      <w:pPr>
        <w:spacing w:after="0" w:line="17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41" w:right="2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0"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w:t>
      </w:r>
    </w:p>
    <w:p>
      <w:pPr>
        <w:spacing w:after="0" w:line="17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UMC and Taiwan Semiconductor Manufacturing Corporation, or TSMC. Faraday (using UMC's foundry) and K-Micro (using TSMC's foundry) manufacture our ASICs on a purchase order basis, and these foundries do not guarantee any capacity and could reject orders from either Faraday or K-Micro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7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EU RoHS and other similar laws. See “If we fail to comply with environmental requirements, our business, financial condition, operating results and reputation could be adversely affected” for information on the effects of the failure to comply with these laws.</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w:t>
      </w:r>
    </w:p>
    <w:p>
      <w:pPr>
        <w:spacing w:after="0" w:line="181"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Corporation, Advanced Micro Devices, Inc., RMI Corporation and VIA Technologies, Inc.,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6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For example, lead times for some components are currently being extended by the impact on certain suppliers of flooding in Thailand. Our reliance on a limited number of suppliers involves several additional risks, including:</w:t>
      </w:r>
    </w:p>
    <w:p>
      <w:pPr>
        <w:spacing w:after="0" w:line="187"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341" w:right="27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The occurrence of any of these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A majority of our operating expenses are incurred outside the United States, are denominated in foreign currencies, and are subject to fluctuations due to changes in foreign currency exchange rates, particularly changes in the Euro and Canadian dollar. For example, during the second and third quarters of 2011, we were impacted by the weakening of the dollar against the Canadian dollar and the Euro, which caused our operating expenses to increase. Although we have been hedging currency exposures relating to certain balance sheet accounts and have periodically entered into cash 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adversely affect our financial condition and results of operations.</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80" w:firstLine="486"/>
        <w:spacing w:after="0" w:line="342" w:lineRule="auto"/>
        <w:rPr>
          <w:sz w:val="20"/>
          <w:szCs w:val="20"/>
          <w:color w:val="auto"/>
        </w:rPr>
      </w:pPr>
      <w:r>
        <w:rPr>
          <w:rFonts w:ascii="Arial" w:cs="Arial" w:eastAsia="Arial" w:hAnsi="Arial"/>
          <w:sz w:val="16"/>
          <w:szCs w:val="16"/>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24"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costs of compliance with foreign policies, laws and regulations and the risks and costs of non-compliance with such policies, laws and regulations;</w:t>
      </w:r>
    </w:p>
    <w:p>
      <w:pPr>
        <w:spacing w:after="0" w:line="248" w:lineRule="exact"/>
        <w:rPr>
          <w:rFonts w:ascii="Arial" w:cs="Arial" w:eastAsia="Arial" w:hAnsi="Arial"/>
          <w:sz w:val="16"/>
          <w:szCs w:val="16"/>
          <w:color w:val="auto"/>
        </w:rPr>
      </w:pPr>
    </w:p>
    <w:p>
      <w:pPr>
        <w:ind w:left="820" w:right="16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regulatory or contractual limitations on our ability to sell our products in certain foreign markets, and the risks and costs of non-compliance;</w:t>
      </w:r>
    </w:p>
    <w:p>
      <w:pPr>
        <w:spacing w:after="0" w:line="248" w:lineRule="exact"/>
        <w:rPr>
          <w:rFonts w:ascii="Arial" w:cs="Arial" w:eastAsia="Arial" w:hAnsi="Arial"/>
          <w:sz w:val="16"/>
          <w:szCs w:val="16"/>
          <w:color w:val="auto"/>
        </w:rPr>
      </w:pPr>
    </w:p>
    <w:p>
      <w:pPr>
        <w:ind w:left="820" w:right="20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financial statements and irregularities in financial statements;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341" w:right="2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or war;</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Certain of our products are subject to U.S. export controls and may be exported outside the U.S. only with the required export license or through an export license exception, because we incorporate encryption technology into our products. If we were to fail to comply with U.S. export licensing, U.S. Customs regulations, U.S. economic sanctions and other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opportunities.</w:t>
      </w:r>
    </w:p>
    <w:p>
      <w:pPr>
        <w:spacing w:after="0" w:line="16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in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European Union, or EU, RoHS and the EU Waste Electrical and Electronic Equipment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73"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41" w:right="2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and costs associated with writing off noncompliant inventory. We expect to incur more of these costs in the future. With respect to the EU RoHS, we and our competitors rely on an exemption for lead in network infrastructure equipment. It is possible this exemption will be revoked in the near future. If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88"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entities, which are subject to a number of challenges and risks.</w:t>
      </w:r>
    </w:p>
    <w:p>
      <w:pPr>
        <w:spacing w:after="0" w:line="225" w:lineRule="exact"/>
        <w:rPr>
          <w:sz w:val="20"/>
          <w:szCs w:val="20"/>
          <w:color w:val="auto"/>
        </w:rPr>
      </w:pPr>
    </w:p>
    <w:p>
      <w:pPr>
        <w:jc w:val="both"/>
        <w:ind w:right="100" w:firstLine="486"/>
        <w:spacing w:after="0" w:line="288"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 portion of our revenue in past periods, and we may in the future increase sales to government entities. Sales into government entities are subject to a number of risks. Selling to government entities can be highly competitive, expensive and time consuming, often requiring significant upfront time and expense without any assurance that we will win a sale.</w:t>
      </w:r>
    </w:p>
    <w:p>
      <w:pPr>
        <w:spacing w:after="0" w:line="267" w:lineRule="auto"/>
        <w:rPr>
          <w:sz w:val="20"/>
          <w:szCs w:val="20"/>
          <w:color w:val="auto"/>
        </w:rPr>
      </w:pPr>
      <w:r>
        <w:rPr>
          <w:rFonts w:ascii="Arial" w:cs="Arial" w:eastAsia="Arial" w:hAnsi="Arial"/>
          <w:sz w:val="17"/>
          <w:szCs w:val="17"/>
          <w:color w:val="auto"/>
        </w:rPr>
        <w:t>Government demand and payment for our products and services may be negatively impacted by numerous factors unique to selling to government agencies, such as public sector budgetary cycles and funding authorizations, with funding reductions or delays adversely affecting public sector demand for our products. To-date we have had limited traction in sales to U.S. Federal government agencies and any increase in sales to government entities is uncertain. All of our sales to government entities have been made indirectly through our distribution channel. Government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for purchases by the U.S. government, the government may require certain products to be manufactured in the United States and other high cost manufacturing locations, and we may not manufacture all products in locations that meet the requirements of the U.S. government.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antispyware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will not succeed unless the marketplace is confident that we provide effective network security protection. Because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341" w:right="2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provide network security products, we may be a more attractive target for attacks by computer hackers. Although we have not experienced significant damages from unauthorized access by a third-party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200" w:firstLine="486"/>
        <w:spacing w:after="0" w:line="293" w:lineRule="auto"/>
        <w:rPr>
          <w:sz w:val="20"/>
          <w:szCs w:val="20"/>
          <w:color w:val="auto"/>
        </w:rPr>
      </w:pPr>
      <w:r>
        <w:rPr>
          <w:rFonts w:ascii="Arial" w:cs="Arial" w:eastAsia="Arial" w:hAnsi="Arial"/>
          <w:sz w:val="16"/>
          <w:szCs w:val="16"/>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enterprise, service provider and government entity end-customers require higher levels of support than smaller end-customers. If we fail to meet the requirements of the larger end-customers, it may be more difficult to execute on our strategy to increase our penetration with larger end-customers.</w:t>
      </w:r>
    </w:p>
    <w:p>
      <w:pPr>
        <w:spacing w:after="0" w:line="16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260"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Our provision for income taxes is subject to volatility and could be adversely affected by several factors, many of which are outside of our control, including:</w:t>
      </w:r>
    </w:p>
    <w:p>
      <w:pPr>
        <w:spacing w:after="0" w:line="170"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earnings being lower than anticipated in countries that have lower tax rates and higher than anticipated in countries that have higher tax rates;</w:t>
      </w:r>
    </w:p>
    <w:p>
      <w:pPr>
        <w:spacing w:after="0" w:line="248" w:lineRule="exact"/>
        <w:rPr>
          <w:rFonts w:ascii="Arial" w:cs="Arial" w:eastAsia="Arial" w:hAnsi="Arial"/>
          <w:sz w:val="16"/>
          <w:szCs w:val="16"/>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pricing adjustments including the effect of acquisitions on our intercompany research and development and legal structure;</w:t>
      </w:r>
    </w:p>
    <w:p>
      <w:pPr>
        <w:spacing w:after="0" w:line="225" w:lineRule="exact"/>
        <w:rPr>
          <w:rFonts w:ascii="Arial" w:cs="Arial" w:eastAsia="Arial" w:hAnsi="Arial"/>
          <w:sz w:val="18"/>
          <w:szCs w:val="18"/>
          <w:color w:val="auto"/>
        </w:rPr>
      </w:pPr>
    </w:p>
    <w:p>
      <w:pPr>
        <w:ind w:left="820" w:right="260" w:hanging="326"/>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820" w:right="40" w:hanging="326"/>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income tax provision for the period in which the settlement take place;</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ind w:left="820" w:right="100" w:hanging="326"/>
        <w:spacing w:after="0" w:line="264"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United States income tax rate, which would necessitate a revaluation of our deferred tax assets and liabilities.</w:t>
      </w:r>
    </w:p>
    <w:p>
      <w:pPr>
        <w:spacing w:after="0" w:line="18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Significant judgment is required to determine the recognition and measurement attribute prescribed in ASC 740-10. In addition, ASC 740-10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countries is subject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341" w:right="2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to reduced tax rates and in some cases is wholly exempt from tax. Our failure to meet these commitments could adversely impact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54"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Although we released our entire valuation allowance in fiscal 2009, we may in the future be required to establish a new valuation allowance. We will continue to assess the need for a valuation allowance on the deferred tax asset by evaluating both positive and negative evidence that may exist.</w:t>
      </w:r>
    </w:p>
    <w:p>
      <w:pPr>
        <w:spacing w:after="0" w:line="124"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The audit by the Canada Revenue Agency for fiscal years 2006-2009 associated with our international transactions resulted in no changes or additional assessments. The California Franchise Tax Board audited us for fiscal years 2008 and 2009 and no significant items were noted.</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78"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Internal Revenue Service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In addition, any acquisitions we are able to complete may not be accretive to earnings and may not result in any synergies or other benefits we had expected to achieve, which could result in write-offs that could be substantial. Further, completing a potential acquisition and integrating acquired businesses, products, technologies or intellectual property will significantly divert management time and resources.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41" w:right="2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Our products are very complex and, despite testing prior to their release, have contained and may contain undetected defects or errors, especially when first introduced or when new versions are released. For example, one of our high-end product models experienced a defect in limited deployments.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70"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or logistics providers' ability to perform services such as obtaining product components and manufacturing products on a timely basis and assisting with shipments on a timely basis. For example, flooding in Thailand is currently delaying the availability of hard drives from one of our suppliers, and our primary international logistics provider is located in Taiwan which is an area known for typhoons. In the event our or our service providers' information technology systems or manufacturing or logistics abilities are hindered by any of the events discussed above, shipments could be delayed, resulting in missing financial targets, such as revenue and shipment targets, for a particular quarter. In addition, regional instability,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 expectations.</w:t>
      </w:r>
    </w:p>
    <w:p>
      <w:pPr>
        <w:spacing w:after="0" w:line="1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will impair the market acceptance of our products, which in turn will harm our business, financial condition and results of operations.</w:t>
      </w:r>
    </w:p>
    <w:p>
      <w:pPr>
        <w:spacing w:after="0" w:line="182" w:lineRule="exact"/>
        <w:rPr>
          <w:sz w:val="20"/>
          <w:szCs w:val="20"/>
          <w:color w:val="auto"/>
        </w:rPr>
      </w:pPr>
    </w:p>
    <w:p>
      <w:pPr>
        <w:ind w:right="180" w:firstLine="486"/>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users'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will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failure to accurately predict market demand in terms of product functionality and to supply products that meet this demand in a timely fashion;</w:t>
      </w:r>
    </w:p>
    <w:p>
      <w:pPr>
        <w:spacing w:after="0" w:line="248" w:lineRule="exact"/>
        <w:rPr>
          <w:rFonts w:ascii="Arial" w:cs="Arial" w:eastAsia="Arial" w:hAnsi="Arial"/>
          <w:sz w:val="16"/>
          <w:szCs w:val="16"/>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our revenue may not continue to grow.</w:t>
      </w:r>
    </w:p>
    <w:p>
      <w:pPr>
        <w:spacing w:after="0" w:line="225" w:lineRule="exact"/>
        <w:rPr>
          <w:sz w:val="20"/>
          <w:szCs w:val="20"/>
          <w:color w:val="auto"/>
        </w:rPr>
      </w:pPr>
    </w:p>
    <w:p>
      <w:pPr>
        <w:ind w:right="340" w:firstLine="486"/>
        <w:spacing w:after="0" w:line="257" w:lineRule="auto"/>
        <w:rPr>
          <w:sz w:val="20"/>
          <w:szCs w:val="20"/>
          <w:color w:val="auto"/>
        </w:rPr>
      </w:pPr>
      <w:r>
        <w:rPr>
          <w:rFonts w:ascii="Arial" w:cs="Arial" w:eastAsia="Arial" w:hAnsi="Arial"/>
          <w:sz w:val="18"/>
          <w:szCs w:val="18"/>
          <w:color w:val="auto"/>
        </w:rPr>
        <w:t>We are a relatively new entrant in the network security market and we believe that we have not yet established sufficient market awareness of our participation in that market. Market awareness of our capabilities and products is essential to our continued growth and our success in all of our markets, particularly for the large enterprise, service provider and government entities markets. If our marketing programs are not successful in creating market awareness of our company and products, our business, financial condition and results of operations will be adversely affected, and we will not be able to achieve sustained growth.</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Demand for Unified Threat Management products may be limited by market perception that UTM products are inferior to network security solutions from multiple vendors.</w:t>
      </w:r>
    </w:p>
    <w:p>
      <w:pPr>
        <w:spacing w:after="0" w:line="170"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intense competition in our market, especially from larger, better-known companies, and we may lack sufficient financial or other resources to maintain or improve our competitive position.</w:t>
      </w:r>
    </w:p>
    <w:p>
      <w:pPr>
        <w:spacing w:after="0" w:line="170"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The market for network security products is intensely competitive and we expect competition to intensify in the future. Our competitors include networking companies such as Cisco Systems, Inc. and Juniper Networks, Inc., security vendors such as Check Point Software Technologies Ltd., McAfee, Inc. (acquired by Intel, Inc.), and SonicWALL, Inc. (acquired by Thoma Bravo), and other point solution security vendors.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341" w:right="31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are in a better position to withstand any significant reduction in capital spending by end-customers in these markets, and will therefore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 of McAfee and Check Point's acquisition of Nokia's security appliance business.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Large, well-established providers of networking equipment such as Cisco Systems, Inc. and Juniper Networks, Inc.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rely primarily on patent, trademark, copyright and trade secrets laws, confidentiality procedures and contractual provisions to protect our technology. We purchased most of our issued U.S. patents and many of our pending U.S. patent applications from other entities. Valid patents may not issue from our pending applications, and the claims eventually allowed on any patents may not be sufficiently broad to protect our technology or products. Any issued patents may be challenged,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41" w:right="2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invalidated or circumvented, and any rights granted under these patents may not actually provide adequate defensive protection or competitive advantages to us. Patent applications in the United States are typically not published until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As a result, we may not be able to obtain adequate patent protection or effectively enforce our issued patents.</w:t>
      </w:r>
    </w:p>
    <w:p>
      <w:pPr>
        <w:spacing w:after="0" w:line="17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time-to-time,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(GPL), the GNU Lesser Public License (LGPL), the BSD License, the Apache License and others. From time-to-time,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future litigation may involve patent holding companies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Although third parties may offer a license to their technology, the terms of any offered license may not be acceptable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81"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We have been involved in patent disputes in the past, are currently involved in several patent disputes, and likely will be involved in additional disputes in the future. In May 2004, Trend Micro Incorporated filed a complaint against us alleging that we infringed a Trend Micro patent related to antivirus software. The International Trade Commission, or ITC, subsequently instituted an investigation which resulted in an exclusion order and a cease and desist order prohibiting us from selling a broad array of our products in the United States. In January 2006, we settled the lawsuit with Trend Micro, and subsequently the ITC terminated its action and rescinded the orders. Pursuant to the settlement and license agreement, we initially paid Trend Micro $15.0 million. The settlement and license agreement provides for additional quarterly royalty payments, not expected to exceed 1.0% of our total revenue each quarter, through 2015. In November 2008, we filed a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Trend Micro moved to dismiss the case, and, in June 2009, the court dismissed the case without prejudice on procedural grounds, and we appealed the dismissal in July 2009. Based on the dispute, we ceased paying royalties under the settlement and license agreement. In August 2009, Trend Micro filed a complaint against us in the Superior Court of the State of California for Santa Clara County alleging breach of contract and seeking a declaratory judgment that we are obligated to make certain royalty payments to Trend Micro. In December 2009, we withdrew our appeal of the June 2009 dismissal by the United States District Court for the Northern District of California and filed a new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In February 2010, Trend Micro filed demurrers in the state Superior Court action regarding Fortinet's affirmative defenses that Fortinet has no obligation to pay royalties because the Trend Micro patents are invalid or unenforceable. In March 2010, Trend Micro filed a motion to dismiss our new complaint that we filed in the United States District Court for the Northern District of California. In May 2010, the state Superior Court denied Trend Micro's demurrer in its entirety. Also in May 2010, the United States District Court for the Northern District of California denied Trend Micro's motion to dismiss without prejudice and stayed the action before that court pending the conclusion of the state Superior Court action. In May 2011, in response to petitions for re-examination we filed with the U.S. Patent and Trademark Office (“PTO”) on two Trend Micro patents, the PTO issued final office actions rejecting a number of the Trend Micro patent claims allegedly forming the basis for the royalty payments. Trend Micro has responded disputing one of the final office actions. At this stage it is not possible to predict the outcome. An adverse outcome in this dispute could result in accelerated royalty payments and additional damages.</w:t>
      </w:r>
    </w:p>
    <w:p>
      <w:pPr>
        <w:spacing w:after="0" w:line="396"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As discussed in "Item 1-Legal Proceedings," from time to time we are subject to lawsuits claiming patent infringement and there are lawsuits claiming patent infringement currently pending. We are also subject to other litigation in addition to patent infringement claims. If we are unsuccessful in defending any such claims, our operating results and financial condition and results may be materially and adversely affected. For example, we may be required to pay substantial damages and could be prevented from selling certain of our products. In addition to the lawsuits described in "Legal Proceedings,"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341" w:right="2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We are in process of completing our evaluation of our internal controls over financial reporting for fiscal 2011 as required by Section 404 of the Sarbanes-Oxley Act of 2002. Although our assessment, testing and evaluation resulted in our conclusion that as of December 31, 2010, our internal controls over financial reporting were effective, we cannot predict the outcome of our testing in current or future periods. If our internal controls or disclosure controls are ineffective in current or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A change in accounting standards or practices and varying interpretations of existing accounting pronouncements, such as changes to standards related to revenue recognition recently adopted by the FASB, the increased use of fair value measure, the recent proposed change to revenue recognition, lease accounting, financial instrument accounting standards, and the potential requirement that U.S. registrants prepare financial statements in accordance with International Financial Reporting Standards (“IFRS”), could have a significant effect on our reported financial results or the way we conduct our business. Effective January 1, 2011, we started reporting revenue recognition based on the new revenue standards issued by the FASB. If we do not ensure that proper systems and processes for revenue recognition are aligned with the new standards, this could have a material adverse impact on our business.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ind w:right="380" w:firstLine="486"/>
        <w:spacing w:after="0" w:line="308" w:lineRule="auto"/>
        <w:rPr>
          <w:sz w:val="20"/>
          <w:szCs w:val="20"/>
          <w:color w:val="auto"/>
        </w:rPr>
      </w:pPr>
      <w:r>
        <w:rPr>
          <w:rFonts w:ascii="Arial" w:cs="Arial" w:eastAsia="Arial" w:hAnsi="Arial"/>
          <w:sz w:val="17"/>
          <w:szCs w:val="17"/>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w:t>
      </w:r>
    </w:p>
    <w:p>
      <w:pPr>
        <w:spacing w:after="0" w:line="14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harm our business.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failure to raise additional capital or generate the significant capital necessary to expand our operations and invest in new products could reduce our ability to compete and could harm our business.</w:t>
      </w:r>
    </w:p>
    <w:p>
      <w:pPr>
        <w:spacing w:after="0" w:line="17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expect that our existing cash and cash equivalents will be sufficient to meet our anticipated cash needs for at least the next 12 months. After that, we may need to raise additional funds, and we may not be able to obtain additional debt or equity financing on favorable terms, if at all. If we raise additional equity financing, our stockholders may experience significant dilution of their ownership interests and the per-share value of our common stock could decline. Furthermore, if we engage in debt financing, the holders of debt would have priority over the holders of common stock and we may be required to accept terms that restrict our ability to incur additional indebtedness. We may also be required to take other actions that would otherwise be in the interests of the stockholders and force us to maintain specified liquidity or other ratios, any of which could harm our business, operating results and financial condition. If we need additional capital and cannot raise it on acceptable terms, we may not be able to, among other things:</w:t>
      </w:r>
    </w:p>
    <w:p>
      <w:pPr>
        <w:spacing w:after="0" w:line="178" w:lineRule="exact"/>
        <w:rPr>
          <w:sz w:val="20"/>
          <w:szCs w:val="20"/>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 or enhance our products and services;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expand our sales and marketing and research and development organizations;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operations, in the United States or internationally;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do any of these things could seriously harm our business, financial condition and results of operations.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17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As of October 28, 2011, our executive officers, directors and their affiliates beneficially owned, in the aggregate, approximately 17.4%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620" w:firstLine="486"/>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225"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820" w:right="120" w:hanging="326"/>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right="32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15.0%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341" w:right="27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FORTINET, INC.</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EN</w:t>
            </w:r>
            <w:r>
              <w:rPr>
                <w:rFonts w:ascii="Arial" w:cs="Arial" w:eastAsia="Arial" w:hAnsi="Arial"/>
                <w:sz w:val="18"/>
                <w:szCs w:val="18"/>
                <w:color w:val="auto"/>
              </w:rPr>
              <w:t xml:space="preserve"> G</w:t>
            </w:r>
            <w:r>
              <w:rPr>
                <w:rFonts w:ascii="Arial" w:cs="Arial" w:eastAsia="Arial" w:hAnsi="Arial"/>
                <w:sz w:val="12"/>
                <w:szCs w:val="12"/>
                <w:color w:val="auto"/>
              </w:rPr>
              <w:t>OLDMAN</w:t>
            </w:r>
          </w:p>
        </w:tc>
        <w:tc>
          <w:tcPr>
            <w:tcW w:w="0" w:type="dxa"/>
            <w:vAlign w:val="bottom"/>
          </w:tcPr>
          <w:p>
            <w:pPr>
              <w:spacing w:after="0"/>
              <w:rPr>
                <w:sz w:val="1"/>
                <w:szCs w:val="1"/>
                <w:color w:val="auto"/>
              </w:rPr>
            </w:pPr>
          </w:p>
        </w:tc>
      </w:tr>
      <w:tr>
        <w:trPr>
          <w:trHeight w:val="27"/>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FFFFFF"/>
              </w:rPr>
              <w:t>Ken Goldman</w:t>
            </w: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240" w:type="dxa"/>
            <w:vAlign w:val="bottom"/>
            <w:vMerge w:val="continue"/>
          </w:tcPr>
          <w:p>
            <w:pPr>
              <w:spacing w:after="0"/>
              <w:rPr>
                <w:sz w:val="12"/>
                <w:szCs w:val="12"/>
                <w:color w:val="auto"/>
              </w:rPr>
            </w:pPr>
          </w:p>
        </w:tc>
        <w:tc>
          <w:tcPr>
            <w:tcW w:w="51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Ken Goldman</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20"/>
                <w:szCs w:val="20"/>
                <w:color w:val="auto"/>
              </w:rPr>
            </w:pPr>
            <w:r>
              <w:rPr>
                <w:rFonts w:ascii="Arial" w:cs="Arial" w:eastAsia="Arial" w:hAnsi="Arial"/>
                <w:sz w:val="14"/>
                <w:szCs w:val="14"/>
                <w:b w:val="1"/>
                <w:bCs w:val="1"/>
                <w:color w:val="FFFFFF"/>
              </w:rPr>
              <w:t>Vice President and Chief Financial Officer</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Vice President and Chief Financial Officer</w:t>
            </w:r>
          </w:p>
        </w:tc>
        <w:tc>
          <w:tcPr>
            <w:tcW w:w="0" w:type="dxa"/>
            <w:vAlign w:val="bottom"/>
          </w:tcPr>
          <w:p>
            <w:pPr>
              <w:spacing w:after="0"/>
              <w:rPr>
                <w:sz w:val="1"/>
                <w:szCs w:val="1"/>
                <w:color w:val="auto"/>
              </w:rPr>
            </w:pPr>
          </w:p>
        </w:tc>
      </w:tr>
      <w:tr>
        <w:trPr>
          <w:trHeight w:val="687"/>
        </w:trPr>
        <w:tc>
          <w:tcPr>
            <w:tcW w:w="6240" w:type="dxa"/>
            <w:vAlign w:val="bottom"/>
          </w:tcPr>
          <w:p>
            <w:pPr>
              <w:jc w:val="right"/>
              <w:ind w:right="399"/>
              <w:spacing w:after="0"/>
              <w:rPr>
                <w:sz w:val="20"/>
                <w:szCs w:val="20"/>
                <w:color w:val="auto"/>
              </w:rPr>
            </w:pPr>
            <w:r>
              <w:rPr>
                <w:rFonts w:ascii="Arial" w:cs="Arial" w:eastAsia="Arial" w:hAnsi="Arial"/>
                <w:sz w:val="18"/>
                <w:szCs w:val="18"/>
                <w:color w:val="auto"/>
              </w:rPr>
              <w:t>61</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Exhibit</w:t>
            </w: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7"/>
        </w:trPr>
        <w:tc>
          <w:tcPr>
            <w:tcW w:w="1620" w:type="dxa"/>
            <w:vAlign w:val="bottom"/>
            <w:gridSpan w:val="2"/>
          </w:tcPr>
          <w:p>
            <w:pPr>
              <w:ind w:left="400"/>
              <w:spacing w:after="0"/>
              <w:rPr>
                <w:sz w:val="20"/>
                <w:szCs w:val="20"/>
                <w:color w:val="auto"/>
              </w:rPr>
            </w:pPr>
            <w:r>
              <w:rPr>
                <w:rFonts w:ascii="Arial" w:cs="Arial" w:eastAsia="Arial" w:hAnsi="Arial"/>
                <w:sz w:val="16"/>
                <w:szCs w:val="16"/>
                <w:b w:val="1"/>
                <w:bCs w:val="1"/>
                <w:color w:val="auto"/>
              </w:rPr>
              <w:t>Number</w:t>
            </w:r>
          </w:p>
        </w:tc>
        <w:tc>
          <w:tcPr>
            <w:tcW w:w="5380" w:type="dxa"/>
            <w:vAlign w:val="bottom"/>
            <w:gridSpan w:val="2"/>
          </w:tcPr>
          <w:p>
            <w:pPr>
              <w:ind w:left="2160"/>
              <w:spacing w:after="0"/>
              <w:rPr>
                <w:sz w:val="20"/>
                <w:szCs w:val="20"/>
                <w:color w:val="auto"/>
              </w:rPr>
            </w:pPr>
            <w:r>
              <w:rPr>
                <w:rFonts w:ascii="Arial" w:cs="Arial" w:eastAsia="Arial" w:hAnsi="Arial"/>
                <w:sz w:val="16"/>
                <w:szCs w:val="16"/>
                <w:b w:val="1"/>
                <w:bCs w:val="1"/>
                <w:color w:val="auto"/>
              </w:rPr>
              <w:t>Description</w:t>
            </w:r>
          </w:p>
        </w:tc>
        <w:tc>
          <w:tcPr>
            <w:tcW w:w="4420" w:type="dxa"/>
            <w:vAlign w:val="bottom"/>
            <w:gridSpan w:val="5"/>
          </w:tcPr>
          <w:p>
            <w:pPr>
              <w:ind w:left="1000"/>
              <w:spacing w:after="0"/>
              <w:rPr>
                <w:sz w:val="20"/>
                <w:szCs w:val="20"/>
                <w:color w:val="auto"/>
              </w:rPr>
            </w:pPr>
            <w:r>
              <w:rPr>
                <w:rFonts w:ascii="Arial" w:cs="Arial" w:eastAsia="Arial" w:hAnsi="Arial"/>
                <w:sz w:val="16"/>
                <w:szCs w:val="16"/>
                <w:b w:val="1"/>
                <w:bCs w:val="1"/>
                <w:color w:val="auto"/>
              </w:rPr>
              <w:t>Incorporated By Reference Herein</w:t>
            </w:r>
          </w:p>
        </w:tc>
      </w:tr>
      <w:tr>
        <w:trPr>
          <w:trHeight w:val="33"/>
        </w:trPr>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gridSpan w:val="3"/>
          </w:tcPr>
          <w:p>
            <w:pPr>
              <w:ind w:left="1140"/>
              <w:spacing w:after="0" w:line="196" w:lineRule="exact"/>
              <w:rPr>
                <w:sz w:val="20"/>
                <w:szCs w:val="20"/>
                <w:color w:val="auto"/>
              </w:rPr>
            </w:pPr>
            <w:r>
              <w:rPr>
                <w:rFonts w:ascii="Arial" w:cs="Arial" w:eastAsia="Arial" w:hAnsi="Arial"/>
                <w:sz w:val="18"/>
                <w:szCs w:val="18"/>
                <w:b w:val="1"/>
                <w:bCs w:val="1"/>
                <w:color w:val="auto"/>
              </w:rPr>
              <w:t>Form</w:t>
            </w:r>
          </w:p>
        </w:tc>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Date</w:t>
            </w:r>
          </w:p>
        </w:tc>
      </w:tr>
      <w:tr>
        <w:trPr>
          <w:trHeight w:val="506"/>
        </w:trPr>
        <w:tc>
          <w:tcPr>
            <w:tcW w:w="1380" w:type="dxa"/>
            <w:vAlign w:val="bottom"/>
          </w:tcPr>
          <w:p>
            <w:pPr>
              <w:ind w:left="18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 Exchange Act</w:t>
            </w:r>
          </w:p>
        </w:tc>
        <w:tc>
          <w:tcPr>
            <w:tcW w:w="11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5"/>
              </w:rPr>
              <w:t>Rules 13a-14(a) and 15d-14(a), as adopted pursuant to Section 302 of</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85"/>
        </w:trPr>
        <w:tc>
          <w:tcPr>
            <w:tcW w:w="1380" w:type="dxa"/>
            <w:vAlign w:val="bottom"/>
          </w:tcPr>
          <w:p>
            <w:pPr>
              <w:ind w:left="18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Certification of Chief Financial Officer pursuant to Exchange Act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5"/>
              </w:rPr>
              <w:t>Rules 13a-14(a) and 15d-14(a), as adopted pursuant to Section 302 of</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85"/>
        </w:trPr>
        <w:tc>
          <w:tcPr>
            <w:tcW w:w="1380" w:type="dxa"/>
            <w:vAlign w:val="bottom"/>
          </w:tcPr>
          <w:p>
            <w:pPr>
              <w:ind w:left="18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Certifications of Chief Executive Officer and Chief Financial Officer</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8"/>
              </w:rPr>
              <w:t>pursuant to 18 U.S.C. Section 1350, as adopted pursuant to Section</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906 of the Sarbanes-Oxley Act of 2002</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42"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right="220" w:firstLine="8"/>
        <w:spacing w:after="0" w:line="286" w:lineRule="auto"/>
        <w:tabs>
          <w:tab w:leader="none" w:pos="225" w:val="left"/>
        </w:tabs>
        <w:numPr>
          <w:ilvl w:val="0"/>
          <w:numId w:val="33"/>
        </w:numPr>
        <w:rPr>
          <w:rFonts w:ascii="Arial" w:cs="Arial" w:eastAsia="Arial" w:hAnsi="Arial"/>
          <w:sz w:val="17"/>
          <w:szCs w:val="17"/>
          <w:color w:val="auto"/>
        </w:rPr>
      </w:pPr>
      <w:r>
        <w:rPr>
          <w:rFonts w:ascii="Arial" w:cs="Arial" w:eastAsia="Arial" w:hAnsi="Arial"/>
          <w:sz w:val="17"/>
          <w:szCs w:val="17"/>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77" w:lineRule="exact"/>
        <w:rPr>
          <w:sz w:val="20"/>
          <w:szCs w:val="20"/>
          <w:color w:val="auto"/>
        </w:rPr>
      </w:pPr>
    </w:p>
    <w:p>
      <w:pPr>
        <w:ind w:left="880" w:hanging="46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40" w:hanging="467"/>
        <w:spacing w:after="0" w:line="306"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00" w:right="80" w:hanging="455"/>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300" w:right="380" w:hanging="455"/>
        <w:spacing w:after="0" w:line="325"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455"/>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240" w:hanging="467"/>
        <w:spacing w:after="0" w:line="325"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55"/>
        <w:spacing w:after="0" w:line="325"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40" w:hanging="455"/>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November 4, 2011</w:t>
            </w:r>
          </w:p>
        </w:tc>
        <w:tc>
          <w:tcPr>
            <w:tcW w:w="6460" w:type="dxa"/>
            <w:vAlign w:val="bottom"/>
            <w:gridSpan w:val="2"/>
          </w:tcPr>
          <w:p>
            <w:pPr>
              <w:ind w:left="900"/>
              <w:spacing w:after="0"/>
              <w:rPr>
                <w:sz w:val="20"/>
                <w:szCs w:val="20"/>
                <w:color w:val="auto"/>
              </w:rPr>
            </w:pPr>
            <w:r>
              <w:rPr>
                <w:rFonts w:ascii="Arial" w:cs="Arial" w:eastAsia="Arial" w:hAnsi="Arial"/>
                <w:sz w:val="18"/>
                <w:szCs w:val="18"/>
                <w:color w:val="auto"/>
              </w:rPr>
              <w:t>By:  /s/ Ken Xie</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Ken Xie</w:t>
            </w:r>
          </w:p>
        </w:tc>
        <w:tc>
          <w:tcPr>
            <w:tcW w:w="0" w:type="dxa"/>
            <w:vAlign w:val="bottom"/>
          </w:tcPr>
          <w:p>
            <w:pPr>
              <w:spacing w:after="0"/>
              <w:rPr>
                <w:sz w:val="1"/>
                <w:szCs w:val="1"/>
                <w:color w:val="auto"/>
              </w:rPr>
            </w:pPr>
          </w:p>
        </w:tc>
      </w:tr>
      <w:tr>
        <w:trPr>
          <w:trHeight w:val="241"/>
        </w:trPr>
        <w:tc>
          <w:tcPr>
            <w:tcW w:w="4920" w:type="dxa"/>
            <w:vAlign w:val="bottom"/>
          </w:tcPr>
          <w:p>
            <w:pPr>
              <w:ind w:left="580"/>
              <w:spacing w:after="0"/>
              <w:rPr>
                <w:sz w:val="20"/>
                <w:szCs w:val="20"/>
                <w:color w:val="auto"/>
              </w:rPr>
            </w:pPr>
            <w:r>
              <w:rPr>
                <w:rFonts w:ascii="Arial" w:cs="Arial" w:eastAsia="Arial" w:hAnsi="Arial"/>
                <w:sz w:val="18"/>
                <w:szCs w:val="18"/>
                <w:i w:val="1"/>
                <w:iCs w:val="1"/>
                <w:color w:val="FFFFFF"/>
              </w:rPr>
              <w:t>President, Chief Executive Officer and Director</w:t>
            </w:r>
          </w:p>
        </w:tc>
        <w:tc>
          <w:tcPr>
            <w:tcW w:w="1320" w:type="dxa"/>
            <w:vAlign w:val="bottom"/>
          </w:tcPr>
          <w:p>
            <w:pPr>
              <w:spacing w:after="0"/>
              <w:rPr>
                <w:sz w:val="20"/>
                <w:szCs w:val="20"/>
                <w:color w:val="auto"/>
              </w:rPr>
            </w:pPr>
          </w:p>
        </w:tc>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President, Chief Executive Officer and Director</w:t>
            </w:r>
          </w:p>
        </w:tc>
        <w:tc>
          <w:tcPr>
            <w:tcW w:w="0" w:type="dxa"/>
            <w:vAlign w:val="bottom"/>
          </w:tcPr>
          <w:p>
            <w:pPr>
              <w:spacing w:after="0"/>
              <w:rPr>
                <w:sz w:val="1"/>
                <w:szCs w:val="1"/>
                <w:color w:val="auto"/>
              </w:rPr>
            </w:pPr>
          </w:p>
        </w:tc>
      </w:tr>
      <w:tr>
        <w:trPr>
          <w:trHeight w:val="59"/>
        </w:trPr>
        <w:tc>
          <w:tcPr>
            <w:tcW w:w="4920" w:type="dxa"/>
            <w:vAlign w:val="bottom"/>
            <w:vMerge w:val="restart"/>
          </w:tcPr>
          <w:p>
            <w:pPr>
              <w:ind w:left="580"/>
              <w:spacing w:after="0"/>
              <w:rPr>
                <w:sz w:val="20"/>
                <w:szCs w:val="20"/>
                <w:color w:val="auto"/>
              </w:rPr>
            </w:pPr>
            <w:r>
              <w:rPr>
                <w:rFonts w:ascii="Arial" w:cs="Arial" w:eastAsia="Arial" w:hAnsi="Arial"/>
                <w:sz w:val="18"/>
                <w:szCs w:val="18"/>
                <w:i w:val="1"/>
                <w:iCs w:val="1"/>
                <w:color w:val="FFFFFF"/>
              </w:rPr>
              <w:t>(Principal Executive Officer)</w:t>
            </w:r>
          </w:p>
        </w:tc>
        <w:tc>
          <w:tcPr>
            <w:tcW w:w="1320" w:type="dxa"/>
            <w:vAlign w:val="bottom"/>
          </w:tcPr>
          <w:p>
            <w:pPr>
              <w:spacing w:after="0"/>
              <w:rPr>
                <w:sz w:val="5"/>
                <w:szCs w:val="5"/>
                <w:color w:val="auto"/>
              </w:rPr>
            </w:pPr>
          </w:p>
        </w:tc>
        <w:tc>
          <w:tcPr>
            <w:tcW w:w="5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492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Ken Goldman, certify that:</w:t>
      </w:r>
    </w:p>
    <w:p>
      <w:pPr>
        <w:spacing w:after="0" w:line="77" w:lineRule="exact"/>
        <w:rPr>
          <w:sz w:val="20"/>
          <w:szCs w:val="20"/>
          <w:color w:val="auto"/>
        </w:rPr>
      </w:pPr>
    </w:p>
    <w:p>
      <w:pPr>
        <w:ind w:left="880" w:hanging="46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40" w:hanging="467"/>
        <w:spacing w:after="0" w:line="306"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20" w:right="80" w:hanging="448"/>
        <w:spacing w:after="0" w:line="264" w:lineRule="auto"/>
        <w:tabs>
          <w:tab w:leader="none" w:pos="1320"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320" w:right="380" w:hanging="448"/>
        <w:spacing w:after="0" w:line="325" w:lineRule="auto"/>
        <w:tabs>
          <w:tab w:leader="none" w:pos="1320" w:val="left"/>
        </w:tabs>
        <w:numPr>
          <w:ilvl w:val="2"/>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20" w:right="100" w:hanging="448"/>
        <w:spacing w:after="0" w:line="264" w:lineRule="auto"/>
        <w:tabs>
          <w:tab w:leader="none" w:pos="13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240" w:hanging="467"/>
        <w:spacing w:after="0" w:line="325"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20" w:right="620" w:hanging="448"/>
        <w:spacing w:after="0" w:line="325" w:lineRule="auto"/>
        <w:tabs>
          <w:tab w:leader="none" w:pos="1320" w:val="left"/>
        </w:tabs>
        <w:numPr>
          <w:ilvl w:val="2"/>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20" w:right="320" w:hanging="448"/>
        <w:spacing w:after="0" w:line="277" w:lineRule="auto"/>
        <w:tabs>
          <w:tab w:leader="none" w:pos="13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5840" w:val="left"/>
          <w:tab w:leader="none" w:pos="6300" w:val="left"/>
        </w:tabs>
        <w:rPr>
          <w:sz w:val="20"/>
          <w:szCs w:val="20"/>
          <w:color w:val="auto"/>
        </w:rPr>
      </w:pPr>
      <w:r>
        <w:rPr>
          <w:rFonts w:ascii="Arial" w:cs="Arial" w:eastAsia="Arial" w:hAnsi="Arial"/>
          <w:sz w:val="18"/>
          <w:szCs w:val="18"/>
          <w:color w:val="auto"/>
        </w:rPr>
        <w:t>Date:</w:t>
        <w:tab/>
        <w:t>November 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6"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Ken Goldman</w:t>
      </w:r>
    </w:p>
    <w:p>
      <w:pPr>
        <w:spacing w:after="0" w:line="3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Chief Financial Officer</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(Principal Financing Officer)</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73" w:lineRule="exact"/>
        <w:rPr>
          <w:sz w:val="20"/>
          <w:szCs w:val="20"/>
          <w:color w:val="auto"/>
        </w:rPr>
      </w:pPr>
    </w:p>
    <w:p>
      <w:pPr>
        <w:jc w:val="both"/>
        <w:ind w:right="20" w:firstLine="525"/>
        <w:spacing w:after="0" w:line="257" w:lineRule="auto"/>
        <w:rPr>
          <w:sz w:val="20"/>
          <w:szCs w:val="20"/>
          <w:color w:val="auto"/>
        </w:rPr>
      </w:pPr>
      <w:r>
        <w:rPr>
          <w:rFonts w:ascii="Arial" w:cs="Arial" w:eastAsia="Arial" w:hAnsi="Arial"/>
          <w:sz w:val="18"/>
          <w:szCs w:val="18"/>
          <w:color w:val="auto"/>
        </w:rPr>
        <w:t>In connection with the Quarterly Report on Form 10-Q of Fortinet, Inc. for the quarterly period ended September 30, 2011 as filed with the Securities and Exchange Commission on the date hereof (the “Report”), Ken Xie, as Principal Executive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323" w:lineRule="exact"/>
        <w:rPr>
          <w:sz w:val="20"/>
          <w:szCs w:val="20"/>
          <w:color w:val="auto"/>
        </w:rPr>
      </w:pPr>
    </w:p>
    <w:p>
      <w:pPr>
        <w:spacing w:after="0"/>
        <w:tabs>
          <w:tab w:leader="none" w:pos="560" w:val="left"/>
          <w:tab w:leader="none" w:pos="5800" w:val="left"/>
          <w:tab w:leader="none" w:pos="6260" w:val="left"/>
        </w:tabs>
        <w:rPr>
          <w:sz w:val="20"/>
          <w:szCs w:val="20"/>
          <w:color w:val="auto"/>
        </w:rPr>
      </w:pPr>
      <w:r>
        <w:rPr>
          <w:rFonts w:ascii="Arial" w:cs="Arial" w:eastAsia="Arial" w:hAnsi="Arial"/>
          <w:sz w:val="18"/>
          <w:szCs w:val="18"/>
          <w:color w:val="auto"/>
        </w:rPr>
        <w:t>Date:</w:t>
        <w:tab/>
        <w:t>November 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31750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6"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Ken Xie</w:t>
      </w:r>
    </w:p>
    <w:p>
      <w:pPr>
        <w:spacing w:after="0" w:line="105" w:lineRule="exact"/>
        <w:rPr>
          <w:sz w:val="20"/>
          <w:szCs w:val="20"/>
          <w:color w:val="auto"/>
        </w:rPr>
      </w:pPr>
    </w:p>
    <w:p>
      <w:pPr>
        <w:ind w:left="6280"/>
        <w:spacing w:after="0"/>
        <w:rPr>
          <w:sz w:val="20"/>
          <w:szCs w:val="20"/>
          <w:color w:val="auto"/>
        </w:rPr>
      </w:pPr>
      <w:r>
        <w:rPr>
          <w:rFonts w:ascii="Arial" w:cs="Arial" w:eastAsia="Arial" w:hAnsi="Arial"/>
          <w:sz w:val="13"/>
          <w:szCs w:val="13"/>
          <w:b w:val="1"/>
          <w:bCs w:val="1"/>
          <w:color w:val="auto"/>
        </w:rPr>
        <w:t>President and Chief Executive Officer and Director (Principal Executive Officer)</w:t>
      </w:r>
    </w:p>
    <w:p>
      <w:pPr>
        <w:spacing w:after="0" w:line="359" w:lineRule="exact"/>
        <w:rPr>
          <w:sz w:val="20"/>
          <w:szCs w:val="20"/>
          <w:color w:val="auto"/>
        </w:rPr>
      </w:pPr>
    </w:p>
    <w:p>
      <w:pPr>
        <w:jc w:val="both"/>
        <w:ind w:right="20" w:firstLine="525"/>
        <w:spacing w:after="0" w:line="257" w:lineRule="auto"/>
        <w:rPr>
          <w:sz w:val="20"/>
          <w:szCs w:val="20"/>
          <w:color w:val="auto"/>
        </w:rPr>
      </w:pPr>
      <w:r>
        <w:rPr>
          <w:rFonts w:ascii="Arial" w:cs="Arial" w:eastAsia="Arial" w:hAnsi="Arial"/>
          <w:sz w:val="18"/>
          <w:szCs w:val="18"/>
          <w:color w:val="auto"/>
        </w:rPr>
        <w:t>In connection with the Quarterly Report on Form 10-Q of Fortinet, Inc. for the quarterly period ended September 30, 2011 as filed with the Securities and Exchange Commission on the date hereof (the “Report”), Ken Goldman, as Principal Financial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323" w:lineRule="exact"/>
        <w:rPr>
          <w:sz w:val="20"/>
          <w:szCs w:val="20"/>
          <w:color w:val="auto"/>
        </w:rPr>
      </w:pPr>
    </w:p>
    <w:p>
      <w:pPr>
        <w:spacing w:after="0"/>
        <w:tabs>
          <w:tab w:leader="none" w:pos="560" w:val="left"/>
          <w:tab w:leader="none" w:pos="5800" w:val="left"/>
          <w:tab w:leader="none" w:pos="6260" w:val="left"/>
        </w:tabs>
        <w:rPr>
          <w:sz w:val="20"/>
          <w:szCs w:val="20"/>
          <w:color w:val="auto"/>
        </w:rPr>
      </w:pPr>
      <w:r>
        <w:rPr>
          <w:rFonts w:ascii="Arial" w:cs="Arial" w:eastAsia="Arial" w:hAnsi="Arial"/>
          <w:sz w:val="18"/>
          <w:szCs w:val="18"/>
          <w:color w:val="auto"/>
        </w:rPr>
        <w:t>Date:</w:t>
        <w:tab/>
        <w:t>November 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31750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6"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Ken Goldman</w:t>
      </w:r>
    </w:p>
    <w:p>
      <w:pPr>
        <w:spacing w:after="0" w:line="38"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Chief Financial Officer</w:t>
      </w:r>
    </w:p>
    <w:p>
      <w:pPr>
        <w:spacing w:after="0" w:line="4"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(Principal Financing Officer)</w:t>
      </w:r>
    </w:p>
    <w:sectPr>
      <w:pgSz w:w="11900" w:h="16838" w:orient="portrait"/>
      <w:cols w:equalWidth="0" w:num="1">
        <w:col w:w="11380"/>
      </w:cols>
      <w:pgMar w:left="28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lowerRoman"/>
      <w:start w:val="10"/>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2"/>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6">
    <w:nsid w:val="77465F0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2019-12-10T23:55:48Z</dcterms:created>
  <dcterms:modified xsi:type="dcterms:W3CDTF">2019-12-10T23:55:48Z</dcterms:modified>
</cp:coreProperties>
</file>