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94" w:lineRule="exact"/>
        <w:rPr>
          <w:sz w:val="24"/>
          <w:szCs w:val="24"/>
          <w:color w:val="auto"/>
        </w:rPr>
      </w:pPr>
    </w:p>
    <w:p>
      <w:pPr>
        <w:ind w:left="4140" w:right="2040" w:hanging="4114"/>
        <w:spacing w:after="0" w:line="438" w:lineRule="auto"/>
        <w:tabs>
          <w:tab w:leader="none" w:pos="3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year ended December 31, 2024</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306" w:lineRule="exact"/>
        <w:rPr>
          <w:rFonts w:ascii="MS PGothic" w:cs="MS PGothic" w:eastAsia="MS PGothic" w:hAnsi="MS PGothic"/>
          <w:sz w:val="18"/>
          <w:szCs w:val="18"/>
          <w:color w:val="auto"/>
        </w:rPr>
      </w:pPr>
    </w:p>
    <w:p>
      <w:pPr>
        <w:ind w:left="420" w:hanging="38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001-34511</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FORTINET,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6" w:lineRule="exact"/>
        <w:rPr>
          <w:sz w:val="24"/>
          <w:szCs w:val="24"/>
          <w:color w:val="auto"/>
        </w:rPr>
      </w:pPr>
    </w:p>
    <w:tbl>
      <w:tblPr>
        <w:tblLayout w:type="fixed"/>
        <w:tblInd w:w="1760" w:type="dxa"/>
        <w:tblCellMar>
          <w:top w:w="0" w:type="dxa"/>
          <w:left w:w="0" w:type="dxa"/>
          <w:bottom w:w="0" w:type="dxa"/>
          <w:right w:w="0" w:type="dxa"/>
        </w:tblCellMar>
      </w:tblPr>
      <w:tr>
        <w:trPr>
          <w:trHeight w:val="236"/>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164"/>
        </w:trPr>
        <w:tc>
          <w:tcPr>
            <w:tcW w:w="4080" w:type="dxa"/>
            <w:vAlign w:val="bottom"/>
          </w:tcPr>
          <w:p>
            <w:pPr>
              <w:jc w:val="center"/>
              <w:ind w:right="185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220" w:type="dxa"/>
            <w:vAlign w:val="bottom"/>
          </w:tcPr>
          <w:p>
            <w:pPr>
              <w:jc w:val="center"/>
              <w:ind w:left="185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080" w:type="dxa"/>
            <w:vAlign w:val="bottom"/>
          </w:tcPr>
          <w:p>
            <w:pPr>
              <w:jc w:val="center"/>
              <w:ind w:right="1876"/>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220" w:type="dxa"/>
            <w:vAlign w:val="bottom"/>
          </w:tcPr>
          <w:p>
            <w:pPr>
              <w:jc w:val="center"/>
              <w:ind w:left="18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909 Kifer Road</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Sunnyvale, California 94086</w:t>
      </w: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235-7700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5"/>
        </w:trPr>
        <w:tc>
          <w:tcPr>
            <w:tcW w:w="4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80" w:type="dxa"/>
            <w:vAlign w:val="bottom"/>
          </w:tcPr>
          <w:p>
            <w:pPr>
              <w:spacing w:after="0"/>
              <w:rPr>
                <w:sz w:val="20"/>
                <w:szCs w:val="20"/>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FTNT</w:t>
            </w:r>
          </w:p>
        </w:tc>
        <w:tc>
          <w:tcPr>
            <w:tcW w:w="80" w:type="dxa"/>
            <w:vAlign w:val="bottom"/>
          </w:tcPr>
          <w:p>
            <w:pPr>
              <w:spacing w:after="0"/>
              <w:rPr>
                <w:sz w:val="20"/>
                <w:szCs w:val="20"/>
                <w:color w:val="auto"/>
              </w:rPr>
            </w:pPr>
          </w:p>
        </w:tc>
        <w:tc>
          <w:tcPr>
            <w:tcW w:w="47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369"/>
        </w:trPr>
        <w:tc>
          <w:tcPr>
            <w:tcW w:w="8900" w:type="dxa"/>
            <w:vAlign w:val="bottom"/>
            <w:gridSpan w:val="5"/>
          </w:tcPr>
          <w:p>
            <w:pPr>
              <w:jc w:val="center"/>
              <w:ind w:left="225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6"/>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64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1099"/>
        </w:trPr>
        <w:tc>
          <w:tcPr>
            <w:tcW w:w="4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8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4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6" w:lineRule="exact"/>
        <w:rPr>
          <w:sz w:val="20"/>
          <w:szCs w:val="20"/>
          <w:color w:val="auto"/>
        </w:rPr>
      </w:pPr>
    </w:p>
    <w:p>
      <w:pPr>
        <w:ind w:right="220" w:firstLine="28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ind w:right="4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right="380" w:firstLine="283"/>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4" w:lineRule="exact"/>
        <w:rPr>
          <w:sz w:val="20"/>
          <w:szCs w:val="20"/>
          <w:color w:val="auto"/>
        </w:rPr>
      </w:pPr>
    </w:p>
    <w:p>
      <w:pPr>
        <w:ind w:right="480" w:firstLine="283"/>
        <w:spacing w:after="0" w:line="25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90" w:lineRule="exact"/>
        <w:rPr>
          <w:sz w:val="20"/>
          <w:szCs w:val="20"/>
          <w:color w:val="auto"/>
        </w:rPr>
      </w:pPr>
    </w:p>
    <w:p>
      <w:pPr>
        <w:ind w:left="300"/>
        <w:spacing w:after="0" w:line="207" w:lineRule="exact"/>
        <w:tabs>
          <w:tab w:leader="none" w:pos="862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ind w:firstLine="283"/>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June 30, 2024, the last business day of the registrant’s most recently completed second quarter, was $31,496,083,015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February 18, 2025, there were 768,974,062 shares of the registrant’s common stock outstanding.</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71" w:lineRule="exact"/>
        <w:rPr>
          <w:sz w:val="20"/>
          <w:szCs w:val="20"/>
          <w:color w:val="auto"/>
        </w:rPr>
      </w:pPr>
    </w:p>
    <w:p>
      <w:pPr>
        <w:ind w:right="300" w:firstLine="283"/>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2073910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00" w:type="dxa"/>
            <w:vAlign w:val="bottom"/>
            <w:gridSpan w:val="8"/>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9"/>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9"/>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0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4"/>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2"/>
        </w:trPr>
        <w:tc>
          <w:tcPr>
            <w:tcW w:w="940" w:type="dxa"/>
            <w:vAlign w:val="bottom"/>
          </w:tcPr>
          <w:p>
            <w:pPr>
              <w:spacing w:after="0"/>
              <w:rPr>
                <w:sz w:val="24"/>
                <w:szCs w:val="24"/>
                <w:color w:val="auto"/>
              </w:rPr>
            </w:pP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660" w:type="dxa"/>
            <w:vAlign w:val="bottom"/>
            <w:tcBorders>
              <w:top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980" w:type="dxa"/>
            <w:vAlign w:val="bottom"/>
            <w:gridSpan w:val="21"/>
          </w:tcPr>
          <w:p>
            <w:pPr>
              <w:spacing w:after="0"/>
              <w:rPr>
                <w:sz w:val="24"/>
                <w:szCs w:val="24"/>
                <w:color w:val="auto"/>
              </w:rPr>
            </w:pPr>
          </w:p>
        </w:tc>
        <w:tc>
          <w:tcPr>
            <w:tcW w:w="54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720" w:type="dxa"/>
            <w:vAlign w:val="bottom"/>
            <w:gridSpan w:val="18"/>
          </w:tcPr>
          <w:p>
            <w:pPr>
              <w:spacing w:after="0"/>
              <w:rPr>
                <w:sz w:val="18"/>
                <w:szCs w:val="18"/>
                <w:color w:val="auto"/>
              </w:rPr>
            </w:pPr>
          </w:p>
        </w:tc>
        <w:tc>
          <w:tcPr>
            <w:tcW w:w="46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580" w:type="dxa"/>
            <w:vAlign w:val="bottom"/>
            <w:gridSpan w:val="11"/>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Cybersecurity</w:t>
            </w:r>
          </w:p>
        </w:tc>
        <w:tc>
          <w:tcPr>
            <w:tcW w:w="1060" w:type="dxa"/>
            <w:vAlign w:val="bottom"/>
            <w:gridSpan w:val="6"/>
          </w:tcPr>
          <w:p>
            <w:pPr>
              <w:spacing w:after="0"/>
              <w:rPr>
                <w:sz w:val="18"/>
                <w:szCs w:val="18"/>
                <w:color w:val="auto"/>
              </w:rPr>
            </w:pPr>
          </w:p>
        </w:tc>
        <w:tc>
          <w:tcPr>
            <w:tcW w:w="7580" w:type="dxa"/>
            <w:vAlign w:val="bottom"/>
            <w:gridSpan w:val="11"/>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gridSpan w:val="3"/>
          </w:tcPr>
          <w:p>
            <w:pPr>
              <w:spacing w:after="0"/>
              <w:rPr>
                <w:sz w:val="18"/>
                <w:szCs w:val="18"/>
                <w:color w:val="auto"/>
              </w:rPr>
            </w:pPr>
          </w:p>
        </w:tc>
        <w:tc>
          <w:tcPr>
            <w:tcW w:w="8640" w:type="dxa"/>
            <w:vAlign w:val="bottom"/>
            <w:gridSpan w:val="17"/>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[Reserved]</w:t>
            </w:r>
          </w:p>
        </w:tc>
        <w:tc>
          <w:tcPr>
            <w:tcW w:w="7280" w:type="dxa"/>
            <w:vAlign w:val="bottom"/>
            <w:gridSpan w:val="18"/>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18"/>
                <w:szCs w:val="18"/>
                <w:color w:val="auto"/>
              </w:rPr>
            </w:pPr>
          </w:p>
        </w:tc>
        <w:tc>
          <w:tcPr>
            <w:tcW w:w="3180" w:type="dxa"/>
            <w:vAlign w:val="bottom"/>
            <w:gridSpan w:val="3"/>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6"/>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80" w:type="dxa"/>
            <w:vAlign w:val="bottom"/>
            <w:gridSpan w:val="10"/>
          </w:tcPr>
          <w:p>
            <w:pPr>
              <w:spacing w:after="0"/>
              <w:rPr>
                <w:sz w:val="18"/>
                <w:szCs w:val="18"/>
                <w:color w:val="auto"/>
              </w:rPr>
            </w:pPr>
          </w:p>
        </w:tc>
        <w:tc>
          <w:tcPr>
            <w:tcW w:w="3180" w:type="dxa"/>
            <w:vAlign w:val="bottom"/>
            <w:gridSpan w:val="3"/>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60" w:type="dxa"/>
            <w:vAlign w:val="bottom"/>
            <w:gridSpan w:val="13"/>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Prevents Inspections</w:t>
            </w:r>
          </w:p>
        </w:tc>
        <w:tc>
          <w:tcPr>
            <w:tcW w:w="4660" w:type="dxa"/>
            <w:vAlign w:val="bottom"/>
            <w:gridSpan w:val="5"/>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5540" w:type="dxa"/>
            <w:vAlign w:val="bottom"/>
            <w:gridSpan w:val="7"/>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340" w:type="dxa"/>
            <w:vAlign w:val="bottom"/>
            <w:gridSpan w:val="2"/>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4180" w:type="dxa"/>
            <w:vAlign w:val="bottom"/>
            <w:gridSpan w:val="4"/>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117</w:t>
            </w: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Exhibit Index</w:t>
            </w:r>
          </w:p>
        </w:tc>
        <w:tc>
          <w:tcPr>
            <w:tcW w:w="2160" w:type="dxa"/>
            <w:vAlign w:val="bottom"/>
            <w:gridSpan w:val="8"/>
          </w:tcPr>
          <w:p>
            <w:pPr>
              <w:spacing w:after="0"/>
              <w:rPr>
                <w:sz w:val="18"/>
                <w:szCs w:val="18"/>
                <w:color w:val="auto"/>
              </w:rPr>
            </w:pPr>
          </w:p>
        </w:tc>
        <w:tc>
          <w:tcPr>
            <w:tcW w:w="6480" w:type="dxa"/>
            <w:vAlign w:val="bottom"/>
            <w:gridSpan w:val="9"/>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8080" w:type="dxa"/>
            <w:vAlign w:val="bottom"/>
            <w:gridSpan w:val="15"/>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6"/>
              </w:rPr>
              <w:t>120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6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121</w:t>
            </w:r>
          </w:p>
        </w:tc>
        <w:tc>
          <w:tcPr>
            <w:tcW w:w="20" w:type="dxa"/>
            <w:vAlign w:val="bottom"/>
          </w:tcPr>
          <w:p>
            <w:pPr>
              <w:spacing w:after="0"/>
              <w:rPr>
                <w:sz w:val="18"/>
                <w:szCs w:val="18"/>
                <w:color w:val="auto"/>
              </w:rPr>
            </w:pPr>
          </w:p>
        </w:tc>
      </w:tr>
      <w:tr>
        <w:trPr>
          <w:trHeight w:val="986"/>
        </w:trPr>
        <w:tc>
          <w:tcPr>
            <w:tcW w:w="9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You should carefully consider these risks and uncertainties when investing in our common stock. Some of the principal risks and uncertainties include:</w:t>
      </w:r>
    </w:p>
    <w:p>
      <w:pPr>
        <w:spacing w:after="0" w:line="21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38"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tariffs or other trade disruptions, changing interest rates, changes in government spending or regulation or reduced information technology (“IT”) spending, including firewall spending, may adversely impact our business.</w:t>
      </w:r>
    </w:p>
    <w:p>
      <w:pPr>
        <w:spacing w:after="0" w:line="217"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03" w:lineRule="exact"/>
        <w:rPr>
          <w:rFonts w:ascii="Times New Roman" w:cs="Times New Roman" w:eastAsia="Times New Roman" w:hAnsi="Times New Roman"/>
          <w:sz w:val="18"/>
          <w:szCs w:val="18"/>
          <w:color w:val="auto"/>
        </w:rPr>
      </w:pPr>
    </w:p>
    <w:p>
      <w:pPr>
        <w:ind w:left="660" w:right="180" w:hanging="328"/>
        <w:spacing w:after="0" w:line="24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were in some instances required to and may in the future be required to accept or pay for components and finished goods regardless of our level of sales in a particular period, which may negatively or unpredictably impact our operating results and financial condition.</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to grow, and our operating margins may decline.</w:t>
      </w:r>
    </w:p>
    <w:p>
      <w:pPr>
        <w:spacing w:after="0" w:line="238"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leasing activity, and ongoing maintenance and management of office buildings, warehouses, data centers and points of presence (“PoPs”), as well as data center expansions or enhancements, could involve significant risks to our business.</w:t>
      </w:r>
    </w:p>
    <w:p>
      <w:pPr>
        <w:spacing w:after="0" w:line="210"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A reduction to backlog increases our aggregate billings and revenue during the quarter when delivered.</w:t>
      </w:r>
    </w:p>
    <w:p>
      <w:pPr>
        <w:spacing w:after="0" w:line="217"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our product revenue growth rate may be lower versus prior quarters where delivery from backlog contributed more to billings. For the fiscal year 2024, the comparably lower backlog contribution to billings resulted in decreased year-over-year quarterly growth rates.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202"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and other security subscriptions and FortiCare technical support services, and revenue from these services may decline or fluctuate.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25" w:lineRule="exact"/>
        <w:rPr>
          <w:rFonts w:ascii="Times New Roman" w:cs="Times New Roman" w:eastAsia="Times New Roman" w:hAnsi="Times New Roman"/>
          <w:sz w:val="18"/>
          <w:szCs w:val="18"/>
          <w:color w:val="auto"/>
        </w:rPr>
      </w:pPr>
    </w:p>
    <w:p>
      <w:pPr>
        <w:ind w:left="660" w:right="80" w:hanging="328"/>
        <w:spacing w:after="0" w:line="24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left="660" w:right="40"/>
        <w:spacing w:after="0" w:line="272" w:lineRule="auto"/>
        <w:rPr>
          <w:sz w:val="20"/>
          <w:szCs w:val="20"/>
          <w:color w:val="auto"/>
        </w:rPr>
      </w:pPr>
      <w:r>
        <w:rPr>
          <w:rFonts w:ascii="Times New Roman" w:cs="Times New Roman" w:eastAsia="Times New Roman" w:hAnsi="Times New Roman"/>
          <w:sz w:val="17"/>
          <w:szCs w:val="17"/>
          <w:color w:val="auto"/>
        </w:rPr>
        <w:t>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spacing w:after="0" w:line="199" w:lineRule="exact"/>
        <w:rPr>
          <w:sz w:val="20"/>
          <w:szCs w:val="20"/>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(“R&amp;D”)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04"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3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is generated by sales to government organizations and other customers, which are subject to a number of regulatory requirements, their own supply chain constraints and contractual requirements, challenges and risks.</w:t>
      </w:r>
    </w:p>
    <w:p>
      <w:pPr>
        <w:spacing w:after="0" w:line="17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from third-party manufacturers based on our forecasts of future demand and targeted inventory levels, which exposes us to the risk of product shortages, may result in lost sales, higher expenses and inventory excesses which may lead to inventory charges and costs related to future purchase commitments, possibly requiring us to sell our products at discounts or offer various other incentives.</w:t>
      </w:r>
    </w:p>
    <w:p>
      <w:pPr>
        <w:spacing w:after="0" w:line="182"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203"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activists’ and regulators’ expectations of our investments and performance relating to environmental, social and governance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52"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Secure Access Service Edge (“SASE”) and artificial intelligence (“AI”)-driven security operations (“SecOps”). As of December 31, 2024,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of December 31, 2024, our customers included approximately 80% of the Fortune 100 companies and approximately 72% of the Global 2000 companies. We were also ranked #7 in the Forbes Most Trusted Companies list in 2024. As a global company headquartered in Sunnyvale, California, our research and development is centered in the United States and Canada with a global footprint of support and centers of excellence around the world. As of December 31, 2024, we held 1,034 U.S. patents and 1,378 global patents and we have been recognized in over 140 enterprise analyst reports demonstrating both our vision and execution across security and networking products.</w:t>
      </w:r>
    </w:p>
    <w:p>
      <w:pPr>
        <w:spacing w:after="0" w:line="20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85" w:lineRule="exact"/>
        <w:rPr>
          <w:sz w:val="20"/>
          <w:szCs w:val="20"/>
          <w:color w:val="auto"/>
        </w:rPr>
      </w:pPr>
    </w:p>
    <w:p>
      <w:pPr>
        <w:ind w:left="660" w:right="20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—FortiOS enables the convergence of security and networking to enforce consistent security policies across form factors and edges.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foundation of the Fortinet Security Fabric, FortiOS empowers organizations to unify management and analytics for comprehensive network visibility and control at scale. To further validate our strategy, FortiOS has been recognized across five Gartner Magic Quadrants, including Firewall, Software-Defined Wide-Area Network (“SD-WAN”), Security Service Edge (“SSE”), SASE Platforms and Wired and Wireless Local Area Network (“LAN”).</w:t>
      </w:r>
    </w:p>
    <w:p>
      <w:pPr>
        <w:spacing w:after="0" w:line="194" w:lineRule="exact"/>
        <w:rPr>
          <w:rFonts w:ascii="Times New Roman" w:cs="Times New Roman" w:eastAsia="Times New Roman" w:hAnsi="Times New Roman"/>
          <w:sz w:val="18"/>
          <w:szCs w:val="18"/>
          <w:color w:val="auto"/>
        </w:rPr>
      </w:pPr>
    </w:p>
    <w:p>
      <w:pPr>
        <w:ind w:left="660" w:right="80" w:hanging="328"/>
        <w:spacing w:after="0" w:line="25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Application-Specific Integrated Circuit (“ASIC”)-based security processing units (“SPUs”) increase the speed, scale,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value of our solutions while improving user experience, reducing footprint and power requirements. From branch and campus to data center solutions, SPU-powered Fortinet appliances deliver superior Security Compute Ratings versus industry alternatives.</w:t>
      </w:r>
    </w:p>
    <w:p>
      <w:pPr>
        <w:spacing w:after="0" w:line="198" w:lineRule="exact"/>
        <w:rPr>
          <w:rFonts w:ascii="Times New Roman" w:cs="Times New Roman" w:eastAsia="Times New Roman" w:hAnsi="Times New Roman"/>
          <w:sz w:val="18"/>
          <w:szCs w:val="18"/>
          <w:color w:val="auto"/>
        </w:rPr>
      </w:pPr>
    </w:p>
    <w:p>
      <w:pPr>
        <w:ind w:left="660" w:right="40" w:hanging="328"/>
        <w:spacing w:after="0" w:line="25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FortiCloud</w:t>
      </w:r>
      <w:r>
        <w:rPr>
          <w:rFonts w:ascii="Times New Roman" w:cs="Times New Roman" w:eastAsia="Times New Roman" w:hAnsi="Times New Roman"/>
          <w:sz w:val="18"/>
          <w:szCs w:val="18"/>
          <w:color w:val="auto"/>
        </w:rPr>
        <w:t>—Our organically built global cloud infrastructure, powered by FortiStack which is our secure software as a service (“SaaS”) platform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as a private cloud service provider and leveraging software and hardware to optimize and secure all layers, provides customers with global reach, flexible connectivity, and cost savings.</w:t>
      </w:r>
    </w:p>
    <w:p>
      <w:pPr>
        <w:spacing w:after="0" w:line="198" w:lineRule="exact"/>
        <w:rPr>
          <w:rFonts w:ascii="Times New Roman" w:cs="Times New Roman" w:eastAsia="Times New Roman" w:hAnsi="Times New Roman"/>
          <w:sz w:val="18"/>
          <w:szCs w:val="18"/>
          <w:color w:val="auto"/>
        </w:rPr>
      </w:pPr>
    </w:p>
    <w:p>
      <w:pPr>
        <w:ind w:left="660" w:right="14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FortiAI</w:t>
      </w:r>
      <w:r>
        <w:rPr>
          <w:rFonts w:ascii="Times New Roman" w:cs="Times New Roman" w:eastAsia="Times New Roman" w:hAnsi="Times New Roman"/>
          <w:sz w:val="18"/>
          <w:szCs w:val="18"/>
          <w:color w:val="auto"/>
        </w:rPr>
        <w:t>—Our AI innovations encompass generative AI (“GenAI”), big data AI for threat intelligence to process and analyze trillions of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AI/Machine Learning (“ML”), network operations AI for self-healing networks and automated network orchestration, automation and response, and AI for Large Language Model (“LLM”) leakage to protection against data leakage into LLMs. Our GenAI assists security teams to make better decisions, rapidly respond to threats and save time on even the most complex tasks. FortiAI is seamlessly integrated into the user experience of several of our products, including FortiAnalyzer, FortiSIEM and FortiSOAR, to help optimize threat investigation and response, Security information and event management (“SIEM”) queries, Security, orchestration, automation, and response (“SOAR”) playbook creation, among other functions.</w:t>
      </w:r>
    </w:p>
    <w:p>
      <w:pPr>
        <w:spacing w:after="0" w:line="198" w:lineRule="exact"/>
        <w:rPr>
          <w:rFonts w:ascii="Times New Roman" w:cs="Times New Roman" w:eastAsia="Times New Roman" w:hAnsi="Times New Roman"/>
          <w:sz w:val="18"/>
          <w:szCs w:val="18"/>
          <w:color w:val="auto"/>
        </w:rPr>
      </w:pPr>
    </w:p>
    <w:p>
      <w:pPr>
        <w:ind w:left="660" w:right="40" w:hanging="328"/>
        <w:spacing w:after="0" w:line="24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extended detection and response (“XDR”),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all environments.</w:t>
      </w:r>
    </w:p>
    <w:p>
      <w:pPr>
        <w:spacing w:after="0" w:line="204" w:lineRule="exact"/>
        <w:rPr>
          <w:rFonts w:ascii="Times New Roman" w:cs="Times New Roman" w:eastAsia="Times New Roman" w:hAnsi="Times New Roman"/>
          <w:sz w:val="18"/>
          <w:szCs w:val="18"/>
          <w:color w:val="auto"/>
        </w:rPr>
      </w:pPr>
    </w:p>
    <w:p>
      <w:pPr>
        <w:ind w:left="660" w:right="340" w:hanging="328"/>
        <w:spacing w:after="0" w:line="24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 Security</w:t>
      </w:r>
      <w:r>
        <w:rPr>
          <w:rFonts w:ascii="Times New Roman" w:cs="Times New Roman" w:eastAsia="Times New Roman" w:hAnsi="Times New Roman"/>
          <w:sz w:val="18"/>
          <w:szCs w:val="18"/>
          <w:color w:val="auto"/>
        </w:rPr>
        <w:t>—The Fortinet Security Fabric enables security for converged IT/OT ecosystems. It also provides an OT Security Platform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features and products to extend Security Fabric capabilities to OT networks in factories, plants, remote locations and ships. To help alleviate security risks across the organization, we have continued to enhance our OT Security Platform offerings. These innovations range from edge products to Network Operations Center (“NOC”) and Security Operations Center (“SOC”) tools and services to provide effective and efficient networking and cybersecurity performance and operation.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These competitive differentiators allow us to provide Chief Information Officer (“CIO”)s, Chief Information Security Officer (“CISO”)s, Chief Technology Officer (“CTO”)s, and their organizations with an integrated AI-driven cybersecurity platform with over 50 products across three solution pillars.</w:t>
      </w:r>
    </w:p>
    <w:p>
      <w:pPr>
        <w:spacing w:after="0" w:line="200" w:lineRule="exact"/>
        <w:rPr>
          <w:sz w:val="20"/>
          <w:szCs w:val="20"/>
          <w:color w:val="auto"/>
        </w:rPr>
      </w:pPr>
    </w:p>
    <w:p>
      <w:pPr>
        <w:ind w:left="660" w:right="2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software as a SaaS solution.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data center, hyperscale and distributed firewalls, as well as encrypted applications (secure sockets layer (“SSL”) inspection, virtual private network and Internet Protocol Security (“IPsec”) connectivity). Our ability to converge networking and security also enables the ethernet to become an extension 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Our Secure Connectivity solution includes FortiSwitch secure ethernet switches, FortiAP wireless local area network access points and FortiExtender 5G connectivity gateways.</w:t>
      </w:r>
    </w:p>
    <w:p>
      <w:pPr>
        <w:spacing w:after="0" w:line="208" w:lineRule="exact"/>
        <w:rPr>
          <w:rFonts w:ascii="Times New Roman" w:cs="Times New Roman" w:eastAsia="Times New Roman" w:hAnsi="Times New Roman"/>
          <w:sz w:val="18"/>
          <w:szCs w:val="18"/>
          <w:color w:val="auto"/>
        </w:rPr>
      </w:pPr>
    </w:p>
    <w:p>
      <w:pPr>
        <w:ind w:left="660" w:right="20" w:hanging="328"/>
        <w:spacing w:after="0" w:line="23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users with zero trust framework becomes important. The Fortinet Unified SASE solution includes a single-vendor SASE solution that includes firewall, SD-WAN, secure web gateway, cloud access services broker, Data Loss Prevention (“DLP”) and zero trust network access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150+ points of presence to deliver the seamless secure access experience. Given this, we are well positioned to support customers expanding from SD-WAN to a single-vendor SASE platform. Additionally, we offer a full suite of comprehensive, integrated cloud security solutions that enable customers to secure their applications from code to cloud. Our solutions include application security that includes our web application firewalls, cloud network security with virtualized firewalls and cloud-native firewalls, cloud-native application protection and code security. We deliver a holistic approach to cloud security, offering a single unified platform for cloud security and secure Continuous Integration/Continuous Delivery (“CI/CD”) application development needs, consolidating protection across multiple disparate tools, including coding, deploying, and running applications across hybrid and multi-clouds, and delivering AI-driven security across integrated solutions with visibility and context across hybrid and multi-cloud. Additionally, we also offer flexible consumption licensing programs that enable organizations to dynamically optimize their cloud security needs and investments as well as readily meet their cloud minimum spend commitment obligations with Cloud Service Providers.</w:t>
      </w:r>
    </w:p>
    <w:p>
      <w:pPr>
        <w:spacing w:after="0" w:line="227" w:lineRule="exact"/>
        <w:rPr>
          <w:rFonts w:ascii="Times New Roman" w:cs="Times New Roman" w:eastAsia="Times New Roman" w:hAnsi="Times New Roman"/>
          <w:sz w:val="18"/>
          <w:szCs w:val="18"/>
          <w:color w:val="auto"/>
        </w:rPr>
      </w:pPr>
    </w:p>
    <w:p>
      <w:pPr>
        <w:ind w:left="660" w:hanging="328"/>
        <w:spacing w:after="0" w:line="227"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comprehensive suite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protect, detect, respond and recover from threats, all integrated within the Fortinet Security Fabric. At the core is FortiAnalyzer, which serves as the central SOC platform with its unified data lake that provides built-in SIEM, SOAR, XDR and threat intelligence, enabling centralized visibility, analytics and automation with complete control. FortiSIEM delivers robust security information and event management for more advanced SOC requirements, while FortiSOAR enables automated orchestration and playbook-driven response. This solution set also includes FortiEDR, FortiXDR,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(“SOCaaS”), Managed detection and response (“MDR”), Security Posture Assessment and Incident Response. Finally, FortiAI generative AI assistance streamlines operations, helping security teams stay ahead of an ever-evolving threat landscape.</w:t>
      </w:r>
    </w:p>
    <w:p>
      <w:pPr>
        <w:spacing w:after="0" w:line="194"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FortiGuard Labs </w:t>
      </w:r>
      <w:r>
        <w:rPr>
          <w:rFonts w:ascii="Times New Roman" w:cs="Times New Roman" w:eastAsia="Times New Roman" w:hAnsi="Times New Roman"/>
          <w:sz w:val="18"/>
          <w:szCs w:val="18"/>
          <w:color w:val="auto"/>
        </w:rPr>
        <w:t>is our cybersecurity threat intelligence and research organization comprised of experienced threat hunters, researchers, analysts,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engineers and data scientists who develop and utilize machine learning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204"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FortiCare Technical Support Service </w:t>
      </w:r>
      <w:r>
        <w:rPr>
          <w:rFonts w:ascii="Times New Roman" w:cs="Times New Roman" w:eastAsia="Times New Roman" w:hAnsi="Times New Roman"/>
          <w:sz w:val="18"/>
          <w:szCs w:val="18"/>
          <w:color w:val="auto"/>
        </w:rPr>
        <w:t>is a per-device technical support service, which provides customers access to experts to ensure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operations and maintenance of their Fortinet capabilities. Global technical support is offered 24x7 with flexible add-ons, including enhanced service-level agreements (“SLAs”) and priority hardware replacement through in-country and local depots. Organizations have the flexibility to procure different levels of service for different devices based on their availability needs. We offer three per-device support options tailored to the needs of our enterprise customers: FortiCare Elite, FortiCare Premium and FortiCare Essential. The FortiCare Elite service aims to provide a 15-minute response time for key product families.</w:t>
      </w:r>
    </w:p>
    <w:p>
      <w:pPr>
        <w:spacing w:after="0" w:line="21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to FortiCare device level services, Advanced Support service options are available per account. These services are available for regional account support in three options: Core, Pro and Pro Plus, and can be globalized at the Pro and Pro Plus levels. Advanced Support brings support directly to each account, helping account holders to make their operations more effective and to plan and manage their solution lifecycle.</w:t>
      </w:r>
    </w:p>
    <w:p>
      <w:pPr>
        <w:spacing w:after="0" w:line="20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one million certifications to date.</w:t>
      </w:r>
    </w:p>
    <w:p>
      <w:pPr>
        <w:spacing w:after="0" w:line="20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generated total revenue of $5.96 billion and net income of $1.75 billion. See Part II, Item 8 of this Annual Report on Form 10-K for more information on our consolidated balance sheets as of December 31, 2024 and 2023 and our consolidated statements of income, comprehensive income, equity (deficit), and cash flows for each of the three years ended December 31, 2024, 2023 and 2022.</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November 2000. Our principal executive office is located at 909 Kifer Road, Sunnyvale, California 94086 and our telephone number at that location is (408) 235-7700.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 The Trends Driving the Need for a Platform Approach</w:t>
      </w:r>
    </w:p>
    <w:p>
      <w:pPr>
        <w:spacing w:after="0" w:line="243" w:lineRule="exact"/>
        <w:rPr>
          <w:sz w:val="20"/>
          <w:szCs w:val="20"/>
          <w:color w:val="auto"/>
        </w:rPr>
      </w:pPr>
    </w:p>
    <w:p>
      <w:pPr>
        <w:ind w:right="60" w:firstLine="648"/>
        <w:spacing w:after="0" w:line="230" w:lineRule="auto"/>
        <w:rPr>
          <w:sz w:val="20"/>
          <w:szCs w:val="20"/>
          <w:color w:val="auto"/>
        </w:rPr>
      </w:pPr>
      <w:r>
        <w:rPr>
          <w:rFonts w:ascii="Times New Roman" w:cs="Times New Roman" w:eastAsia="Times New Roman" w:hAnsi="Times New Roman"/>
          <w:sz w:val="18"/>
          <w:szCs w:val="18"/>
          <w:color w:val="auto"/>
        </w:rPr>
        <w:t xml:space="preserve">Modern networks are increasingly complex, spanning many edges as well as a mix of cloud and on-premises deployments. We were </w:t>
      </w:r>
      <w:r>
        <w:rPr>
          <w:rFonts w:ascii="Times New Roman" w:cs="Times New Roman" w:eastAsia="Times New Roman" w:hAnsi="Times New Roman"/>
          <w:sz w:val="18"/>
          <w:szCs w:val="18"/>
          <w:color w:val="211F22"/>
        </w:rPr>
        <w:t>founded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F22"/>
        </w:rPr>
        <w:t>the mission of providing a converged networking and security approach that empowers organizations to adopt new technologies without worrying about how it would impact their ability to manage and secure their environments. The escalating threat landscape has resulted in a significant increase in the demand for secure networking solutions. In fact, we believe the demand for secure networking will overtake the pure networking market by 2030. At the same time, businesses contend with an escalating threat landscape, a cybersecurity skills shortage, and siloed security tools that do not work well together. They need to consolidate point products to gain better visibility and faster threat response times.</w:t>
      </w:r>
    </w:p>
    <w:p>
      <w:pPr>
        <w:spacing w:after="0" w:line="200" w:lineRule="exact"/>
        <w:rPr>
          <w:sz w:val="20"/>
          <w:szCs w:val="20"/>
          <w:color w:val="auto"/>
        </w:rPr>
      </w:pPr>
    </w:p>
    <w:p>
      <w:pPr>
        <w:ind w:right="260" w:firstLine="648"/>
        <w:spacing w:after="0" w:line="242" w:lineRule="auto"/>
        <w:rPr>
          <w:sz w:val="20"/>
          <w:szCs w:val="20"/>
          <w:color w:val="auto"/>
        </w:rPr>
      </w:pPr>
      <w:r>
        <w:rPr>
          <w:rFonts w:ascii="Times New Roman" w:cs="Times New Roman" w:eastAsia="Times New Roman" w:hAnsi="Times New Roman"/>
          <w:sz w:val="18"/>
          <w:szCs w:val="18"/>
          <w:color w:val="auto"/>
        </w:rPr>
        <w:t>A platform approach</w:t>
      </w:r>
      <w:r>
        <w:rPr>
          <w:rFonts w:ascii="Times New Roman" w:cs="Times New Roman" w:eastAsia="Times New Roman" w:hAnsi="Times New Roman"/>
          <w:sz w:val="18"/>
          <w:szCs w:val="18"/>
          <w:color w:val="211F22"/>
        </w:rPr>
        <w:t>–what we call the Fortinet Security Fabric–has emerged to address these challenges and support enterprises in reducing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1F22"/>
        </w:rPr>
        <w:t>complexity and improving risk mitigation. The concept of an integrated cybersecurity platform that converges networking and security and consolidates point products is what guides how we design our products and advise our customers and partners</w:t>
      </w:r>
      <w:r>
        <w:rPr>
          <w:rFonts w:ascii="Times New Roman" w:cs="Times New Roman" w:eastAsia="Times New Roman" w:hAnsi="Times New Roman"/>
          <w:sz w:val="18"/>
          <w:szCs w:val="18"/>
          <w:color w:val="000000"/>
        </w:rPr>
        <w:t>.</w:t>
      </w:r>
    </w:p>
    <w:p>
      <w:pPr>
        <w:spacing w:after="0" w:line="197"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211F22"/>
        </w:rPr>
        <w:t>As organizations continue to modernize their cybersecurity infrastructure, we anticipate a significant firewall refresh and upgrade cycle in the coming years. Given our platform approach, this refresh presents a strategic opportunity to expand our footprint within existing customer environments. By leveraging our integrated security and networking capabilities, we can drive opportunities across our broader portfolio, including LAN, SD-WAN, SASE, Cloud-Native Application Protection Platform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1F22"/>
        </w:rPr>
        <w:t>CNAPP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1F22"/>
        </w:rPr>
        <w:t>) and SecOps solutions. With a unified management console, we enable consistent security policies, simplified operations, and an improved user experience across on-premises, cloud, and hybrid deployments. This approach strengthens security effectiveness and helps reduce complexity and total cost of ownership.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Our end-customers are located in over 100 countries and include small, medium and large enterprises and government organizations across a wide range of industries, including financial services, government, manufacturing, retail, technology, education, healthcare and telecommunications. An end-customer deployment may involve as few as one or as many as dozens of different types of integrated products and services from across our broad portfolio that spans secure networking, unified SASE, and security operations. Depending on the solution or form factor purchased, customers may also access our products via the cloud through our data centers and PoPs, third-party colocations and cloud providers such as Amazon Web Services, Microsoft Azure and Google Cloud. Often, our customers also purchase our FortiGuard and other security subscription services and FortiCare technical support services. Refer to Note 16 Segment Information in Part II, Item 8 of this Annual Report on Form 10-K for distributor customers accounted for 10% or more of our revenue or net accounts receivable.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43"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primarily sell our products and services through a two-tier distribution model. We sell to distributors that sell to resellers and to service providers and managed security service providers (“MSSPs”), who, in turn, sell products and/or services to end-customers. In certain cases, we sell directly to large service providers, major systems integrators and large end users. We work with many technology distributors, including Arrow Electronics, Inc., Exclusive, Ingram Micro, and TD Synnex. In addition, we provide our cloud-based subscription offerings through Fortinet-owned data centers and PoPs, as well as data centers operated under colocation arrangements globally, and via public cloud providers.</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support our channel partners with a dedicated team of experienced channel account managers, sales professionals and sales engineers who provide business planning, joint marketing strategy,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100 countries around the world.</w:t>
      </w:r>
    </w:p>
    <w:p>
      <w:pPr>
        <w:spacing w:after="0" w:line="197"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Our marketing strategy is focused on building our brand, driving thought leadership with emphasis on the criticality of cybersecurity platform adoption and the convergence of security and networking as well as driving end-customer demand for our security solutions. We use a combination of internal marketing professionals and our network of regional and global channel partners. Our internal marketing organization is responsible for messaging, branding, demand generation, product marketing,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Accton Technology (“Accton”), IBASE Technology, Inc. (“IBASE”), Micro-Star International Co. (“Micro-Star”), Senao Networks, Inc. (“Senao”), Wistron Corporation (“Wistron”), and a number of other manufacturers. Approximately 88%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ASICs, which are key to the performance of our appliances, are built by contract manufacturers including Toshiba America Electronic Components, Inc. (“Toshiba America”) and Renesas Electronics America, Inc. (“Renesas”). These contract manufacturers use foundries in Taiwan and Japan operated by either Taiwan Semiconductor Manufacturing Company Limited (“TSMC”) or by the contract manufacturer itself.</w:t>
      </w:r>
    </w:p>
    <w:p>
      <w:pPr>
        <w:spacing w:after="0" w:line="2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certain Central Processing Units (“CPUs”) from Intel Corporation (“Intel”) and Advanced Micro Devices, Inc. (“AMD”), network and wireless chips from Broadcom Inc. (“Broadcom”), Marvell Technology Group Ltd. (“Marvell”), Qualcomm Incorporated (“Qualcomm”) and Intel and memory devices from Intel, Micron Technology (“Micron”), ADATA Technology Co., Ltd. (“ADATA”), Toshiba Corporation (“Toshiba”), Samsung Electronics Co., Ltd. (“Samsung”), and Western Digital Technologies, Inc. (“Western Digital”), are available from limited or sole sources of supply.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supply chain plays a critical role in providing safety for our customers and protection for our brand. Supply chain security management begins with the establishing control of a qualified supplier base, which provides qualified and trusted components for use in design, development, manufacturing and post-sale product support.</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Trusted Supplier Program (“TSP”) was developed in accordance with the requirements defined in National Institute of Standards and Technology Special Publications (“NIST SP”) 800-161 Supply Chain Risk Management Practices for Federal Information Systems and Organizations and other directives as periodically established by the U.S. government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securing the Information and Communication Technology Services supply chain, in response to increasing customer demand for transparency in the security of the hardware, firmware and software that is included in our products and to comply with U.S. government directives.</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conduct a thorough security assessment of our key TSP partners to ensure they satisfactorily comply with applicable controls established by NIST SP 800-161, and work side by side with them to remediate gaps and monitor their security posture.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3"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hardware and software products and services, and adding new features to existing products, services and operating systems.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or new features, components selection, timely implementation of product design and development, product performance, quality, ease of use, costs of development, bill of materials, delivery models, effective manufacturing and assembly processes and sales and marketing.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Fortinet Secure Product Development Life Cycle</w:t>
      </w:r>
    </w:p>
    <w:p>
      <w:pPr>
        <w:spacing w:after="0" w:line="22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We recognize that supply chain security is an increasingly important dimension of cybersecurity and enterprise risk management. We are committed to implementing a comprehensive approach to protecting the security and integrity of our products throughout the product design, development, manufacturing, delivery and support processes.</w:t>
      </w:r>
    </w:p>
    <w:p>
      <w:pPr>
        <w:spacing w:after="0" w:line="204"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manage a coordinated program across our engineering, manufacturing, technical services teams, together with our suppliers and channel partners, to ensure the security of our supply chain.</w:t>
      </w:r>
    </w:p>
    <w:p>
      <w:pPr>
        <w:spacing w:after="0" w:line="189" w:lineRule="exact"/>
        <w:rPr>
          <w:sz w:val="20"/>
          <w:szCs w:val="20"/>
          <w:color w:val="auto"/>
        </w:rPr>
      </w:pPr>
    </w:p>
    <w:p>
      <w:pPr>
        <w:ind w:left="1300" w:right="14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our own Network Processors, Content Processors and System-on-Chip Application-Specific Integrated Circuits technology in house.</w:t>
      </w:r>
    </w:p>
    <w:p>
      <w:pPr>
        <w:spacing w:after="0" w:line="189"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is conducted primarily in the United States and Canada. We do not perform source code development or internal research and development in Russia or China.</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a Trusted Supplier Program with a rigorous selection and qualification of manufacturing partners, adhering to National Institute of Standards and Technology (“NIST”) 800-161.</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 technical measures to prevent malware and rogue components that could compromise functionality.</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technical support from dedicated Fortinet regional centers.</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66"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leverage application of secure development best practices (including NIST 800-53, NIST 800-160, NIST 800-218, US Executive Order 14028, and UK Telecoms Security Act).</w:t>
      </w:r>
    </w:p>
    <w:p>
      <w:pPr>
        <w:spacing w:after="0" w:line="189" w:lineRule="exact"/>
        <w:rPr>
          <w:rFonts w:ascii="Times New Roman" w:cs="Times New Roman" w:eastAsia="Times New Roman" w:hAnsi="Times New Roman"/>
          <w:sz w:val="18"/>
          <w:szCs w:val="18"/>
          <w:color w:val="auto"/>
        </w:rPr>
      </w:pPr>
    </w:p>
    <w:p>
      <w:pPr>
        <w:ind w:left="660" w:right="80" w:hanging="4"/>
        <w:spacing w:after="0" w:line="522" w:lineRule="auto"/>
        <w:tabs>
          <w:tab w:leader="none" w:pos="13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regular patch release cycles and operate a notification service to support and encourage customers to apply security patches. We pursue and maintain a broad portfolio of product and information security certifications available at the Fortinet Trust Site.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We periodically have discussions with third parties regarding licensing our intellectual property (“IP”) and have sometimes taken legal action against competitors to protect our IP, and as a result third parties have paid us fees in return for licenses or covenants-not-to-sue related to Fortinet IP. As of December 31, 2024, we had 1,034 U.S. and 1,378 global patents and 451 pending U.S. and foreign patent applications. We also license software from third parties for inclusion in our products, including open source software and other software.</w:t>
      </w:r>
    </w:p>
    <w:p>
      <w:pPr>
        <w:spacing w:after="0" w:line="21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Despite our efforts to protect our rights in our technology, unauthorized parties may attempt to copy aspects of our products or obtain and use information and technology that we regard as proprietary. We generally enter into confidentiality</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5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are subject to regulation by various federal, state, regional, local and foreign governmental agencies, including agencies responsible for monitoring and enforcing employment and labor laws, workplace safety, security and security certifications, product safety, product labeling, environmental laws, consumer protection laws, anti-bribery laws, data privacy laws, import and export controls and tariffs, securities laws and tax laws and regulations. Many of the laws and regulations that are or may be applicable to our business are changing or being tested in courts and could be interpreted in ways that could adversely impact our business and additional laws and regulations applicable to our business may be enacted. In addition, the application and interpretation of these laws and regulations often are uncertain, particularly in the industry in which we operate. We believe we take reasonable steps designed to ensure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seasonality in our sales, see the section entitled “Management’s Discussion and Analysis of Financial Condition and Results of Operations—Seasonality, Cyclicality and Quarterly Revenue Trends” in Part II, Item 7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w:t>
      </w:r>
    </w:p>
    <w:p>
      <w:pPr>
        <w:spacing w:after="0" w:line="16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security performance, throughput, features, effectiveness, interoperability and reliability;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and integration of new networking and security features and technological expertise;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security and other certifications;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across varied and complex customer segments and use cases;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factor of the solution;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differentiators.</w:t>
      </w:r>
    </w:p>
    <w:p>
      <w:pPr>
        <w:spacing w:after="0" w:line="239"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18"/>
          <w:szCs w:val="18"/>
          <w:color w:val="auto"/>
        </w:rPr>
        <w:t>Among others, our competitors include Check Point Software Technologies Ltd. (“Check Point”), Cisco Systems, Inc. (“Cisco”), CrowdStrike Holdings, Inc. (“CrowdStrike”), F5 Networks, Inc. (“F5 Networks”), Hewlett-Packard Enterprise (“HPE”), Huawei Technologies Co., Ltd. (“Huawei”), Juniper Networks, Inc. (“Juniper”), Microsoft Corporation (“Microsoft”), Netskope Inc. (“Netskope”), Palo Alto Networks, Inc. (“Palo Alto Networks”), SonicWALL, Inc. (“SonicWALL”), Sophos Group Plc (“Sophos”) and Zscaler, Inc. (“Zscaler”).</w:t>
      </w:r>
    </w:p>
    <w:p>
      <w:pPr>
        <w:spacing w:after="0" w:line="20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believe we compete favorably based on our products’ security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Other, often smaller competitors, may intensely focus on a small group of point solutions and be positioned as a leader in discrete technologies that we compete with. Based in part on these competitive pressures, we may lower prices or attempt to add incremental features and functionalities to our products.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market consolidation or de-</w:t>
      </w:r>
    </w:p>
    <w:p>
      <w:pPr>
        <w:spacing w:after="0" w:line="3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consolidation, supply chain constraints, price list or discount changes or inflation.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our total headcount was 14,138 employees, approximately 30% of whom were employed in the United States, approximately 20% of whom were employed in Canada and approximately 50% of whom were employed outside of the United States and Canada. We do not own any manufacturing or research and development activities in China.</w:t>
      </w:r>
    </w:p>
    <w:p>
      <w:pPr>
        <w:spacing w:after="0" w:line="20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global company, we value diversity and inclusion across our workforce. Such commitment starts at the top, with a highly skilled and diverse board of directors. As of December 31, 2024, women represented 40% of the members of our board of directors, and approximately 50% of our board of directors was from underrepresented communities.</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also committed to community engagement and social responsibility with regards to our employees and beyond, and our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our core values of openness, teamwork and innovation.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Sustainability</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are committed to responsible corporate sustainability practices and having a positive impact on the sustainability of our society and planet. We are a member of the Dow Jones Sustainability Indices — World and North America, for the second consecutive year. Our approach to corporate sustainability is based on a strong corporate governance structure, starting with the Governance and Social Responsibility Committee (the “GSR Committee”) of our board of directors, which provides oversight of our Corporate Social Responsibility (“CSR”) strategy, initiatives and execution related to corporate sustainability matters. Our senior leadership sponsors the integration of CSR priorities via a CSR Committee, comprised of cross-functional team of senior leaders that drives CSR initiatives and functionality across the company including engaging with internal and external stakeholders to lead CSR execution, communications and disclosure via an annual Sustainability Report.</w:t>
      </w:r>
    </w:p>
    <w:p>
      <w:pPr>
        <w:spacing w:after="0" w:line="21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recognize that environmental considerations such as climate change, resource scarcity and the energy crisis are top priorities for the future of our planet. We are committed to helping address climate change impacts and minimizing the environmental footprint of our solutions, operations and our broader value chain. We have completed our validation process and have been approved by the Science Based Targets Initiatives for a near-term target. We are engaged on a decarbonization path to reach zero emissions for our Scope 1 and Scope 2 emissions by 2030. In 2023, we obtained the ISO14001 certification for our largest company-owned warehouse in Union City, California, and have continued to be a leader on energy efficiency with the launch of our SP5 ASIC and our FortiGate-90G model. We submitted our survey on environment to CDP, which is a not-for-profit charity organization that runs the global disclosure system for companies to manage their environmental impacts. We also disclosed for the first time our Scope 3 emissions, across all 12 relevant categories, as part of our annual reporting on sustainability.</w:t>
      </w:r>
    </w:p>
    <w:p>
      <w:pPr>
        <w:spacing w:after="0" w:line="214"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We are committed to empower individuals within our organization and across the security industry to reach their full potential. We continue to focus on skilling, upskilling and reskilling individuals and are on track to reach our goal of training one million people in cybersecurity by 2026 with over 630,000 individuals trained as of the end of 2024.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are involved in over 700 education partnerships across more than 100 countries and participates in public-private partnerships, including the World Economic Forum’s Cybersecurity Talent Framework.</w:t>
      </w:r>
    </w:p>
    <w:p>
      <w:pPr>
        <w:spacing w:after="0" w:line="21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Our approach to responsible business is based on strong corporate governance practices that aim to ensure accountability while meeting our responsibilities across our value chain, starting with our employees. Our board of directors regularly reviews our governance practices and in 2024 we formed our GSR committee which combined our Governance Committee with the Social Responsibility Committee to GSR Committee. Our Codes of Conduct apply to employees, partners and suppliers, and we have compliance trainings and controls in place. In 2023, we established a risk management committee and steering committee to further enhance our anti-corruption program and we employ a thorough screening process for partners and suppliers, including continuous monitoring in high-risk zones, and resolution process for risk mitigation.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website is located at https://www.fortinet.com, and our investor relations website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of 1933, as amended (the “Securities Act”), are available free of charge on our investor relations website as soon as reasonably practicable after we electronically file such material with, or furnish it to, the Securities and Exchange Commission (the “SEC”). You may also access all of our public filings through the SEC’s website at https://www.sec.gov.</w:t>
      </w: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and press and earnings releases, as part of our investor relations website. The contents of these websites are not intended to be incorporated by reference into this report or in any other report or document we file.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89" w:lineRule="exact"/>
        <w:rPr>
          <w:sz w:val="20"/>
          <w:szCs w:val="20"/>
          <w:color w:val="auto"/>
        </w:rPr>
      </w:pPr>
    </w:p>
    <w:p>
      <w:pPr>
        <w:ind w:left="1300" w:right="180" w:hanging="644"/>
        <w:spacing w:after="0" w:line="258"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macroeconomic and regional economic challenges resulting, for example, from a recession, tariffs or other economic downturn, increased inflation or possible stagflation in certain geographies, changing interest rates, the war in Ukraine, tensions between China and Taiwan, or other factors;</w:t>
      </w:r>
    </w:p>
    <w:p>
      <w:pPr>
        <w:spacing w:after="0" w:line="19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48"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retention and execution, and our ability to attract and retain new end-customers or sell additional products and services to our existing end-customers, including customer demand for platform solutions like ours versus point solutions;</w:t>
      </w:r>
    </w:p>
    <w:p>
      <w:pPr>
        <w:spacing w:after="0" w:line="189" w:lineRule="exact"/>
        <w:rPr>
          <w:rFonts w:ascii="Times New Roman" w:cs="Times New Roman" w:eastAsia="Times New Roman" w:hAnsi="Times New Roman"/>
          <w:sz w:val="18"/>
          <w:szCs w:val="18"/>
          <w:color w:val="auto"/>
        </w:rPr>
      </w:pPr>
    </w:p>
    <w:p>
      <w:pPr>
        <w:ind w:left="1300" w:right="76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75" w:lineRule="exact"/>
        <w:rPr>
          <w:rFonts w:ascii="Times New Roman" w:cs="Times New Roman" w:eastAsia="Times New Roman" w:hAnsi="Times New Roman"/>
          <w:sz w:val="18"/>
          <w:szCs w:val="18"/>
          <w:color w:val="auto"/>
        </w:rPr>
      </w:pPr>
    </w:p>
    <w:p>
      <w:pPr>
        <w:jc w:val="both"/>
        <w:ind w:left="1300" w:right="40" w:hanging="644"/>
        <w:spacing w:after="0" w:line="245"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epidemics and pandemics, supply chain disruptions, inflation and other cost increases, international trade disputes or tariffs, natural disasters, health emergencies, power outages, civil unrest, labor disruption, international conflicts, terrorism, wars, such as the war in Ukraine and critical infrastructure attacks;</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A reduction to backlog increases our aggregate billings and revenue during the quarter when delivered;</w:t>
      </w:r>
    </w:p>
    <w:p>
      <w:pPr>
        <w:spacing w:after="0" w:line="203"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supply chain challenges normalize, our product revenue growth rate may be lower versus prior quarters where delivery from backlog contributed more to billings. For fiscal year 2024, the comparably lower backlog contribution to billings resulted in decreased year-over-year quarterly growth rates;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cost increases and any lack of market acceptance of our price increases designed to help offset any supplier cost increases;</w:t>
      </w:r>
    </w:p>
    <w:p>
      <w:pPr>
        <w:spacing w:after="0" w:line="198"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44" w:right="120" w:hanging="644"/>
        <w:spacing w:after="0" w:line="258"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increased inflation or possible stagflation in certain geographies, changing interest rates, the war in Ukraine and other factors;</w:t>
      </w:r>
    </w:p>
    <w:p>
      <w:pPr>
        <w:spacing w:after="0" w:line="182" w:lineRule="exact"/>
        <w:rPr>
          <w:rFonts w:ascii="Times New Roman" w:cs="Times New Roman" w:eastAsia="Times New Roman" w:hAnsi="Times New Roman"/>
          <w:sz w:val="18"/>
          <w:szCs w:val="18"/>
          <w:color w:val="auto"/>
        </w:rPr>
      </w:pPr>
    </w:p>
    <w:p>
      <w:pPr>
        <w:ind w:left="644" w:right="20" w:hanging="644"/>
        <w:spacing w:after="0" w:line="264" w:lineRule="auto"/>
        <w:tabs>
          <w:tab w:leader="none" w:pos="63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192" w:lineRule="exact"/>
        <w:rPr>
          <w:rFonts w:ascii="Times New Roman" w:cs="Times New Roman" w:eastAsia="Times New Roman" w:hAnsi="Times New Roman"/>
          <w:sz w:val="17"/>
          <w:szCs w:val="17"/>
          <w:color w:val="auto"/>
        </w:rPr>
      </w:pPr>
    </w:p>
    <w:p>
      <w:pPr>
        <w:ind w:left="644" w:right="280" w:hanging="644"/>
        <w:spacing w:after="0" w:line="250" w:lineRule="auto"/>
        <w:tabs>
          <w:tab w:leader="none" w:pos="639"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spacing w:after="0" w:line="162" w:lineRule="exact"/>
        <w:rPr>
          <w:rFonts w:ascii="Arial" w:cs="Arial" w:eastAsia="Arial" w:hAnsi="Arial"/>
          <w:sz w:val="18"/>
          <w:szCs w:val="18"/>
          <w:color w:val="auto"/>
        </w:rPr>
      </w:pPr>
    </w:p>
    <w:p>
      <w:pPr>
        <w:ind w:left="644" w:right="40" w:hanging="644"/>
        <w:spacing w:after="0" w:line="250"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17" w:lineRule="exact"/>
        <w:rPr>
          <w:rFonts w:ascii="Times New Roman" w:cs="Times New Roman" w:eastAsia="Times New Roman" w:hAnsi="Times New Roman"/>
          <w:sz w:val="18"/>
          <w:szCs w:val="18"/>
          <w:color w:val="auto"/>
        </w:rPr>
      </w:pPr>
    </w:p>
    <w:p>
      <w:pPr>
        <w:ind w:left="644" w:right="80" w:hanging="644"/>
        <w:spacing w:after="0" w:line="250"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accounting risks, integration risks related to product plans and products and risks of negative impact by such acquisitions and equity investments on our financial results;</w:t>
      </w:r>
    </w:p>
    <w:p>
      <w:pPr>
        <w:spacing w:after="0" w:line="203" w:lineRule="exact"/>
        <w:rPr>
          <w:rFonts w:ascii="Times New Roman" w:cs="Times New Roman" w:eastAsia="Times New Roman" w:hAnsi="Times New Roman"/>
          <w:sz w:val="18"/>
          <w:szCs w:val="18"/>
          <w:color w:val="auto"/>
        </w:rPr>
      </w:pPr>
    </w:p>
    <w:p>
      <w:pPr>
        <w:ind w:left="644" w:right="660" w:hanging="644"/>
        <w:spacing w:after="0" w:line="250"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performance relating to environmental, social and governance (“ESG”) and commitment to carbon neutrality;</w:t>
      </w:r>
    </w:p>
    <w:p>
      <w:pPr>
        <w:spacing w:after="0" w:line="203"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20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and evolving data and other security requirements and enforcement across certain jurisdictions;</w:t>
      </w:r>
    </w:p>
    <w:p>
      <w:pPr>
        <w:spacing w:after="0" w:line="23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25" w:lineRule="exact"/>
        <w:rPr>
          <w:rFonts w:ascii="Times New Roman" w:cs="Times New Roman" w:eastAsia="Times New Roman" w:hAnsi="Times New Roman"/>
          <w:sz w:val="18"/>
          <w:szCs w:val="18"/>
          <w:color w:val="auto"/>
        </w:rPr>
      </w:pPr>
    </w:p>
    <w:p>
      <w:pPr>
        <w:ind w:left="644" w:right="140" w:hanging="644"/>
        <w:spacing w:after="0" w:line="266"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202" w:lineRule="exact"/>
        <w:rPr>
          <w:rFonts w:ascii="Times New Roman" w:cs="Times New Roman" w:eastAsia="Times New Roman" w:hAnsi="Times New Roman"/>
          <w:sz w:val="18"/>
          <w:szCs w:val="18"/>
          <w:color w:val="auto"/>
        </w:rPr>
      </w:pPr>
    </w:p>
    <w:p>
      <w:pPr>
        <w:ind w:left="644" w:right="500" w:hanging="644"/>
        <w:spacing w:after="0" w:line="282"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61" w:lineRule="exact"/>
        <w:rPr>
          <w:rFonts w:ascii="Times New Roman" w:cs="Times New Roman" w:eastAsia="Times New Roman" w:hAnsi="Times New Roman"/>
          <w:sz w:val="18"/>
          <w:szCs w:val="18"/>
          <w:color w:val="auto"/>
        </w:rPr>
      </w:pPr>
    </w:p>
    <w:p>
      <w:pPr>
        <w:ind w:left="644" w:right="80" w:hanging="644"/>
        <w:spacing w:after="0" w:line="245"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such as the war in Ukraine and critical infrastructure attacks;</w:t>
      </w:r>
    </w:p>
    <w:p>
      <w:pPr>
        <w:spacing w:after="0" w:line="221" w:lineRule="exact"/>
        <w:rPr>
          <w:rFonts w:ascii="Times New Roman" w:cs="Times New Roman" w:eastAsia="Times New Roman" w:hAnsi="Times New Roman"/>
          <w:sz w:val="18"/>
          <w:szCs w:val="18"/>
          <w:color w:val="auto"/>
        </w:rPr>
      </w:pPr>
    </w:p>
    <w:p>
      <w:pPr>
        <w:ind w:left="644" w:right="160" w:hanging="644"/>
        <w:spacing w:after="0" w:line="250"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spacing w:after="0" w:line="190" w:lineRule="exact"/>
        <w:rPr>
          <w:rFonts w:ascii="Times New Roman" w:cs="Times New Roman" w:eastAsia="Times New Roman" w:hAnsi="Times New Roman"/>
          <w:sz w:val="18"/>
          <w:szCs w:val="18"/>
          <w:color w:val="auto"/>
        </w:rPr>
      </w:pPr>
    </w:p>
    <w:p>
      <w:pPr>
        <w:ind w:left="644" w:hanging="644"/>
        <w:spacing w:after="0" w:line="242"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spacing w:after="0" w:line="225" w:lineRule="exact"/>
        <w:rPr>
          <w:rFonts w:ascii="Times New Roman" w:cs="Times New Roman" w:eastAsia="Times New Roman" w:hAnsi="Times New Roman"/>
          <w:sz w:val="18"/>
          <w:szCs w:val="18"/>
          <w:color w:val="auto"/>
        </w:rPr>
      </w:pPr>
    </w:p>
    <w:p>
      <w:pPr>
        <w:ind w:left="644" w:right="40" w:hanging="644"/>
        <w:spacing w:after="0" w:line="250" w:lineRule="auto"/>
        <w:tabs>
          <w:tab w:leader="none" w:pos="6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w:t>
      </w:r>
    </w:p>
    <w:p>
      <w:pPr>
        <w:sectPr>
          <w:pgSz w:w="11900" w:h="16838" w:orient="portrait"/>
          <w:cols w:equalWidth="0" w:num="1">
            <w:col w:w="10584"/>
          </w:cols>
          <w:pgMar w:left="976" w:top="118"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15" w:name="page16"/>
    <w:bookmarkEnd w:id="15"/>
    <w:p>
      <w:pPr>
        <w:ind w:left="4"/>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SASE and other cloud security solutions, endpoint protection, IoT and OT security opportunities and product refresh cycles;</w:t>
      </w:r>
    </w:p>
    <w:p>
      <w:pPr>
        <w:spacing w:after="0" w:line="239" w:lineRule="exact"/>
        <w:rPr>
          <w:sz w:val="20"/>
          <w:szCs w:val="20"/>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38" w:lineRule="exact"/>
        <w:rPr>
          <w:rFonts w:ascii="Times New Roman" w:cs="Times New Roman" w:eastAsia="Times New Roman" w:hAnsi="Times New Roman"/>
          <w:sz w:val="18"/>
          <w:szCs w:val="18"/>
          <w:color w:val="auto"/>
        </w:rPr>
      </w:pPr>
    </w:p>
    <w:p>
      <w:pPr>
        <w:ind w:left="644" w:right="100" w:hanging="644"/>
        <w:spacing w:after="0" w:line="266"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48" w:lineRule="exact"/>
        <w:rPr>
          <w:rFonts w:ascii="Times New Roman" w:cs="Times New Roman" w:eastAsia="Times New Roman" w:hAnsi="Times New Roman"/>
          <w:sz w:val="18"/>
          <w:szCs w:val="18"/>
          <w:color w:val="auto"/>
        </w:rPr>
      </w:pPr>
    </w:p>
    <w:p>
      <w:pPr>
        <w:jc w:val="both"/>
        <w:ind w:left="644" w:right="380" w:hanging="644"/>
        <w:spacing w:after="0" w:line="266"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6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1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184" w:lineRule="exact"/>
        <w:rPr>
          <w:rFonts w:ascii="Times New Roman" w:cs="Times New Roman" w:eastAsia="Times New Roman" w:hAnsi="Times New Roman"/>
          <w:sz w:val="18"/>
          <w:szCs w:val="18"/>
          <w:color w:val="auto"/>
        </w:rPr>
      </w:pPr>
    </w:p>
    <w:p>
      <w:pPr>
        <w:ind w:left="644" w:right="240" w:hanging="644"/>
        <w:spacing w:after="0" w:line="250"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6"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34" w:lineRule="exact"/>
        <w:rPr>
          <w:rFonts w:ascii="Times New Roman" w:cs="Times New Roman" w:eastAsia="Times New Roman" w:hAnsi="Times New Roman"/>
          <w:sz w:val="18"/>
          <w:szCs w:val="18"/>
          <w:color w:val="auto"/>
        </w:rPr>
      </w:pPr>
    </w:p>
    <w:p>
      <w:pPr>
        <w:ind w:left="644" w:right="180" w:hanging="644"/>
        <w:spacing w:after="0" w:line="258"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w:t>
      </w:r>
    </w:p>
    <w:p>
      <w:pPr>
        <w:spacing w:after="0" w:line="169" w:lineRule="exact"/>
        <w:rPr>
          <w:rFonts w:ascii="Times New Roman" w:cs="Times New Roman" w:eastAsia="Times New Roman" w:hAnsi="Times New Roman"/>
          <w:sz w:val="18"/>
          <w:szCs w:val="18"/>
          <w:color w:val="auto"/>
        </w:rPr>
      </w:pPr>
    </w:p>
    <w:p>
      <w:pPr>
        <w:ind w:left="644" w:right="60" w:hanging="644"/>
        <w:spacing w:after="0" w:line="250"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21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38" w:lineRule="exact"/>
        <w:rPr>
          <w:rFonts w:ascii="Times New Roman" w:cs="Times New Roman" w:eastAsia="Times New Roman" w:hAnsi="Times New Roman"/>
          <w:sz w:val="18"/>
          <w:szCs w:val="18"/>
          <w:color w:val="auto"/>
        </w:rPr>
      </w:pPr>
    </w:p>
    <w:p>
      <w:pPr>
        <w:ind w:left="644" w:hanging="644"/>
        <w:spacing w:after="0" w:line="266"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20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on our billings, revenue, operating margins and free cash flow;</w:t>
      </w:r>
    </w:p>
    <w:p>
      <w:pPr>
        <w:spacing w:after="0" w:line="211" w:lineRule="exact"/>
        <w:rPr>
          <w:rFonts w:ascii="Times New Roman" w:cs="Times New Roman" w:eastAsia="Times New Roman" w:hAnsi="Times New Roman"/>
          <w:sz w:val="18"/>
          <w:szCs w:val="18"/>
          <w:color w:val="auto"/>
        </w:rPr>
      </w:pPr>
    </w:p>
    <w:p>
      <w:pPr>
        <w:ind w:left="644" w:right="620" w:hanging="644"/>
        <w:spacing w:after="0" w:line="282"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34" w:lineRule="exact"/>
        <w:rPr>
          <w:rFonts w:ascii="Times New Roman" w:cs="Times New Roman" w:eastAsia="Times New Roman" w:hAnsi="Times New Roman"/>
          <w:sz w:val="18"/>
          <w:szCs w:val="18"/>
          <w:color w:val="auto"/>
        </w:rPr>
      </w:pPr>
    </w:p>
    <w:p>
      <w:pPr>
        <w:ind w:left="644" w:right="120" w:hanging="644"/>
        <w:spacing w:after="0" w:line="282" w:lineRule="auto"/>
        <w:tabs>
          <w:tab w:leader="none" w:pos="6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1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1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118" w:right="37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right="1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cloud-based and hosted services and the uncertainty associated with transitioning to providing such services;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11"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2"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202"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 such as that caused by the war in Ukraine, tensions between China and Taiwan, and any disruption or negative impact on our ability to sell to, ship product to and support customers in certain regions based on trade restrictions, embargoes and export control law restrictions;</w:t>
      </w:r>
    </w:p>
    <w:p>
      <w:pPr>
        <w:spacing w:after="0" w:line="2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202"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9"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1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tariffs or other trade disruptions, changing interest rates, reduced information technology spending, including firewall and other security spending, or any economic downturn or recession, may adversely impact our business.</w:t>
      </w:r>
    </w:p>
    <w:p>
      <w:pPr>
        <w:spacing w:after="0" w:line="168"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product prices necessary to appropriately offset the additional costs in a manner sufficient to maintain margins. Any of these impacts may materially and adversely affect our business, financial condition, results of operations and liquidity.</w:t>
      </w:r>
    </w:p>
    <w:p>
      <w:pPr>
        <w:spacing w:after="0" w:line="203"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spacing w:after="0" w:line="172"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Our business benefits directly and indirectly from free trade agreements, and we also rely on various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recent years, the United States has imposed additional import tariffs on certain goods from different countries. As a result, other countries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 and our operating margins may decline.</w:t>
      </w:r>
    </w:p>
    <w:p>
      <w:pPr>
        <w:spacing w:after="0" w:line="21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the war in Ukraine,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0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or leasing of new data centers, data center expansions or office buildings, could involve significant risks to our business.</w:t>
      </w:r>
    </w:p>
    <w:p>
      <w:pPr>
        <w:spacing w:after="0" w:line="17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current global supply chain and inflation issues have exacerbated many of these construction risks and created additional risks for our business. Some of the risks associated with construction projects include:</w:t>
      </w:r>
    </w:p>
    <w:p>
      <w:pPr>
        <w:spacing w:after="0" w:line="18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or regulatory issues and geological problems;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 or unexpected increases in power needs;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sustainability;</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3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194"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8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distraction of our senior management for any reason could adversely affect our business, financial condition and results of operations.</w:t>
      </w:r>
    </w:p>
    <w:p>
      <w:pPr>
        <w:spacing w:after="0" w:line="2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31% of our total net accounts receivable as of December 31, 2024.</w:t>
      </w:r>
    </w:p>
    <w:p>
      <w:pPr>
        <w:spacing w:after="0" w:line="174"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2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1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Six distributor customers who purchase directly from us accounted for 69% and 70% of our total net accounts receivable in the aggregate as of December 31, 2024 and 2023, respectively. See Note 16. Segment Information in Part II, Item 8 of this Annual Report on Form 10-K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spacing w:after="0" w:line="2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p>
    <w:p>
      <w:pPr>
        <w:spacing w:after="0" w:line="18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3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52"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188"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geopolitical matters or widespread public health problems including pandemics and epidemics;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spacing w:after="0" w:line="194" w:lineRule="exact"/>
        <w:rPr>
          <w:sz w:val="20"/>
          <w:szCs w:val="20"/>
          <w:color w:val="auto"/>
        </w:rPr>
      </w:pPr>
    </w:p>
    <w:p>
      <w:pPr>
        <w:ind w:right="160" w:firstLine="648"/>
        <w:spacing w:after="0" w:line="229" w:lineRule="auto"/>
        <w:rPr>
          <w:sz w:val="20"/>
          <w:szCs w:val="20"/>
          <w:color w:val="auto"/>
        </w:rPr>
      </w:pPr>
      <w:r>
        <w:rPr>
          <w:rFonts w:ascii="Times New Roman" w:cs="Times New Roman" w:eastAsia="Times New Roman" w:hAnsi="Times New Roman"/>
          <w:sz w:val="18"/>
          <w:szCs w:val="18"/>
          <w:color w:val="auto"/>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Check Point, Cisco, CrowdStrike, F5 Networks, HPE, Huawei, Juniper, Microsoft, Netskope, Palo Alto Networks, SonicWALL, Sophos, and Zscaler.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23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expertise in certain single point solutions;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3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21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February 2025, our Chief Financial Officer, Keith Jensen, announced his upcoming retirement after 11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and may incur other debt in the future, which may adversely affect our financial condition and future financial results.</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an aggregate of $994.3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3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right="120" w:hanging="644"/>
        <w:spacing w:after="0" w:line="258"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natural disasters and health emergencies, including earthquakes, droughts, fires, power outages, typhoons, floods, pandemics or epidemics and manmade events such as civil unrest, labor disruption, international trade disputes, international conflicts, terrorism, wars or other foreign conflicts, such as the war in Ukraine or tensions between China and Taiwan, and critical infrastructure attacks;</w:t>
      </w:r>
    </w:p>
    <w:p>
      <w:pPr>
        <w:spacing w:after="0" w:line="210"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96"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and conflicts such as the war in Ukraine, tensions between China and Taiwan and any expansions thereof, could adversely affect our business and financial performance;</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8" w:lineRule="exact"/>
        <w:rPr>
          <w:rFonts w:ascii="Times New Roman" w:cs="Times New Roman" w:eastAsia="Times New Roman" w:hAnsi="Times New Roman"/>
          <w:sz w:val="18"/>
          <w:szCs w:val="18"/>
          <w:color w:val="auto"/>
        </w:rPr>
      </w:pPr>
    </w:p>
    <w:p>
      <w:pPr>
        <w:ind w:left="1300" w:right="920" w:hanging="644"/>
        <w:spacing w:after="0" w:line="266"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62"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import and export control laws, trade laws and regulations, tariffs and retaliatory measures, trade barriers and economic sanctions;</w:t>
      </w:r>
    </w:p>
    <w:p>
      <w:pPr>
        <w:spacing w:after="0" w:line="2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300" w:right="200" w:hanging="644"/>
        <w:spacing w:after="0" w:line="266"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22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9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0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14" w:lineRule="exact"/>
        <w:rPr>
          <w:sz w:val="20"/>
          <w:szCs w:val="20"/>
          <w:color w:val="auto"/>
        </w:rPr>
      </w:pPr>
    </w:p>
    <w:p>
      <w:pPr>
        <w:ind w:left="1300" w:right="16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5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75" w:lineRule="exact"/>
        <w:rPr>
          <w:rFonts w:ascii="Times New Roman" w:cs="Times New Roman" w:eastAsia="Times New Roman" w:hAnsi="Times New Roman"/>
          <w:sz w:val="18"/>
          <w:szCs w:val="18"/>
          <w:color w:val="auto"/>
        </w:rPr>
      </w:pPr>
    </w:p>
    <w:p>
      <w:pPr>
        <w:ind w:left="1300" w:right="860" w:hanging="644"/>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right="10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8"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22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213"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8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constraints and contractual requirements, challenges and risks.</w:t>
      </w:r>
    </w:p>
    <w:p>
      <w:pPr>
        <w:spacing w:after="0" w:line="159"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1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75" w:lineRule="exact"/>
        <w:rPr>
          <w:sz w:val="20"/>
          <w:szCs w:val="20"/>
          <w:color w:val="auto"/>
        </w:rPr>
      </w:pPr>
    </w:p>
    <w:p>
      <w:pPr>
        <w:ind w:left="1300" w:right="200" w:hanging="644"/>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and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tensions between China and Taiwan and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4"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08"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7"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products or provide all services in locations that meet such requirements and consequently our products and services may not be eligible for certain government purchases.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3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w:t>
      </w:r>
      <w:r>
        <w:rPr>
          <w:rFonts w:ascii="Times New Roman" w:cs="Times New Roman" w:eastAsia="Times New Roman" w:hAnsi="Times New Roman"/>
          <w:sz w:val="18"/>
          <w:szCs w:val="18"/>
          <w:i w:val="1"/>
          <w:iCs w:val="1"/>
          <w:color w:val="auto"/>
        </w:rPr>
        <w:t>, including critical vulnerabilities,</w:t>
      </w:r>
      <w:r>
        <w:rPr>
          <w:rFonts w:ascii="Times New Roman" w:cs="Times New Roman" w:eastAsia="Times New Roman" w:hAnsi="Times New Roman"/>
          <w:sz w:val="18"/>
          <w:szCs w:val="18"/>
          <w:b w:val="1"/>
          <w:bCs w:val="1"/>
          <w:i w:val="1"/>
          <w:iCs w:val="1"/>
          <w:color w:val="auto"/>
        </w:rPr>
        <w:t xml:space="preserve"> in our products or services, the failure of our products or services to detect or prevent a security incident or the misuse of our products could harm our and our customers’ operational results and reputation.</w:t>
      </w:r>
    </w:p>
    <w:p>
      <w:pPr>
        <w:spacing w:after="0" w:line="159"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spacing w:after="0" w:line="22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w:t>
      </w:r>
    </w:p>
    <w:p>
      <w:pPr>
        <w:spacing w:after="0" w:line="19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7"/>
          <w:szCs w:val="17"/>
          <w:color w:val="auto"/>
        </w:rPr>
        <w:t>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 products, including cloud-based technology, could be targeted by attacks specifically designed to disrupt our business and harm our operational results and reputation.</w:t>
      </w:r>
    </w:p>
    <w:p>
      <w:pPr>
        <w:spacing w:after="0" w:line="20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w:t>
      </w:r>
    </w:p>
    <w:p>
      <w:pPr>
        <w:spacing w:after="0" w:line="214"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 in our products, or misuse of our products, could result in:</w:t>
      </w:r>
    </w:p>
    <w:p>
      <w:pPr>
        <w:spacing w:after="0" w:line="211" w:lineRule="exact"/>
        <w:rPr>
          <w:sz w:val="20"/>
          <w:szCs w:val="20"/>
          <w:color w:val="auto"/>
        </w:rPr>
      </w:pPr>
    </w:p>
    <w:p>
      <w:pPr>
        <w:ind w:left="1300" w:right="80" w:hanging="644"/>
        <w:spacing w:after="0" w:line="250"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238" w:lineRule="exact"/>
        <w:rPr>
          <w:rFonts w:ascii="Times New Roman" w:cs="Times New Roman" w:eastAsia="Times New Roman" w:hAnsi="Times New Roman"/>
          <w:sz w:val="18"/>
          <w:szCs w:val="18"/>
          <w:color w:val="auto"/>
        </w:rPr>
      </w:pPr>
    </w:p>
    <w:p>
      <w:pPr>
        <w:ind w:left="1300" w:right="60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spacing w:after="0" w:line="213"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For example, recently, an individual gained unauthorized access to a limited number of files stored on our instance of a third-party cloud-based shared file drive, which included limited data related to a small percentage of our customers. We do not currently believe that this incident was material as a result of our assessment of various factors, including, but not limited to, because (i) our operations, products, and services have not been impacted, and (ii) we have identified no evidence of additional access to any other of our resources. As a result, we have not experienced, and do not currently believe that the incident is reasonably likely to have a material impact to our financial condition, operating results or business. However, we remain subject to various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risks due to the incident and its impact, including reputational harm, adverse impacts to customer relationships, potential litigation, and additional regulatory scrutiny.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1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8"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0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spacing w:after="0" w:line="18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cyber events, international trade disputes, international conflicts, terrorism, wars or other foreign conflicts, such as the war in Ukraine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have in some instances and may in the future require us to accept or pay for components and finished goods regardless of our level of sales in a particular period, which may negatively or unpredictably impact our operating results and financial condition. For additional information and a further discussion of impacts and risks related to our purchase commitments with our suppliers, refer to Note 12. Commitments and Contingencies in Part II, Item 8 of this Annual Report on Form 10-K.</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22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7"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22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 third-party manufacturing cost increases and changes in the geopolitical environment could result in lower gross margins and free cash flow.</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international conflicts, terrorism, wars or other foreign conflicts, such as the war in Ukraine or tensions between China and Taiwan,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88% of our hardware is manufactured in Taiwan. Any increase in tensions between China and Taiwan, including threats of military actions or escalation of military activities, could adversely affect our manufacturing operations in Taiwan.</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2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Securities and Exchange Commission (the “SEC”) adopted disclosure requirements for public companies whose products contain conflict minerals that are necessary to the functionality or production of such products. Under these rules, we are required to obtain sourcing data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1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28"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end-customers and could cause delays in shipment of our products and adversely affect our results of operations. In addition, increased component costs could result in lower gross margins.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8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8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False positive detection of legitimate non-malicious files as viruses or malware or false identification of legitimate emails as spam, could adversely affect our business.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9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5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9"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2"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spacing w:after="0" w:line="20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21"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machine learning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in our IT infrastructure could improve internal process but poses security and privacy risks.</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Other risks that have been observed in AI models and documented, include risks related to bias, discrimination, job displacements, and violating human rights.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or result in loss of IP.</w:t>
      </w:r>
    </w:p>
    <w:p>
      <w:pPr>
        <w:spacing w:after="0" w:line="15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Inc.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5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5"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certain businesses that we invest in are, or may in the future, be reflected in our operating results, and we depend on these</w:t>
      </w:r>
    </w:p>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1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0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“Framework”) following certain changes to U.S. law intended to address the concerns underlying that court decision with respect to transfers of personal data to the United States. As of December 2024,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CCPA, which provides new data privacy rights for consumers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1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21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w:t>
      </w:r>
    </w:p>
    <w:p>
      <w:pPr>
        <w:spacing w:after="0" w:line="2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0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9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3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0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spacing w:after="0" w:line="21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12"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5"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8"/>
          <w:szCs w:val="18"/>
          <w:color w:val="auto"/>
        </w:rPr>
        <w:t>There is an evolving focus from certain investors, employees, customers and other stakeholders concerning corporate responsibility, specifically related to ESG matters. Some investors may use these non-financial performance factors to guide their investment strategies and, in some cases, may choose not to invest in us if they believe our policies and actions relating to corporate responsibility are inadequate. The growing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For example, under the EU’s Corporate Sustainability Reporting Directive, we will be required to make certain disclosures in 2026 relating to our ESG impacts, risks, and opportunities for 2025.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ESG standards set by various constituencies.</w:t>
      </w:r>
    </w:p>
    <w:p>
      <w:pPr>
        <w:spacing w:after="0" w:line="20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ESG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In addition, the SEC adopted a rule that requires climate disclosures in periodic and other filings with the SEC covering fiscal years beginning in 2025, which rule has been stayed pending the completion of a judicial review. To comply with this SEC rule, if such rule goes into effect in its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3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accounting for business combinations, contingent liabilities and accounting for income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86"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8" w:lineRule="exact"/>
        <w:rPr>
          <w:rFonts w:ascii="Times New Roman" w:cs="Times New Roman" w:eastAsia="Times New Roman" w:hAnsi="Times New Roman"/>
          <w:sz w:val="18"/>
          <w:szCs w:val="18"/>
          <w:color w:val="auto"/>
        </w:rPr>
      </w:pPr>
    </w:p>
    <w:p>
      <w:pPr>
        <w:ind w:left="1300" w:right="8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75"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5" w:name="page46"/>
    <w:bookmarkEnd w:id="4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2024, our internal controls over financial reporting were effective, we cannot predict the outcome of our testing in 2025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2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2024, the closing price of our common stock ranged from $55.39 to $99.21 per share.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firstLine="693"/>
        <w:spacing w:after="0" w:line="261"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jc w:val="both"/>
        <w:ind w:right="700" w:firstLine="648"/>
        <w:spacing w:after="0" w:line="258"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In January 2024 and October 2024, our board of directors approved $500.0 million and $1.0 billion increases in the authorized stock repurchase amount under the Repurchase Program, respectively, and extended the term of the Repurchase Program to February 28, 2026, bringing the aggregate amount authorized to be repurchased to $8.25 billion of our outstanding common stock. As of February 21, 2025, approximately $2.03 billion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agreements and conflicts such as the war in Ukraine could adversely affect our business and financial performance.</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and the transition in administrations, and the United States’ ongoing trade disputes with Russia, China and other countries. The continuing effect of any or all of these events could adversely impact demand for our products, harm our operations and weaken our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72"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Economic challenges caused by economic downturn, any resulting recession, inflation or change in interest rates can weaken and harm our financial position. The U.S. capital markets have experienced and continue to experience extreme volatility and disruption. Inflation rates in the United States significantly increased in 2022 resulting in federal action to increase interest rates, adversely affecting capital markets activity. Further deterioration of the macroeconomic environment and regulatory action may adversely affect our business, operating results and financial condition.</w:t>
      </w:r>
    </w:p>
    <w:p>
      <w:pPr>
        <w:spacing w:after="0" w:line="217"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203"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19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tab/>
        <w:t>Cybersecurity</w:t>
      </w:r>
    </w:p>
    <w:p>
      <w:pPr>
        <w:spacing w:after="0" w:line="25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221E1F"/>
        </w:rPr>
        <w:t xml:space="preserve">Our board of directors recognizes the critical importance of maintaining the trust and confidence of our customers, end users, business partners, governmental entities, stockholders and employees. Our board of directors is actively involved in oversight of our risk management program, and information and product security represent an important component of our overall approach to enterprise risk management (“ERM”). Our risks from cybersecurity threats are considered in conjunction with other risks in our ERM program. In addition, </w:t>
      </w:r>
      <w:r>
        <w:rPr>
          <w:rFonts w:ascii="Times New Roman" w:cs="Times New Roman" w:eastAsia="Times New Roman" w:hAnsi="Times New Roman"/>
          <w:sz w:val="18"/>
          <w:szCs w:val="18"/>
          <w:color w:val="000000"/>
        </w:rPr>
        <w:t>we leverage a cybersecurity-specific risk assessment</w:t>
      </w:r>
      <w:r>
        <w:rPr>
          <w:rFonts w:ascii="Times New Roman" w:cs="Times New Roman" w:eastAsia="Times New Roman" w:hAnsi="Times New Roman"/>
          <w:sz w:val="18"/>
          <w:szCs w:val="18"/>
          <w:color w:val="221E1F"/>
        </w:rPr>
        <w:t xml:space="preserve"> </w:t>
      </w:r>
      <w:r>
        <w:rPr>
          <w:rFonts w:ascii="Times New Roman" w:cs="Times New Roman" w:eastAsia="Times New Roman" w:hAnsi="Times New Roman"/>
          <w:sz w:val="18"/>
          <w:szCs w:val="18"/>
          <w:color w:val="000000"/>
        </w:rPr>
        <w:t xml:space="preserve">process and strategy based on the NIST Cybersecurity Framework to manage risks to organizational operations and assets, individuals and other organizations associated with the operation and use of systems. Risk assessments are periodically conducted to identify threats and vulnerabilities, and then used to determine the likelihood and impact for each risk using a qualitative risk assessment methodology. </w:t>
      </w:r>
      <w:r>
        <w:rPr>
          <w:rFonts w:ascii="Times New Roman" w:cs="Times New Roman" w:eastAsia="Times New Roman" w:hAnsi="Times New Roman"/>
          <w:sz w:val="18"/>
          <w:szCs w:val="18"/>
          <w:color w:val="221E1F"/>
        </w:rPr>
        <w:t>In general, we seek to address cybersecurity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1E1F"/>
        </w:rPr>
        <w:t>risks through a broad,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E1F"/>
        </w:rPr>
        <w:t>Governance</w:t>
      </w:r>
    </w:p>
    <w:p>
      <w:pPr>
        <w:spacing w:after="0" w:line="243" w:lineRule="exact"/>
        <w:rPr>
          <w:sz w:val="20"/>
          <w:szCs w:val="20"/>
          <w:color w:val="auto"/>
        </w:rPr>
      </w:pPr>
    </w:p>
    <w:p>
      <w:pPr>
        <w:jc w:val="both"/>
        <w:ind w:right="80" w:firstLine="648"/>
        <w:spacing w:after="0" w:line="236" w:lineRule="auto"/>
        <w:rPr>
          <w:sz w:val="20"/>
          <w:szCs w:val="20"/>
          <w:color w:val="auto"/>
        </w:rPr>
      </w:pPr>
      <w:r>
        <w:rPr>
          <w:rFonts w:ascii="Times New Roman" w:cs="Times New Roman" w:eastAsia="Times New Roman" w:hAnsi="Times New Roman"/>
          <w:sz w:val="18"/>
          <w:szCs w:val="18"/>
          <w:color w:val="auto"/>
        </w:rPr>
        <w:t>As a global cybersecurity provider, cybersecurity risk management is integral to our company. Historically, the Audit Committee of our board of directors (the “Audit Committee”) was responsible for reviewing with management our cybersecurity and other information technology risks, controls and processes, including the processes used to prevent or mitigate cybersecurity risks and respond to cybersecurity events. However, due to the importance of cybersecurity to our company, in July 2024, our board of directors formed Cybersecurity Committee of our board of directors (the “Cybersecurity</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Committee”), which is solely dedicated to cybersecurity risk management. Our executives with responsibility over cybersecurity, including our Chief Information Security Officer, provide quarterly reports to the Cybersecurity Committee as well as to the Chief Executive Officer and other members of our senior management as appropriate. Each member of our board of directors is invited to attend all meetings of the committees of our board of directors, including the Cybersecurity Committee, and thus all of the members of our board of directors are apprised of cybersecurity developments. The quarterly reports to the Cybersecurity Committee include updates on cyber risks and threats, the status of projects to strengthen our information security systems, assessments of the information security program and the emerging threat landscape. Our cybersecurity program is regularly evaluated by internal and external experts with the results of those reviews reported to senior management and the Cybersecurity Committee. We also actively engage with key vendors and intelligence and law enforcement communities as part of our continuing efforts to evaluate and enhance the effectiveness of our information security policies and procedures. The Cybersecurity Committee also receives prompt and timely information regarding any cybersecurity threat or incident that meets established reporting thresholds, as well as ongoing updates regarding any such threat or incident until it has been mitigated, resolved or otherwise addressed.</w:t>
      </w:r>
    </w:p>
    <w:p>
      <w:pPr>
        <w:spacing w:after="0" w:line="200"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7"/>
          <w:szCs w:val="17"/>
          <w:color w:val="auto"/>
        </w:rPr>
        <w:t>We believe our systems and processes with respect to the management of risks associated with cybersecurity threats are adequate. We have experienced, and may in the future experience, adverse impacts to our operations as a result of cybersecurity incidents. However, to date, cybersecurity threats, including as a result of any previous cybersecurity incidents, have not materially affected our business strategy, operating results, and/or financial condition. If we were to experience a material cybersecurity incident in the future, such incident may have a material effect, including on our business strategy, operating results or financial condition. For more information regarding cybersecurity risks that we face and potential impacts on our business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 xml:space="preserve">related thereto, see our risk factors, including our risk factor titled </w:t>
      </w:r>
      <w:r>
        <w:rPr>
          <w:rFonts w:ascii="Times New Roman" w:cs="Times New Roman" w:eastAsia="Times New Roman" w:hAnsi="Times New Roman"/>
          <w:sz w:val="18"/>
          <w:szCs w:val="18"/>
          <w:i w:val="1"/>
          <w:iCs w:val="1"/>
          <w:color w:val="auto"/>
        </w:rPr>
        <w:t>“If our internal enterprise IT networks, on which we conduct internal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E1F"/>
        </w:rPr>
        <w:t>Risk Management and Strategy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one of the critical elements of our overall ERM approach, our cybersecurity program is focused on the following key areas:</w:t>
      </w:r>
    </w:p>
    <w:p>
      <w:pPr>
        <w:spacing w:after="0" w:line="235" w:lineRule="exact"/>
        <w:rPr>
          <w:sz w:val="20"/>
          <w:szCs w:val="20"/>
          <w:color w:val="auto"/>
        </w:rPr>
      </w:pPr>
    </w:p>
    <w:p>
      <w:pPr>
        <w:ind w:right="80" w:firstLine="648"/>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As discussed in more detail above under the heading, “Governance,” our board of directors’ oversight of cybersecurity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is supported by the Cybersecurity Committee, which regularly interacts with executives with responsibility for cybersecurity, our Chief Executive Officer, Chief Technology Officer and President, Chief Financial Officer, Chief Operating Officer/General Counsel, our CISO, and other members of management. Our CISO is primarily responsible for our cybersecurity risk management program and partners with our legal team on data privacy matters at the management level. Our CISO, Dr. Carl Windsor, has over 25 years of experience in various technology and cybersecurity leadership positions, including over 18 years at our company driving product security and strategy and reports to the board Cybersecurity Committee. The CISO’s leadership team members are all seasoned information security professionals, covering a wide range of security disciplines, who have worked at some of the largest well-known brand names and are experts in their fields. Our CISO monitors, and participates in, our various cybersecurity policies and procedures, and our cybersecurity team regularly updates our CISO on the current status.</w:t>
      </w:r>
    </w:p>
    <w:p>
      <w:pPr>
        <w:spacing w:after="0" w:line="205" w:lineRule="exact"/>
        <w:rPr>
          <w:sz w:val="20"/>
          <w:szCs w:val="20"/>
          <w:color w:val="auto"/>
        </w:rPr>
      </w:pPr>
    </w:p>
    <w:p>
      <w:pPr>
        <w:ind w:right="140" w:firstLine="648"/>
        <w:spacing w:after="0" w:line="232" w:lineRule="auto"/>
        <w:rPr>
          <w:sz w:val="20"/>
          <w:szCs w:val="20"/>
          <w:color w:val="auto"/>
        </w:rPr>
      </w:pPr>
      <w:r>
        <w:rPr>
          <w:rFonts w:ascii="Times New Roman" w:cs="Times New Roman" w:eastAsia="Times New Roman" w:hAnsi="Times New Roman"/>
          <w:sz w:val="18"/>
          <w:szCs w:val="18"/>
          <w:color w:val="auto"/>
        </w:rPr>
        <w:t>Management is promptly updated regarding any significant security events and the Cybersecurity Committee regularly reviews updates from our CISO, information security and product security leaders about cyber threat response preparedness, security controls and procedures, security program maturity milestones, risk and approaches to risk mitigation and the current and emerging threat landscape. In addition, all members of our board of directors receive management’s cybersecurity updates to the Cybersecurity Committee as part of their regular attendance at meetings of our board of directors.</w:t>
      </w:r>
    </w:p>
    <w:p>
      <w:pPr>
        <w:spacing w:after="0" w:line="211"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have implemented a broad, cross-functional approach to identifying, preventing and mitigating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threats and incidents, while also implementing controls and procedures that provide for the prompt escalation of certain cybersecurity incidents so that decisions regarding the public disclosure and reporting of such incidents can be made by management in a timely manner. In addition, we manage a cross-functional program across our engineering, manufacturing and technical services teams, together with our suppliers and channel partners, designed to ensure the proper security of our products from design through manufacture and shipment.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We implement organizational, administrative and technical measures based on commercially reasonable procedures using:</w:t>
      </w:r>
    </w:p>
    <w:p>
      <w:pPr>
        <w:spacing w:after="0" w:line="15"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standard information security measures prescribed for use by NIST; (ii) security measures aligned with the ISO/IEC 27000 series of standards,</w:t>
      </w:r>
    </w:p>
    <w:p>
      <w:pPr>
        <w:jc w:val="both"/>
        <w:ind w:right="240" w:firstLine="8"/>
        <w:spacing w:after="0" w:line="239"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technical safeguards that are designed to protect our information systems from cybersecurity threats,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firewalls, intrusion prevention and detection systems, anti-malware functionality and access controls, which are evaluated and improved through vulnerability assessments and cybersecurity threat intelligence.</w:t>
      </w:r>
    </w:p>
    <w:p>
      <w:pPr>
        <w:spacing w:after="0" w:line="199"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We have established and maintain broad incident response and recovery plans that help enable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spacing w:after="0" w:line="208"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We maintain a broad, risk-based approach to identifying and overseeing cybersecurity risks presented by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 NIST 800-161.</w:t>
      </w:r>
    </w:p>
    <w:p>
      <w:pPr>
        <w:spacing w:after="0" w:line="204" w:lineRule="exact"/>
        <w:rPr>
          <w:sz w:val="20"/>
          <w:szCs w:val="20"/>
          <w:color w:val="auto"/>
        </w:rPr>
      </w:pPr>
    </w:p>
    <w:p>
      <w:pPr>
        <w:ind w:right="20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We provide regular, mandatory training for personnel and contractors regarding cybersecurity threats as a means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 our personnel with effective tools to address cybersecurity threats and to communicate our evolving information security policies, standards, processes and practices.</w:t>
      </w:r>
    </w:p>
    <w:p>
      <w:pPr>
        <w:spacing w:after="0" w:line="19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b w:val="1"/>
          <w:bCs w:val="1"/>
          <w:color w:val="221E1F"/>
        </w:rPr>
        <w:t xml:space="preserve">Risk and Readiness Assessments: </w:t>
      </w:r>
      <w:r>
        <w:rPr>
          <w:rFonts w:ascii="Times New Roman" w:cs="Times New Roman" w:eastAsia="Times New Roman" w:hAnsi="Times New Roman"/>
          <w:sz w:val="18"/>
          <w:szCs w:val="18"/>
          <w:color w:val="221E1F"/>
        </w:rPr>
        <w:t>We engage in the periodic assessment and testing of our policies, standards, process</w:t>
      </w:r>
      <w:r>
        <w:rPr>
          <w:rFonts w:ascii="Times New Roman" w:cs="Times New Roman" w:eastAsia="Times New Roman" w:hAnsi="Times New Roman"/>
          <w:sz w:val="18"/>
          <w:szCs w:val="18"/>
          <w:color w:val="000000"/>
        </w:rPr>
        <w:t>es and practices that are</w:t>
      </w:r>
      <w:r>
        <w:rPr>
          <w:rFonts w:ascii="Times New Roman" w:cs="Times New Roman" w:eastAsia="Times New Roman" w:hAnsi="Times New Roman"/>
          <w:sz w:val="18"/>
          <w:szCs w:val="18"/>
          <w:b w:val="1"/>
          <w:bCs w:val="1"/>
          <w:color w:val="221E1F"/>
        </w:rPr>
        <w:t xml:space="preserve"> </w:t>
      </w:r>
      <w:r>
        <w:rPr>
          <w:rFonts w:ascii="Times New Roman" w:cs="Times New Roman" w:eastAsia="Times New Roman" w:hAnsi="Times New Roman"/>
          <w:sz w:val="18"/>
          <w:szCs w:val="18"/>
          <w:color w:val="000000"/>
        </w:rPr>
        <w:t>designed to identify vulnerabilities and weaknesses, address cybersecurity threats and test its readiness to respond to cyber security incidents. These efforts include a wide range of activities, including threat modeling, a variety of vulnerability and configuration scans, penetration testing, audits, tabletop exercises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and penetration tests. The results of such assessments, audits and reviews are reported to the Cybersecurity Committee and our board of directors and to our management, and we adjust its cybersecurity policies, standards, processes and practices as necessary based on the information provided by these assessments, audits and reviews</w:t>
      </w:r>
      <w:r>
        <w:rPr>
          <w:rFonts w:ascii="Times New Roman" w:cs="Times New Roman" w:eastAsia="Times New Roman" w:hAnsi="Times New Roman"/>
          <w:sz w:val="18"/>
          <w:szCs w:val="18"/>
          <w:color w:val="221E1F"/>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We maintain information security risk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corporate headquarters is located in Sunnyvale, California, and comprises approximately 395,000 square feet of building space on 21 acres of land and includes space for future development of PoPs. In January 2024, we purchased an additional 480,000 square feet of building space in Santa Clara, California, which is located in close proximity to our corporate headquarters and includes space for future development of a data center. Refer to Note 17. Subsequent Events, in Part II, Item 8 of this Annual Report on Form-10K for the February 2025 signing of a definitive agreement subject to regulatory approval for an additional 540,000 square feet of building space in Frankfurt, Germany.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Along with our corporate headquarters, as of December 31, 2024, we operated the following facilities: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020" w:type="dxa"/>
            <w:vAlign w:val="bottom"/>
            <w:shd w:val="clear" w:color="auto" w:fill="CCEEFF"/>
          </w:tcPr>
          <w:p>
            <w:pPr>
              <w:jc w:val="right"/>
              <w:ind w:right="911"/>
              <w:spacing w:after="0"/>
              <w:rPr>
                <w:sz w:val="20"/>
                <w:szCs w:val="20"/>
                <w:color w:val="auto"/>
              </w:rPr>
            </w:pPr>
            <w:r>
              <w:rPr>
                <w:rFonts w:ascii="Times New Roman" w:cs="Times New Roman" w:eastAsia="Times New Roman" w:hAnsi="Times New Roman"/>
                <w:sz w:val="16"/>
                <w:szCs w:val="16"/>
                <w:b w:val="1"/>
                <w:bCs w:val="1"/>
                <w:color w:val="auto"/>
              </w:rPr>
              <w:t>Owned Square Footage</w:t>
            </w:r>
          </w:p>
        </w:tc>
        <w:tc>
          <w:tcPr>
            <w:tcW w:w="5600" w:type="dxa"/>
            <w:vAlign w:val="bottom"/>
            <w:shd w:val="clear" w:color="auto" w:fill="CCEEFF"/>
          </w:tcPr>
          <w:p>
            <w:pPr>
              <w:jc w:val="right"/>
              <w:ind w:right="2411"/>
              <w:spacing w:after="0"/>
              <w:rPr>
                <w:sz w:val="20"/>
                <w:szCs w:val="20"/>
                <w:color w:val="auto"/>
              </w:rPr>
            </w:pPr>
            <w:r>
              <w:rPr>
                <w:rFonts w:ascii="Times New Roman" w:cs="Times New Roman" w:eastAsia="Times New Roman" w:hAnsi="Times New Roman"/>
                <w:sz w:val="16"/>
                <w:szCs w:val="16"/>
                <w:b w:val="1"/>
                <w:bCs w:val="1"/>
                <w:color w:val="auto"/>
              </w:rPr>
              <w:t>Description of Use</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Union City, California</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770,000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Warehousing, operations, and PoP</w:t>
            </w: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Burnaby, Calgary and Ottawa,</w:t>
            </w:r>
          </w:p>
        </w:tc>
        <w:tc>
          <w:tcPr>
            <w:tcW w:w="3020" w:type="dxa"/>
            <w:vAlign w:val="bottom"/>
            <w:shd w:val="clear" w:color="auto" w:fill="CCEEFF"/>
          </w:tcPr>
          <w:p>
            <w:pPr>
              <w:spacing w:after="0"/>
              <w:rPr>
                <w:sz w:val="15"/>
                <w:szCs w:val="15"/>
                <w:color w:val="auto"/>
              </w:rPr>
            </w:pPr>
          </w:p>
        </w:tc>
        <w:tc>
          <w:tcPr>
            <w:tcW w:w="5600" w:type="dxa"/>
            <w:vAlign w:val="bottom"/>
            <w:shd w:val="clear" w:color="auto" w:fill="CCEEFF"/>
          </w:tcPr>
          <w:p>
            <w:pPr>
              <w:spacing w:after="0"/>
              <w:rPr>
                <w:sz w:val="15"/>
                <w:szCs w:val="15"/>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680,000</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Data center, PoP, support functions and research and development</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226,000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Sales and support functions and PoP</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Plano &amp; Frisco, Texas</w:t>
            </w:r>
          </w:p>
        </w:tc>
        <w:tc>
          <w:tcPr>
            <w:tcW w:w="30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130,000</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Office space and data center</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Torija, Spain</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120,000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Data center</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Illinois</w:t>
            </w:r>
          </w:p>
        </w:tc>
        <w:tc>
          <w:tcPr>
            <w:tcW w:w="30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114,000</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Office space and PoP</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Sunrise, Florida</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100,000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Office space</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Sunnyvale, California</w:t>
            </w:r>
          </w:p>
        </w:tc>
        <w:tc>
          <w:tcPr>
            <w:tcW w:w="30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97,000</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Development</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Valbonne, France</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70,000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Sales and support functions and PoP</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McMahons Point, Australia</w:t>
            </w:r>
          </w:p>
        </w:tc>
        <w:tc>
          <w:tcPr>
            <w:tcW w:w="30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rPr>
              <w:t>40,000</w:t>
            </w:r>
          </w:p>
        </w:tc>
        <w:tc>
          <w:tcPr>
            <w:tcW w:w="5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Office space and PoP</w:t>
            </w: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302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40,000</w:t>
            </w:r>
          </w:p>
        </w:tc>
        <w:tc>
          <w:tcPr>
            <w:tcW w:w="5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Sales and support functions and PoP</w:t>
            </w:r>
          </w:p>
        </w:tc>
      </w:tr>
    </w:tbl>
    <w:p>
      <w:pPr>
        <w:spacing w:after="0" w:line="287"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maintain additional leased offices throughout the world, predominantly used as sales and support offices and PoPs, and leased data center spaces throughout the world operated under colocation arrangements. We believe that our existing properties are sufficient and suitable to meet our current needs. We intend to expand our facilities, develop unoccupied space, or add new facilities to support our future growth and enter new product markets, and we believe that suitable additional space will be available or can be developed as needed to accommodate ongoing operations and any such growth. However, we expect to incur additional operating expenses and capital expenditures in connection with such new or expanded facilities.</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geographical location of our property and equipment, refer to Note 16 of our consolidated financial statements in Part II, Item 8 of this Annual Report on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3" w:lineRule="exact"/>
        <w:rPr>
          <w:sz w:val="20"/>
          <w:szCs w:val="20"/>
          <w:color w:val="auto"/>
        </w:rPr>
      </w:pPr>
    </w:p>
    <w:p>
      <w:pPr>
        <w:ind w:right="380" w:firstLine="648"/>
        <w:spacing w:after="0" w:line="242"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ordinary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12. Commitments and Contingencies in Part II, Item 8 of this Annual Report on Form 10-K for additional information.</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i w:val="1"/>
          <w:iCs w:val="1"/>
          <w:color w:val="auto"/>
        </w:rPr>
        <w:t>All share and per share amounts presented in this Part II have been retroactively adjusted to reflect the five-for-one forward stock split of our common stock effective June 22, 2022.</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“FTNT.”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February 18, 2025, there were 50 holders of record of our common stock. A substantially greater number of holders of our common stock are “street name” or beneficial holders, whose shares are held by banks, brokers and other financial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2024 Annual Meeting of Stockholders to be filed with the Securities and Exchange Commission (the “SEC”) within 120 days after the end of the fiscal year covered by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5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performance graph shall not be deemed “filed” for purposes of Section 18 of the Securities Exchange Act of 1934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“Exchange Act”), or incorporated by reference into any filing of Fortinet under the Securities Act of 1933, as amended (the “Securities Act”),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Among Fortinet, Inc., the S&amp;P 500 Index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63590" cy="2726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6"/>
                <w:szCs w:val="16"/>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December</w:t>
            </w:r>
          </w:p>
        </w:tc>
      </w:tr>
      <w:tr>
        <w:trPr>
          <w:trHeight w:val="214"/>
        </w:trPr>
        <w:tc>
          <w:tcPr>
            <w:tcW w:w="4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2019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bl>
    <w:p>
      <w:pPr>
        <w:spacing w:after="0" w:line="126" w:lineRule="exact"/>
        <w:rPr>
          <w:sz w:val="20"/>
          <w:szCs w:val="20"/>
          <w:color w:val="auto"/>
        </w:rPr>
      </w:pPr>
    </w:p>
    <w:p>
      <w:pPr>
        <w:ind w:left="80" w:right="540" w:hanging="7"/>
        <w:spacing w:after="0" w:line="261" w:lineRule="auto"/>
        <w:tabs>
          <w:tab w:leader="none" w:pos="18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$100 was invested on December 31, 2019 in stock or index, including reinvestment of dividends. Stockholder returns over the indicated period should not be considered indicative of future stockholder returns.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January 2016, our board of directors approved our Share Repurchase Program, which authorized the repurchase of up to $200.0 million of our outstanding common stock through December 31, 2017. From 2016 through 2023, our board of directors approved increases to our Repurchase Program by various amounts and extended the term to February 29, 2024. In January 2024, our board of directors approved a $500.0 million increase in the authorized stock repurchase amount under the Repurchase Program, bringing the aggregate amount authorized to be repurchased to $7.25 billion of our outstanding common stock. In February 2024, our board of directors approved an extension of the Repurchase Program to February 28, 2025. 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Under the Repurchase Program, share repurchases may be made by us from time to time in privately negotiated transactions or in open market transactions. The Repurchase Program does not require us to purchase a minimum number of shares, and may be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suspended, modified or discontinued at any time without prior notice. Since its inception, we have repurchased 238.6 million shares of our common stock under the Repurchase Program for an aggregate purchase price of $6.22 billion.</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repurchases of common stock during the three months ended December 31, 2024. As of December 31, 2024, approximately $2.03 billion remained available for future share repurchases under the Repurchase Program.</w:t>
      </w:r>
    </w:p>
    <w:p>
      <w:pPr>
        <w:spacing w:after="0" w:line="200" w:lineRule="exact"/>
        <w:rPr>
          <w:sz w:val="20"/>
          <w:szCs w:val="20"/>
          <w:color w:val="auto"/>
        </w:rPr>
      </w:pPr>
    </w:p>
    <w:p>
      <w:pPr>
        <w:spacing w:after="0" w:line="3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76"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the transition in administrations, tariffs or other trade disruptions, public health issues, wars, natural disasters and economic growth;</w:t>
      </w:r>
    </w:p>
    <w:p>
      <w:pPr>
        <w:spacing w:after="0" w:line="158"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 regulation, tariffs and other policies;</w:t>
      </w:r>
    </w:p>
    <w:p>
      <w:pPr>
        <w:spacing w:after="0" w:line="252" w:lineRule="exact"/>
        <w:rPr>
          <w:rFonts w:ascii="Times New Roman" w:cs="Times New Roman" w:eastAsia="Times New Roman" w:hAnsi="Times New Roman"/>
          <w:sz w:val="18"/>
          <w:szCs w:val="18"/>
          <w:color w:val="auto"/>
        </w:rPr>
      </w:pPr>
    </w:p>
    <w:p>
      <w:pPr>
        <w:ind w:left="1300" w:right="560" w:hanging="644"/>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85"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42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260" w:hanging="644"/>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56" w:name="page57"/>
    <w:bookmarkEnd w:id="5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data center footprint and our points of presence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year over year in absolute dollars during 2025;</w:t>
      </w:r>
    </w:p>
    <w:p>
      <w:pPr>
        <w:spacing w:after="0" w:line="252" w:lineRule="exact"/>
        <w:rPr>
          <w:rFonts w:ascii="Times New Roman" w:cs="Times New Roman" w:eastAsia="Times New Roman" w:hAnsi="Times New Roman"/>
          <w:sz w:val="18"/>
          <w:szCs w:val="18"/>
          <w:i w:val="1"/>
          <w:iCs w:val="1"/>
          <w:color w:val="auto"/>
        </w:rPr>
      </w:pPr>
    </w:p>
    <w:p>
      <w:pPr>
        <w:ind w:left="1300" w:right="100" w:hanging="644"/>
        <w:spacing w:after="0" w:line="284" w:lineRule="auto"/>
        <w:tabs>
          <w:tab w:leader="none" w:pos="12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20" w:hanging="644"/>
        <w:spacing w:after="0" w:line="284" w:lineRule="auto"/>
        <w:tabs>
          <w:tab w:leader="none" w:pos="12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40" w:hanging="644"/>
        <w:spacing w:after="0" w:line="267" w:lineRule="auto"/>
        <w:tabs>
          <w:tab w:leader="none" w:pos="129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200"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estimates of a range of 2025 spending on capital expenditures;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expansions and other changes to our real property holdings and development;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SASE and AI-driven security operations. As of December 31, 2024, our end-customers were located in over 100 countries and included enterprises across a wide variety of market verticals, including financial services, retail, healthcare and operational technology market verticals, communication and security service providers, and government organizations. As of December 31, 2024, our customers included approximately 80% of the Fortune 100 companies and approximately 72% of the Global 2000 companies. We were also ranked #7 in the Forbes Most Trusted Companies list in 2024. As a global company headquartered in Sunnyvale, California, our research and development is centered in the United States and Canada with a global footprint of support and centers of excellence around the world. As of December 31, 2024, we held 1,034 U.S. patents and 1,378 global patents and we have been recognized in over 140 enterprise analyst reports demonstrating both our vision and execution across security and networking products.</w:t>
      </w:r>
    </w:p>
    <w:p>
      <w:pPr>
        <w:spacing w:after="0" w:line="214"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72" w:lineRule="exact"/>
        <w:rPr>
          <w:sz w:val="20"/>
          <w:szCs w:val="20"/>
          <w:color w:val="auto"/>
        </w:rPr>
      </w:pPr>
    </w:p>
    <w:p>
      <w:pPr>
        <w:ind w:left="660" w:right="200" w:hanging="328"/>
        <w:spacing w:after="0" w:line="25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—FortiOS enables the convergence of security and networking to enforce consistent security policies across form factors and edges.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foundation of the Fortinet Security Fabric, FortiOS empowers organizations to unify management and analytics for comprehensive network visibility and control at scale. To further validate our strategy,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140"/>
        <w:spacing w:after="0" w:line="266" w:lineRule="auto"/>
        <w:rPr>
          <w:sz w:val="20"/>
          <w:szCs w:val="20"/>
          <w:color w:val="auto"/>
        </w:rPr>
      </w:pPr>
      <w:r>
        <w:rPr>
          <w:rFonts w:ascii="Times New Roman" w:cs="Times New Roman" w:eastAsia="Times New Roman" w:hAnsi="Times New Roman"/>
          <w:sz w:val="18"/>
          <w:szCs w:val="18"/>
          <w:color w:val="auto"/>
        </w:rPr>
        <w:t>FortiOS has been recognized across five Gartner Magic Quadrants, including Firewall, SD-WAN, SSE, SASE Platforms and Wired and Wireless LAN.</w:t>
      </w:r>
    </w:p>
    <w:p>
      <w:pPr>
        <w:spacing w:after="0" w:line="185" w:lineRule="exact"/>
        <w:rPr>
          <w:sz w:val="20"/>
          <w:szCs w:val="20"/>
          <w:color w:val="auto"/>
        </w:rPr>
      </w:pPr>
    </w:p>
    <w:p>
      <w:pPr>
        <w:ind w:left="660" w:right="180" w:hanging="328"/>
        <w:spacing w:after="0" w:line="25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ASIC-based SPUs increase the speed, scale, efficiency and value of our solutions while improving user experience, reducing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footprint and power requirements. From branch and campus to data center solutions, SPU-powered Fortinet appliances deliver superior Security Compute Ratings versus industry alternatives.</w:t>
      </w:r>
    </w:p>
    <w:p>
      <w:pPr>
        <w:spacing w:after="0" w:line="198" w:lineRule="exact"/>
        <w:rPr>
          <w:rFonts w:ascii="Times New Roman" w:cs="Times New Roman" w:eastAsia="Times New Roman" w:hAnsi="Times New Roman"/>
          <w:sz w:val="18"/>
          <w:szCs w:val="18"/>
          <w:color w:val="auto"/>
        </w:rPr>
      </w:pPr>
    </w:p>
    <w:p>
      <w:pPr>
        <w:ind w:left="660" w:right="260" w:hanging="328"/>
        <w:spacing w:after="0" w:line="24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FortiCloud</w:t>
      </w:r>
      <w:r>
        <w:rPr>
          <w:rFonts w:ascii="Times New Roman" w:cs="Times New Roman" w:eastAsia="Times New Roman" w:hAnsi="Times New Roman"/>
          <w:sz w:val="18"/>
          <w:szCs w:val="18"/>
          <w:color w:val="auto"/>
        </w:rPr>
        <w:t>—Our organically built global cloud infrastructure, powered by FortiStack, which is our SaaS platform operating as a private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provider and leveraging software and hardware to optimize and secure all layers, provides customers with global reach, flexible connectivity, and cost savings.</w:t>
      </w:r>
    </w:p>
    <w:p>
      <w:pPr>
        <w:spacing w:after="0" w:line="203"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FortiAI</w:t>
      </w:r>
      <w:r>
        <w:rPr>
          <w:rFonts w:ascii="Times New Roman" w:cs="Times New Roman" w:eastAsia="Times New Roman" w:hAnsi="Times New Roman"/>
          <w:sz w:val="17"/>
          <w:szCs w:val="17"/>
          <w:color w:val="auto"/>
        </w:rPr>
        <w:t>—Our AI innovations encompass generative AI, big data AI for threat intelligence to process and analyze trillions of events using AI/ML,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network operations AI for self-healing networks and automated network orchestration, automation and response, and AI for LLM leakage to protection against data leakage into LLMs. Our GenAI assists security teams to make better decisions, rapidly respond to threats and save time on even the most complex tasks. FortiAI is seamlessly integrated into the user experience of several of our products, including FortiAnalyzer, FortiSIEM and FortiSOAR, to help optimize threat investigation and response, SIEM queries, SOAR playbook creation, among other functions.</w:t>
      </w:r>
    </w:p>
    <w:p>
      <w:pPr>
        <w:spacing w:after="0" w:line="192" w:lineRule="exact"/>
        <w:rPr>
          <w:rFonts w:ascii="Times New Roman" w:cs="Times New Roman" w:eastAsia="Times New Roman" w:hAnsi="Times New Roman"/>
          <w:sz w:val="17"/>
          <w:szCs w:val="17"/>
          <w:color w:val="auto"/>
        </w:rPr>
      </w:pPr>
    </w:p>
    <w:p>
      <w:pPr>
        <w:ind w:left="660" w:right="20" w:hanging="328"/>
        <w:spacing w:after="0" w:line="24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XDR,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all environments.</w:t>
      </w:r>
    </w:p>
    <w:p>
      <w:pPr>
        <w:spacing w:after="0" w:line="204" w:lineRule="exact"/>
        <w:rPr>
          <w:rFonts w:ascii="Times New Roman" w:cs="Times New Roman" w:eastAsia="Times New Roman" w:hAnsi="Times New Roman"/>
          <w:sz w:val="18"/>
          <w:szCs w:val="18"/>
          <w:color w:val="auto"/>
        </w:rPr>
      </w:pPr>
    </w:p>
    <w:p>
      <w:pPr>
        <w:jc w:val="both"/>
        <w:ind w:left="660" w:right="400" w:hanging="328"/>
        <w:spacing w:after="0" w:line="260"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 Security</w:t>
      </w:r>
      <w:r>
        <w:rPr>
          <w:rFonts w:ascii="Times New Roman" w:cs="Times New Roman" w:eastAsia="Times New Roman" w:hAnsi="Times New Roman"/>
          <w:sz w:val="17"/>
          <w:szCs w:val="17"/>
          <w:color w:val="auto"/>
        </w:rPr>
        <w:t>—The Fortinet Security Fabric enables security for converged IT/OT ecosystems. It also provides an OT Security Platform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features and products to extend Security Fabric capabilities to OT networks in factories, plants, remote locations and ships. To help alleviate security risks across the organization, we have continued to enhance our OT Security Platform offerings. These innovations range from edge products to NOC and SOC tools and services to provide effective and efficient networking and cybersecurity performance and operation.</w:t>
      </w:r>
    </w:p>
    <w:p>
      <w:pPr>
        <w:spacing w:after="0" w:line="19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differentiators allow us to provide CIOs, CISOs, CTOs, and their organizations with an integrated AI-driven cybersecurity platform with over 50 products across three solution pillars.</w:t>
      </w:r>
    </w:p>
    <w:p>
      <w:pPr>
        <w:spacing w:after="0" w:line="185" w:lineRule="exact"/>
        <w:rPr>
          <w:sz w:val="20"/>
          <w:szCs w:val="20"/>
          <w:color w:val="auto"/>
        </w:rPr>
      </w:pPr>
    </w:p>
    <w:p>
      <w:pPr>
        <w:ind w:left="660" w:right="20" w:hanging="328"/>
        <w:spacing w:after="0" w:line="23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SaaS solution.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data center, hyperscale and distributed firewalls, as well as encrypted applications (SSL inspection, virtual private network and IPsec connectivity). Our ability to converge networking and security also enables the ethernet to become an extension 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Our Secure Connectivity solution includes FortiSwitch secure ethernet switches, FortiAP wireless local area network access points and FortiExtender 5G connectivity gateways.</w:t>
      </w:r>
    </w:p>
    <w:p>
      <w:pPr>
        <w:spacing w:after="0" w:line="208" w:lineRule="exact"/>
        <w:rPr>
          <w:rFonts w:ascii="Times New Roman" w:cs="Times New Roman" w:eastAsia="Times New Roman" w:hAnsi="Times New Roman"/>
          <w:sz w:val="18"/>
          <w:szCs w:val="18"/>
          <w:color w:val="auto"/>
        </w:rPr>
      </w:pPr>
    </w:p>
    <w:p>
      <w:pPr>
        <w:ind w:left="660" w:hanging="328"/>
        <w:spacing w:after="0" w:line="23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users with zero trust framework becomes important. The Fortinet Unified SASE solution includes a single-vendor SASE solution that includes firewall, SD-WAN, secure web gateway, cloud access services broker, DLP and zero trust network access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150+ points of presence to deliver the seamless secure access experience. Given this, we are well positioned to support customers expanding from SD-WAN to a single-vendor SASE platform. Additionally, we offer a full suite of comprehensive, integrated cloud security solutions that enable customers to secure their applications from code to cloud. Our solutions include application security that includes our web application firewalls, cloud network security with virtualized firewalls and cloud-native firewalls, cloud-native application protection and code security. We deliver a holistic approach to cloud security, offering a single unified platform for cloud security and secure CI/CD application development needs, consolidating protection across multiple disparate tools, including coding, deploying, and running applications across hybrid and multi-clouds, and delivering AI-driven security across integrated solutions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60"/>
        <w:spacing w:after="0" w:line="250" w:lineRule="auto"/>
        <w:rPr>
          <w:sz w:val="20"/>
          <w:szCs w:val="20"/>
          <w:color w:val="auto"/>
        </w:rPr>
      </w:pPr>
      <w:r>
        <w:rPr>
          <w:rFonts w:ascii="Times New Roman" w:cs="Times New Roman" w:eastAsia="Times New Roman" w:hAnsi="Times New Roman"/>
          <w:sz w:val="18"/>
          <w:szCs w:val="18"/>
          <w:color w:val="auto"/>
        </w:rPr>
        <w:t>with visibility and context across hybrid and multi-cloud. Additionally, we also offer flexible consumption licensing programs that enable organizations to dynamically optimize their cloud security needs and investments as well as readily meet their cloud minimum spend commitment obligations with Cloud Service Providers.</w:t>
      </w:r>
    </w:p>
    <w:p>
      <w:pPr>
        <w:spacing w:after="0" w:line="200" w:lineRule="exact"/>
        <w:rPr>
          <w:sz w:val="20"/>
          <w:szCs w:val="20"/>
          <w:color w:val="auto"/>
        </w:rPr>
      </w:pPr>
    </w:p>
    <w:p>
      <w:pPr>
        <w:ind w:left="660" w:hanging="328"/>
        <w:spacing w:after="0" w:line="23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comprehensive suite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protect, detect, respond and recover from threats, all integrated within the Fortinet Security Fabric. At the core is FortiAnalyzer, which serves as the central SOC platform with its unified data lake that provides built-in SIEM, SOAR, XDR and threat intelligence, enabling centralized visibility, analytics and automation with complete control. FortiSIEM delivers robust security information and event management for more advanced SOC requirements, while FortiSOAR enables automated orchestration and playbook-driven response. This solution set also includes FortiEDR, FortiXDR,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SOCaaS, MDR, Security Posture Assessment and Incident Response. Finally, FortiAI generative AI assistance streamlines operations, helping security teams stay ahead of an ever-evolving threat landscape.</w:t>
      </w:r>
    </w:p>
    <w:p>
      <w:pPr>
        <w:spacing w:after="0" w:line="2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FortiGuard Labs </w:t>
      </w:r>
      <w:r>
        <w:rPr>
          <w:rFonts w:ascii="Times New Roman" w:cs="Times New Roman" w:eastAsia="Times New Roman" w:hAnsi="Times New Roman"/>
          <w:sz w:val="18"/>
          <w:szCs w:val="18"/>
          <w:color w:val="auto"/>
        </w:rPr>
        <w:t>is our cybersecurity threat intelligence and research organization comprised of experienced threat hunters, researchers, analysts,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engineers and data scientists who develop and utilize machine learning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204"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FortiCare Technical Support Service </w:t>
      </w:r>
      <w:r>
        <w:rPr>
          <w:rFonts w:ascii="Times New Roman" w:cs="Times New Roman" w:eastAsia="Times New Roman" w:hAnsi="Times New Roman"/>
          <w:sz w:val="17"/>
          <w:szCs w:val="17"/>
          <w:color w:val="auto"/>
        </w:rPr>
        <w:t>is a per-device technical support service, which provides customers access to experts to ensure efficient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effective operations and maintenance of their Fortinet capabilities. Global technical support is offered 24x7 with flexible add-ons, including enhanced SLAs and priority hardware replacement through in-country and local depots. Organizations have the flexibility to procure different levels of service for different devices based on their availability needs. We offer three per-device support options tailored to the needs of our enterprise customers: FortiCare Elite, FortiCare Premium and FortiCare Essential. The FortiCare Elite service aims to provide a 15-minute response time for key product families.</w:t>
      </w:r>
    </w:p>
    <w:p>
      <w:pPr>
        <w:spacing w:after="0" w:line="19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addition to FortiCare device level services, Advanced Support service options are available per account. These services are available for regional account support in three options: Core, Pro and Pro Plus, and can be globalized at the Pro and Pro Plus levels. Advanced Support brings support directly to each account, helping account holders to make their operations more effective and to plan and manage their solution lifecycle.</w:t>
      </w:r>
    </w:p>
    <w:p>
      <w:pPr>
        <w:spacing w:after="0" w:line="2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one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25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$5.96 billion in 2024, an increase of 12% compared to $5.30 billion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was $1.91 billion in 2024, a decrease of 1% compared to $1.93 billion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was $4.05 billion in 2024, an increase of 20% compared to $3.38 billion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$4.80 billion in 2024, an increase of 18% compared to $4.07 billion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80.6% in 2024, an increase of 3.9 percentage points compared to 76.7%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$1.80 billion in 2024, an increase of 45% compared to $1.24 billion in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30.3% in 2024, an increase of 6.9 percentage points compared to 23.4% in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and marketable equity securities were $4.07 billion as of December 31, 2024, an increase of $1.63 billion, or 67%, from December 31, 2023.</w:t>
      </w:r>
    </w:p>
    <w:p>
      <w:pPr>
        <w:spacing w:after="0" w:line="188"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$6.36 billion as of December 31, 2024, an increase of $625.9 million, or 11%, from December 31, 2023. Short-term deferred revenue was $3.28 billion as of December 31, 2024, an increase of $427.5 million, or 15%, from December 31, 2023.</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$2.26 billion in 2024, an increase of $322.6 million, or 17%, compared to 2023.</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we closed our acquisition of Lacework, a privately held data-driven cloud security company. On August 5, 2024, we completed the acquisition of Next DLP, a privately held insider risk and DLP company. From August 2024 to December 2024, revenue from these two acquired companies was $33.5 million, or 0.6% of total revenue in 2024.</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a geographic basis, revenue continues to be diversified globally, which remains a key strength of our business. In 2024, the Americas region, the Europe, Middle East and Africa (“EMEA”) region and the Asia Pacific (“APAC”) region contributed 41%, 40% and 19% of our total revenue, respectively, and increased 12%, 16% and 6% compared to 2023, respectively.</w:t>
      </w:r>
    </w:p>
    <w:p>
      <w:pPr>
        <w:spacing w:after="0" w:line="194"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Product revenue remained comparatively flat in 2024 compared to 2023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We expect product revenue growth rates to be higher in 2025 compared to 2024 which had a challenging comparison to a 2023 year benefiting from the greater backlog contribution to billings.</w:t>
      </w:r>
    </w:p>
    <w:p>
      <w:pPr>
        <w:spacing w:after="0" w:line="19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Service revenue grew 20% in 2024 compared to 2023, primarily driven by the strength of our security subscription revenue, which grew 22% in 2024 compared to 2023.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in 2025, with growth opportunities that include unified SASE and SecOps offerings as well as the year over year increase in current deferred revenue. While service revenue is expected to grow in 2025, we anticipate that the growth rates will continue to slow down in 2025 due to slowing short term deferred revenue growth over the past several quarters.</w:t>
      </w:r>
    </w:p>
    <w:p>
      <w:pPr>
        <w:spacing w:after="0" w:line="22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billings were diversified on a geographic basis. In 2024, seven countries represented approximately 50% of our billings and the remaining approximately 50% were from over 100 countries that each individually contributed less than 3% of our billings.</w:t>
      </w:r>
    </w:p>
    <w:p>
      <w:pPr>
        <w:spacing w:after="0" w:line="18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Total gross margin increased 3.9 percentage points in 2024 compared to 2023, primarily driven by increased product and service gross margin and a shift in the revenue mix to higher margin service revenue. Our overall gross margin in 2025 will be impacted by service and product revenue mix and their respective gross margins. We expect our service gross margin to decrease for full year 2025 compared to full year 2024, as we expand our data center footprint and colocation and cloud hosting capacity to support the growth in our unified SASE and SecOps offerings.</w:t>
      </w:r>
    </w:p>
    <w:p>
      <w:pPr>
        <w:spacing w:after="0" w:line="191"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Operating expenses as a percentage of revenue decreased approximately 3.0 percentage points in 2024 compared to 2023, mainly because our revenue growth outpaced personnel costs. Headcount increased 4% to 14,138 employees as of December 31, 2024, up from 13,568 as of December 31, 2023. We expect our operating expenses as a percentage of revenue to increase for full year 2025 compared to full year 2024 as we expand our workforce organically and through acquisitions.</w:t>
      </w:r>
    </w:p>
    <w:p>
      <w:pPr>
        <w:spacing w:after="0" w:line="2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Operating margin increased 6.9 percentage points in 2024 as a result of improvement in gross margin and decrease in operating expenses as a percentage of revenue. We expect our operating margin to decrease for full year 2025 compared to full year 2024 as we grow our sales and marketing, and research and development workforce organically and through acquisitions, increase our product development investments, and expand our data center footprint and our colocation and cloud hosting capacity to support business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and geopolitical conditions, such as GDP growth, the war in Ukraine or tensions between China and Taiwan, and their impact on customer behavior. Worsening economic conditions, including inflation, changing interest rates, tariffs and other trade disruptions, slower growth, any recession, fluctuations in foreign exchange rates and other changes in economic conditions, may result in decreased sales productivity and</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growth and adversely affect our results of operations and financial performance. We have seen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p>
    <w:p>
      <w:pPr>
        <w:spacing w:after="0" w:line="21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 Item 1A “Risk Factors” in this Form 10-K.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w:t>
      </w:r>
    </w:p>
    <w:p>
      <w:pPr>
        <w:spacing w:after="0" w:line="200"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and cloud-delivered solutions, including our FortiGuard and other security subscriptions, FortiCare technical support services, certain unified SASE and SecOps services. We generally invoice at the time of our sale for the total price of the products and services. Standard payment terms are generally no more than 60 days, though we may offer extended payment terms to certain distributors or large enterprises.</w:t>
      </w:r>
    </w:p>
    <w:p>
      <w:pPr>
        <w:spacing w:after="0" w:line="20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Amazon Web Services, Microsoft Azure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 Components of Operating Results,”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72"/>
              <w:spacing w:after="0"/>
              <w:rPr>
                <w:sz w:val="20"/>
                <w:szCs w:val="20"/>
                <w:color w:val="auto"/>
              </w:rPr>
            </w:pPr>
            <w:r>
              <w:rPr>
                <w:rFonts w:ascii="Times New Roman" w:cs="Times New Roman" w:eastAsia="Times New Roman" w:hAnsi="Times New Roman"/>
                <w:sz w:val="16"/>
                <w:szCs w:val="16"/>
                <w:b w:val="1"/>
                <w:bCs w:val="1"/>
                <w:color w:val="auto"/>
              </w:rPr>
              <w:t>Year Ended or As of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0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6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3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5,955.8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6,360.9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4,640.3</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5,594.0</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1,449.4</w:t>
            </w:r>
          </w:p>
        </w:tc>
      </w:tr>
    </w:tbl>
    <w:p>
      <w:pPr>
        <w:spacing w:after="0" w:line="31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$6.36 billion as of December 31, 2024, an increase of $625.9 million, or 11%, from December 31, 2023. Short term deferred revenue was $3.28 billion as of December 31, 2024, an increase of $427.5 million, or 15%, from December 31,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generally accepted accounting principles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plus the change in deferred revenue from the beginning 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and cash flows.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$6.53 billion in 2024, an increase of 2% compared to $6.40 billion in 2023.</w:t>
      </w:r>
    </w:p>
    <w:p>
      <w:pPr>
        <w:spacing w:after="0" w:line="21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 and as the supply chain challenges normalized, our product revenue growth rate may be lower versus prior quarters where delivery from backlog contributed more to billings.</w:t>
      </w:r>
    </w:p>
    <w:p>
      <w:pPr>
        <w:spacing w:after="0" w:line="20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5,955.8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4,417.4</w:t>
            </w:r>
          </w:p>
        </w:tc>
      </w:tr>
      <w:tr>
        <w:trPr>
          <w:trHeight w:val="229"/>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r>
      <w:tr>
        <w:trPr>
          <w:trHeight w:val="22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8"/>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02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investing activities other than capital expenditures and cash flows from financing activities. Management accounts for this limitation by providing information about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6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2,258.1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w:t>
            </w:r>
          </w:p>
        </w:tc>
      </w:tr>
      <w:tr>
        <w:trPr>
          <w:trHeight w:val="230"/>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1,879.2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6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Borders>
              <w:top w:val="single" w:sz="8" w:color="auto"/>
              <w:bottom w:val="single" w:sz="8" w:color="auto"/>
            </w:tcBorders>
          </w:tcPr>
          <w:p>
            <w:pPr>
              <w:jc w:val="right"/>
              <w:ind w:right="8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(1,570.4)</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(2,130.3)</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54"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 the majority of our revenue from sales of our hardware and software products and amortization of amounts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revenue related to previous sales of FortiGuard and other security subscriptions and FortiCare technical support services. We also recognize revenue from cloud security solutions, professional services, and training.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is comprised of:</w:t>
      </w:r>
    </w:p>
    <w:p>
      <w:pPr>
        <w:spacing w:after="0" w:line="237" w:lineRule="exact"/>
        <w:rPr>
          <w:sz w:val="20"/>
          <w:szCs w:val="20"/>
          <w:color w:val="auto"/>
        </w:rPr>
      </w:pPr>
    </w:p>
    <w:p>
      <w:pPr>
        <w:ind w:left="1300" w:right="140" w:hanging="644"/>
        <w:spacing w:after="0" w:line="23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Product revenue is primarily generated from sales of our physical and virtual machine appliances. The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continues to be generated by our secure networking product lines. Product revenue also includes revenue from sales of unified SASE and SecOps software technologies. As a percentage of total revenue, our product revenue has varied from quarter to quarter.</w:t>
      </w:r>
    </w:p>
    <w:p>
      <w:pPr>
        <w:spacing w:after="0" w:line="198" w:lineRule="exact"/>
        <w:rPr>
          <w:rFonts w:ascii="Times New Roman" w:cs="Times New Roman" w:eastAsia="Times New Roman" w:hAnsi="Times New Roman"/>
          <w:sz w:val="18"/>
          <w:szCs w:val="18"/>
          <w:color w:val="auto"/>
        </w:rPr>
      </w:pPr>
    </w:p>
    <w:p>
      <w:pPr>
        <w:ind w:left="1300" w:hanging="644"/>
        <w:spacing w:after="0" w:line="239"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Service revenue is generated primarily from FortiGuard and other security subscription services and FortiCare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We recognize revenue from FortiGuard and other security subscriptions and FortiCare technical support services ratably over the service term. Our typical contractual support and subscription term is one to five years. We also generate our revenue from other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mix of our product revenue, pricing actions, the expansion and introduction of new service offerings, the attach rate of service contracts to new product sales, and the renewal of service contracts by our existing customers.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cost of revenue is comprised of:</w:t>
      </w:r>
    </w:p>
    <w:p>
      <w:pPr>
        <w:spacing w:after="0" w:line="237" w:lineRule="exact"/>
        <w:rPr>
          <w:sz w:val="20"/>
          <w:szCs w:val="20"/>
          <w:color w:val="auto"/>
        </w:rPr>
      </w:pPr>
    </w:p>
    <w:p>
      <w:pPr>
        <w:ind w:left="1300" w:right="20" w:hanging="644"/>
        <w:spacing w:after="0" w:line="24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product revenue</w:t>
      </w:r>
      <w:r>
        <w:rPr>
          <w:rFonts w:ascii="Times New Roman" w:cs="Times New Roman" w:eastAsia="Times New Roman" w:hAnsi="Times New Roman"/>
          <w:sz w:val="18"/>
          <w:szCs w:val="18"/>
          <w:color w:val="auto"/>
        </w:rPr>
        <w:t>. Cost of product revenue is primarily comprised of third-party contract manufacturers’ costs and the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used in production. Our cost of product revenue also includes supplies, shipping costs, personnel costs associated with logistics and quality control, facility-related costs, excess and obsolete inventory costs, charges related to excess inventory commitments and amortization of intangible assets. Personnel costs include compensation benefits and stock-based compensation.</w:t>
      </w:r>
    </w:p>
    <w:p>
      <w:pPr>
        <w:spacing w:after="0" w:line="204" w:lineRule="exact"/>
        <w:rPr>
          <w:rFonts w:ascii="Times New Roman" w:cs="Times New Roman" w:eastAsia="Times New Roman" w:hAnsi="Times New Roman"/>
          <w:sz w:val="18"/>
          <w:szCs w:val="18"/>
          <w:color w:val="auto"/>
        </w:rPr>
      </w:pPr>
    </w:p>
    <w:p>
      <w:pPr>
        <w:ind w:left="1300" w:right="180" w:hanging="644"/>
        <w:spacing w:after="0" w:line="298" w:lineRule="auto"/>
        <w:tabs>
          <w:tab w:leader="none" w:pos="129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 of service revenue</w:t>
      </w:r>
      <w:r>
        <w:rPr>
          <w:rFonts w:ascii="Times New Roman" w:cs="Times New Roman" w:eastAsia="Times New Roman" w:hAnsi="Times New Roman"/>
          <w:sz w:val="17"/>
          <w:szCs w:val="17"/>
          <w:color w:val="auto"/>
        </w:rPr>
        <w:t>. Cost of service revenue is primarily comprised of personnel costs, replacement cost, data center infrastructure,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software and delivery costs, colocation and cloud provider fees, facility-related costs and amortization of intangible assets.</w:t>
      </w:r>
    </w:p>
    <w:p>
      <w:pPr>
        <w:spacing w:after="0" w:line="16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sales price of our products, product costs, the mix of products sold and the mix of revenue between hardware products, software licenses and services and any excess inventory or other charges. Generally, service revenue and software licenses have higher gross margins compared to hardware products. Overall gross margin in 2025 will be impacted by service and product revenue mix and their respective gross margins.</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are the most significant component of operating expenses and consist primarily of salaries, benefits, bonuses, sales commissions and stock-based compensation. We expect personnel costs to continue to increase in absolute dollars as we expand our workforce.</w:t>
      </w:r>
    </w:p>
    <w:p>
      <w:pPr>
        <w:spacing w:after="0" w:line="188" w:lineRule="exact"/>
        <w:rPr>
          <w:sz w:val="20"/>
          <w:szCs w:val="20"/>
          <w:color w:val="auto"/>
        </w:rPr>
      </w:pPr>
    </w:p>
    <w:p>
      <w:pPr>
        <w:ind w:left="1300" w:right="180" w:hanging="644"/>
        <w:spacing w:after="0"/>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consists primarily of personnel costs. Additional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include ASIC and system prototypes and certification-related expenses, depreciation of property and equipment and facility-related expenses. The majority of our research and development is focused on software and hardware development. We record research and development expenses as incurred. As of December 31, 2024, approximately 79%, 7%, 5%, 3% and 3% of our research and development teams were located in North America, India, Israel, Japan and Taiwan, respectively. We do not own research and development team located in China. As of December 31, 2024, approximately two-thirds of our engineers worked on software development while the remainder worked on hardware development.</w:t>
      </w:r>
    </w:p>
    <w:p>
      <w:pPr>
        <w:spacing w:after="0" w:line="225"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Additional sales and marketing expenses include product marketing, public relations, field marketing and events and channel marketing programs (e.g., partner cooperative marketing arrangements), as well as travel, depreciation of property and equipment and facility-related</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expenses. We intend to hire additional personnel focused on sales and marketing and expand our sales and marketing efforts worldwide in order to capture market share.</w:t>
      </w:r>
    </w:p>
    <w:p>
      <w:pPr>
        <w:spacing w:after="0" w:line="187" w:lineRule="exact"/>
        <w:rPr>
          <w:sz w:val="20"/>
          <w:szCs w:val="20"/>
          <w:color w:val="auto"/>
        </w:rPr>
      </w:pPr>
    </w:p>
    <w:p>
      <w:pPr>
        <w:ind w:left="1300" w:right="80" w:hanging="644"/>
        <w:spacing w:after="0" w:line="261"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of personnel costs, as well as professional fees,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and internal-use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spacing w:after="0" w:line="193"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equivalents and investments. Historically, our interest-bearing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include corporate debt securities, certificates of deposit and term deposits, commercial paper, money market funds, U.S. government and agency securities and municipal bonds.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expense due to the senior notes and other miscellaneous interest expense.</w:t>
      </w:r>
    </w:p>
    <w:p>
      <w:pPr>
        <w:spacing w:after="0" w:line="23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i w:val="1"/>
          <w:iCs w:val="1"/>
          <w:color w:val="auto"/>
        </w:rPr>
        <w:t>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Other income (expense)—net consists primarily of foreign exchange gains and losses related to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gains or losses due to the changes in fair value of our marketable equity securities, realized gains and losses of available-for-sale investments, net rental income from real estate, as well as the gain on the sale or the impairment of investments in privately held companies without readily determinable fair values, which are not accounted for under the equity method.</w:t>
      </w:r>
    </w:p>
    <w:p>
      <w:pPr>
        <w:spacing w:after="0" w:line="21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are subject to income taxes in the United States, as well as other tax jurisdictions or countries in which we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Earnings from our non-U.S. activities are subject to income taxes in local countries and may be subject to U.S. income taxes. Our effective tax rate differs from the U.S. statutory rate primarily due to foreign income subject to different tax rates than in the U.S., federal research and development tax credit, state income taxes, withholding taxes, excess tax benefits related to stock-based compensation expense and the tax impacts of the foreign-derived intangible income (“FDII”) deduction.</w:t>
      </w:r>
    </w:p>
    <w:p>
      <w:pPr>
        <w:spacing w:after="0" w:line="208" w:lineRule="exact"/>
        <w:rPr>
          <w:sz w:val="20"/>
          <w:szCs w:val="20"/>
          <w:color w:val="auto"/>
        </w:rPr>
      </w:pPr>
    </w:p>
    <w:p>
      <w:pPr>
        <w:ind w:right="2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Loss from equity method investments. </w:t>
      </w:r>
      <w:r>
        <w:rPr>
          <w:rFonts w:ascii="Times New Roman" w:cs="Times New Roman" w:eastAsia="Times New Roman" w:hAnsi="Times New Roman"/>
          <w:sz w:val="18"/>
          <w:szCs w:val="18"/>
          <w:color w:val="auto"/>
        </w:rPr>
        <w:t>Loss from equity method investments consists of our proportionate share of the investees’ net loss,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of any basis differences, as well as any other-than-temporary impairment (“OTTI”) when events or circumstances suggest that the carrying amount of the investment may be impaired.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goods or services is transferred to our customers, in an amount that reflects the consideration we expect to be entitled to in exchange for those goods or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52" w:lineRule="exact"/>
        <w:rPr>
          <w:sz w:val="20"/>
          <w:szCs w:val="20"/>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52"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as to being distinct goods or services in a contract;</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5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typically contain multiple performance obligations, such as hardware, software license, security subscription, technical support services, cloud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Contract Costs and Commission Expense</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commissions on renewal contracts are amortized on a straight-line basis over the period of benefit of five years. Estimates, assumptions, and judgments in accounting for deferred contract costs include, but are not limited to, identification of contract costs, anticipated billings and the expected period of benefit.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5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The excess of the fair values of the net assets acquired over the net purchase consideration is recorded as a gain on bargain purchase within other income, net on the consolidated statements of income. We often continue to gather additional information throughout the measurement period, and if we make changes to the amounts recorded, such changes are recorded in the period in which they are identified.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241" w:lineRule="exact"/>
        <w:rPr>
          <w:sz w:val="20"/>
          <w:szCs w:val="20"/>
          <w:color w:val="auto"/>
        </w:rPr>
      </w:pPr>
    </w:p>
    <w:p>
      <w:pPr>
        <w:ind w:right="80" w:firstLine="648"/>
        <w:spacing w:after="0" w:line="230" w:lineRule="auto"/>
        <w:rPr>
          <w:sz w:val="20"/>
          <w:szCs w:val="20"/>
          <w:color w:val="auto"/>
        </w:rPr>
      </w:pPr>
      <w:r>
        <w:rPr>
          <w:rFonts w:ascii="Times New Roman" w:cs="Times New Roman" w:eastAsia="Times New Roman" w:hAnsi="Times New Roman"/>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periodically review significant claims and litigation matters for the probability of an adverse outcome. We accrue for a loss contingency if a loss is probable and the amount of the loss can be reasonably estimated. These accruals are generally based on a range of possible outcomes that require significant judgement. Estimates can change as individual claims develop. The actual liability in any such matters may be materially different from our estimates, which could result in the need to adjust our liability and record additional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represent future tax benefits to be received when certain expenses previously recognized in our consolidated statements of income become deductible expenses under applicable income tax laws, or loss or credit carryforwards are utilized.</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1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account for the tax effect of the Global Intangible Low-Taxed Income (“GILTI”) as a current period expense.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72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1,908.7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4,047.1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5,955.8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3,541.5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7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7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net of tax</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7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1,745.2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5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percentage of revenue)</w:t>
            </w:r>
          </w:p>
        </w:tc>
        <w:tc>
          <w:tcPr>
            <w:tcW w:w="1740" w:type="dxa"/>
            <w:vAlign w:val="bottom"/>
          </w:tcPr>
          <w:p>
            <w:pPr>
              <w:spacing w:after="0"/>
              <w:rPr>
                <w:sz w:val="21"/>
                <w:szCs w:val="21"/>
                <w:color w:val="auto"/>
              </w:rPr>
            </w:pPr>
          </w:p>
        </w:tc>
      </w:tr>
      <w:tr>
        <w:trPr>
          <w:trHeight w:val="23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30"/>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5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gross margin</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net of tax</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Discussion regarding our financial condition and results of operations for 2023 as compared to 2022 can be found in Item 7 of our Annual Report on Form 10-K for the fiscal year ended December 31, 2023, filed with the SEC on February 26,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3"/>
                <w:szCs w:val="13"/>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Total revenue increased $651.0 million, or 12%, in 2024 compared to 2023. We continued to experience diversification of revenue geographically, and across customer and industry verticals. Revenue from all regions grew, with EMEA contributing the largest portion of the increase on an absolute dollar basis and on a percentage basis.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revenue remained comparatively flat in 2024 compared to 2023</w:t>
      </w:r>
      <w:r>
        <w:rPr>
          <w:rFonts w:ascii="Times New Roman" w:cs="Times New Roman" w:eastAsia="Times New Roman" w:hAnsi="Times New Roman"/>
          <w:sz w:val="21"/>
          <w:szCs w:val="21"/>
          <w:color w:val="008080"/>
        </w:rPr>
        <w:t>.</w:t>
      </w:r>
    </w:p>
    <w:p>
      <w:pPr>
        <w:spacing w:after="0" w:line="240"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Service revenue increased $669.6 million, or 20%, in 2024 compared to 2023. Security subscription revenue increased $418.6 million, or 22%, and technical support and other services revenue increased $251.0 million, or 17%, in 2024 compared to 2023.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Of the service revenue recognized in 2024, 70% was included in the deferred revenue balance as of December 31, 2023. Of the service revenue recognized in 2023, 67% was included in the deferred revenue balance as of December 31, 2022.</w:t>
      </w:r>
    </w:p>
    <w:p>
      <w:pPr>
        <w:spacing w:after="0" w:line="20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7"/>
          <w:szCs w:val="17"/>
          <w:color w:val="auto"/>
        </w:rPr>
        <w:t>Of the service revenue recognized in each quarter of 2024, from 88% to 90% was included in deferred revenue as of the beginning of the respective quarter. We expect service revenue growth rates to continue to slow down in 2025 due to slowing short term deferred revenue growth over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several quarters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partially offset by increases in SaaS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040" w:type="dxa"/>
            <w:vAlign w:val="bottom"/>
            <w:gridSpan w:val="6"/>
          </w:tcPr>
          <w:p>
            <w:pPr>
              <w:ind w:left="1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3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1"/>
        </w:trPr>
        <w:tc>
          <w:tcPr>
            <w:tcW w:w="3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6"/>
              </w:rPr>
              <w:t>1,157.6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2020" w:type="dxa"/>
            <w:vAlign w:val="bottom"/>
            <w:tcBorders>
              <w:top w:val="single" w:sz="8" w:color="CCEEFF"/>
            </w:tcBorders>
            <w:shd w:val="clear" w:color="auto" w:fill="CCEEFF"/>
          </w:tcPr>
          <w:p>
            <w:pPr>
              <w:spacing w:after="0"/>
              <w:rPr>
                <w:sz w:val="19"/>
                <w:szCs w:val="19"/>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33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Total gross margin increased 3.9 percentage points in 2024 compared to 2023, primarily driven by a shift in the revenue mix to higher margin service revenue and increased product and service gross margin. Revenue mix shifted by 4.3 percentage points from product revenue to service revenue, as a percentage of total revenue.</w:t>
      </w:r>
    </w:p>
    <w:p>
      <w:pPr>
        <w:spacing w:after="0" w:line="199"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18"/>
          <w:szCs w:val="18"/>
          <w:color w:val="auto"/>
        </w:rPr>
        <w:t>Product gross margin increased 5.4 percentage points in 2024 compared to 2023, primarily due to decrease in inventory related reserves expense, lower expedite fees, a shift in revenue mix from hardware to software and lower freight costs, partially offset by reduced prices on certain products. During the first quarter of 2024, we lowered list prices on select products. Cost of product revenue was comprised primarily of third-party contract manufacturers’ costs, costs of materials used in production and inventory reserves related to excess inventory and contractual delivery commitments.</w:t>
      </w:r>
    </w:p>
    <w:p>
      <w:pPr>
        <w:spacing w:after="0" w:line="2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Service gross margin increased 1.5 percentage points in 2024 compared to 2023, primarily driven by service revenue growth outpacing labor and replacement costs increase, partially offset by an increase in cloud service costs. Cost of service revenue was comprised primarily of personnel-related costs, replacement cost, data center infrastructure, software and delivery costs, colocation and cloud provider fees, as well as facility-related costs.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020" w:type="dxa"/>
            <w:vAlign w:val="bottom"/>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 increased $103.0 million, or 17%, in 2024 compared to 2023, primarily due to an increase of $81.8 million in personnel-related costs as a result of increased headcount and compensation rates to support the development of new products and continued enhancements to our existing products. In addition, non-personnel-related product development costs increased $14.1 million and depreciation expense and other occupancy-related expense increased $6.8 million. We currently intend to continue to invest in our research and development organization, and expect research and development expense to increase in absolute dollars in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ind w:right="600" w:firstLine="648"/>
        <w:spacing w:after="0" w:line="268" w:lineRule="auto"/>
        <w:rPr>
          <w:sz w:val="20"/>
          <w:szCs w:val="20"/>
          <w:color w:val="auto"/>
        </w:rPr>
      </w:pPr>
      <w:r>
        <w:rPr>
          <w:rFonts w:ascii="Times New Roman" w:cs="Times New Roman" w:eastAsia="Times New Roman" w:hAnsi="Times New Roman"/>
          <w:sz w:val="17"/>
          <w:szCs w:val="17"/>
          <w:color w:val="auto"/>
        </w:rPr>
        <w:t>Sales and marketing expense increased $38.8 million, or 2%, in 2024 compared to 2023, primarily due to an increase of $44.0 million in personnel-related costs. In addition, travel expense increased $7.3 million and cloud hosting services costs related to sales demonstrations increased</w:t>
      </w:r>
    </w:p>
    <w:p>
      <w:pPr>
        <w:ind w:right="60"/>
        <w:spacing w:after="0"/>
        <w:rPr>
          <w:sz w:val="20"/>
          <w:szCs w:val="20"/>
          <w:color w:val="auto"/>
        </w:rPr>
      </w:pPr>
      <w:r>
        <w:rPr>
          <w:rFonts w:ascii="Times New Roman" w:cs="Times New Roman" w:eastAsia="Times New Roman" w:hAnsi="Times New Roman"/>
          <w:sz w:val="18"/>
          <w:szCs w:val="18"/>
          <w:color w:val="auto"/>
        </w:rPr>
        <w:t>$4.5 million. The increases were partially offset by a decrease of $21.8 million in marketing program and related expenses. We currently intend to continue to make investments in sales and marketing resources, which are critical to support our future growth, and expect sales and marketing expense to increase in absolute dollars in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General and administrative expense increased $26.5 million, or 13%, in 2024 compared to 2023, primarily due to an increase of $21.7 million in legal related fees and other professional service fees and an increase of $6.6 million in personnel-related costs. The increases were partially offset by a decrease of $6.0 million in provision for expected credit losses. We currently expect general and administrative expense to increase in absolute dollars in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We generated operating income of $1.80 billion in 2024, an increase of $562.3 million, or 45%, compared to $1.24 billion in 2023. Operating income as a percentage of revenue increased to 30.3% in 2024 compared to 23.4% in 2023. The increase in our operating margin primarily benefits from 3.9 percentage points increase in gross margin and 3.5 percentage points decrease in sales and marketing expense as a percentage of revenue, partially offset by 0.5 percentage points increase in research and development expense as percentage of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gain on bargain purchase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3800" w:type="dxa"/>
            <w:vAlign w:val="bottom"/>
            <w:gridSpan w:val="6"/>
          </w:tcPr>
          <w:p>
            <w:pPr>
              <w:ind w:lef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4"/>
        </w:trPr>
        <w:tc>
          <w:tcPr>
            <w:tcW w:w="36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9"/>
        </w:trPr>
        <w:tc>
          <w:tcPr>
            <w:tcW w:w="3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40" w:type="dxa"/>
            <w:vAlign w:val="bottom"/>
          </w:tcPr>
          <w:p>
            <w:pPr>
              <w:spacing w:after="0"/>
              <w:rPr>
                <w:sz w:val="21"/>
                <w:szCs w:val="21"/>
                <w:color w:val="auto"/>
              </w:rPr>
            </w:pPr>
          </w:p>
        </w:tc>
      </w:tr>
      <w:tr>
        <w:trPr>
          <w:trHeight w:val="23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bl>
    <w:p>
      <w:pPr>
        <w:spacing w:after="0" w:line="30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Interest income increased $35.5 million in 2024 as compared to 2023, primarily as a result of higher investment balances. Interest income varies depending on our average investment balances during the period, types and mix of investments, and market interest rates. Interest expense decreased $1.0 million in 2024 as compared to 2023. Gain on bargain purchase was $106.3 million in 2024 and is related to our acquisition of Lacework. The $19.7 million change in other income (expense)—net in 2024 as compared to 2023 was primarily due to an increase of $30.9 million gain on marketable equity securities, partially offset by a $10.0 million increase of foreign currency exchange losses.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6"/>
        </w:trPr>
        <w:tc>
          <w:tcPr>
            <w:tcW w:w="34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0"/>
        </w:trPr>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143.8</w:t>
            </w:r>
          </w:p>
        </w:tc>
        <w:tc>
          <w:tcPr>
            <w:tcW w:w="1320" w:type="dxa"/>
            <w:vAlign w:val="bottom"/>
            <w:gridSpan w:val="2"/>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30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for 2024 reflects an effective tax rate of 14%, compared to an effective tax rate of 11% for 2023. The provision for income taxes for 2024 was comprised primarily of a $454.6 million tax expense related to U.S. federal and state income taxes, other foreign income taxes, foreign withholding taxes and unrecognized tax benefits. The provision was partially offset by excess tax benefits of $45.3 million from stock-based compensation expense, a tax benefit of $111.5 million from the FDII deduction, and a tax benefit of $13.9 million from federal research and development tax credits.</w:t>
      </w:r>
    </w:p>
    <w:p>
      <w:pPr>
        <w:spacing w:after="0" w:line="21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provision for income taxes for 2023 reflects an effective tax rate of 11%, compared to an effective tax rate of 3% for 2022. The provision for income taxes for 2023 was comprised primarily of a $302.4 million tax expense related to U.S. federal and state income taxes, other foreign income taxes, foreign withholding taxes and unrecognized tax benefits.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provision was partially offset by excess tax benefits of $55.1 million from stock-based compensation expense, a tax benefit of $89.5 million from the FDII deduction, and a tax benefit of $14.0 million from federal research and development tax credits.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3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91"/>
        </w:trPr>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40" w:type="dxa"/>
            <w:vAlign w:val="bottom"/>
          </w:tcPr>
          <w:p>
            <w:pPr>
              <w:spacing w:after="0"/>
              <w:rPr>
                <w:sz w:val="24"/>
                <w:szCs w:val="24"/>
                <w:color w:val="auto"/>
              </w:rPr>
            </w:pPr>
          </w:p>
        </w:tc>
      </w:tr>
      <w:tr>
        <w:trPr>
          <w:trHeight w:val="23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306"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Loss from equity method investments decreased $12.7 million in 2024 as compared to 2023, primarily driven by our proportionate share of Linksys’ financial results, partially offset by the OTTI charge of $8.0 million recorded in the second quarter of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quarterly results reflect a pattern of increased customer buying at year-end, which has positively impacted billings and product revenue activity in the fourth quarter. In the first quarter, we generally experience lower sequential customer product buying, followed by an increase in buying in the second and third quarters. Although these seasonal factors may be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quarterly revenue over the past three years has increased sequentially each quarter within the year.</w:t>
      </w:r>
    </w:p>
    <w:p>
      <w:pPr>
        <w:spacing w:after="0" w:line="239"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Total gross margin has fluctuated on a quarterly basis primarily due to the relative product and service mix. Product gross margin varies based on the types of products sold, their cost profile and their average selling prices. Service gross margin is impacted by revenue growth and our personnel-related costs, replacement cost, data center infrastructure, software and delivery costs, colocation and cloud provider fees, facility-related costs and foreign currency fluctuations.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investments and marketable equity securities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2,256.5</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11"/>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9"/>
        </w:trPr>
        <w:tc>
          <w:tcPr>
            <w:tcW w:w="6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other capital expenditures, and business acquisitions, payment of taxes in connection with the net settlement of equity awards and proceeds from the issuance of common stock and investment grade debt and repurchases of our common stock.</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2" w:name="page73"/>
    <w:bookmarkEnd w:id="72"/>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an increase in installment billing, and our ability to execute. We expect proceeds from the exercise of stock options in future years to continue to be impacted by the increased mix of restricted stock units and performance stock units versus stock options granted to our employees and to vary based on our share price.</w:t>
      </w:r>
    </w:p>
    <w:p>
      <w:pPr>
        <w:spacing w:after="0" w:line="19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January 2024, our board of directors approved a $500.0 million increase in the authorized stock repurchase amount under the Repurchase Program, bringing the aggregate amount authorized to be repurchased to $7.25 billion of our outstanding common stock. In February 2024, our board of directors approved an extension of the Repurchase Program to February 28, 2025. 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In 2024, we repurchased less than 0.1 million shares of common stock under the Repurchase Program for an aggregate purchase price of $0.6 million. As of December 31, 2024, approximately $2.03 billion remained available for future share repurchases under the Repurchase Program.</w:t>
      </w:r>
    </w:p>
    <w:p>
      <w:pPr>
        <w:spacing w:after="0" w:line="21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2025 capital expenditures to be between approximately $380.0 million and $430.0 million.</w:t>
      </w:r>
    </w:p>
    <w:p>
      <w:pPr>
        <w:spacing w:after="0" w:line="20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senior notes, inventory purchase and other contractual commitments. As of December 31, 2024, the long-term debt, net of unamortized discount and debt issuance costs, was $994.3 million. $500.0 million in aggregate principal amount of senior notes is due on March 15, 2026 and $500.0 million in aggregate principal amount of senior notes is due on March 15, 2031. In addition, 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These inventory purchase commitments as of December 31, 2024 totaled $591.1 million, a decrease of $46.2 million compared to $637.3 million as of December 31, 2023 due to fulfillment of customer demand as our supply availability improved and our continued efforts to work with contract manufacturers and suppliers to optimize our inventory and purchase commitments position. We record a liability for inventory purchase commitments in excess of our future demand forecasts consistent with the valuation of our excess and obsolete inventory. We estimate payments of $588.9 million due on or before December 31, 2025 related to these commitments.</w:t>
      </w:r>
    </w:p>
    <w:p>
      <w:pPr>
        <w:spacing w:after="0" w:line="21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increased our purchase commitments in prior years to address significant supply constraints seen industry-wide due to component shortages and have reduced the purchase commitments in 2024. Our agreements secured supply and pricing for certain product components with contract manufacturers to meet customer demand and to address extended lead times.</w:t>
      </w: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w:t>
      </w:r>
    </w:p>
    <w:p>
      <w:pPr>
        <w:spacing w:after="0" w:line="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195"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December 31, 2024, we had $101.2 million in other contractual commitments having a remaining term in excess of one year that are non-cancelable.</w:t>
      </w:r>
    </w:p>
    <w:p>
      <w:pPr>
        <w:spacing w:after="0" w:line="204"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As of December 31, 2024, our cash, cash equivalents and short-term and long-term investments of $4.07 billion were invested primarily in deposit accounts, commercial paper, corporate debt securities, U.S. government and agency securities, certificates of deposit and term deposits and money market funds. It is our investment policy to invest excess cash in a manner that preserves capital, provides liquidity, and generates return without significantly increasing risk. We do not enter into investments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$207.8 million and $199.9 million as of December 31, 2024 and 2023, respectively.</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and the war in Ukraine.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12"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18"/>
          <w:szCs w:val="18"/>
          <w:color w:val="auto"/>
        </w:rPr>
        <w:t>During 2024, 2023 and 2022,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deferred contract costs, accrued liabilities, deferred tax assets, inventory and accounts receivable—net.</w:t>
      </w:r>
    </w:p>
    <w:p>
      <w:pPr>
        <w:spacing w:after="0" w:line="191"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Our operating activities during 2024 provided cash flows of $2.26 billion as a result of the continued growth of our business, improved profitability and our ability to successfully manage our working capital. Changes in operating assets and liabilities primarily resulted from an increase in sales of our security subscription services and technical support services to new and existing customers, as reflected by an increase of $577.8 million in our deferred revenue during 2024. In addition, changes in operating assets and liabilities were driven by an increase of $311.1 million in deferred contract costs, an increase of $223.2 million in deferred tax assets, a decrease of $131.2 million in inventory, a decrease of $106.7 million in accrued liabilities, and an increase of $45.4 million in accounts receivable—net.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3"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in making a lease-versus-ownership decision related to warehouse, office or data center space, we have considered various factors including financial metrics, expected long-term growth rates, time to market, operating costs and changes in asset values. In certain cases,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11"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During 2024, cash used in investing activities was $727.4 million, primarily driven by $378.9 million used for the purchases of property and equipment, $275.5 million used for the acquisitions of Lacework, Next DLP and Perception Point, net of cash and $56.4 million spent for purchases of investments, net of maturities and sales of investments.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our Amended and Restated 2009 Equity Incentive Plan (the “2009 EIP”).</w:t>
      </w:r>
    </w:p>
    <w:p>
      <w:pPr>
        <w:spacing w:after="0" w:line="217"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2024, cash used in financing activities was $50.1 million, primarily driven by $37.8 million used to pay tax withholding, net of proceeds from the issuance of common stock.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 of the notes to our consolidated financial statements in Part II, Item 8 of this Annual Report on Form 10-K for a full description of recently adopted accounting pronouncements.</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Fluctuation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interest rate risks related to our investment portfolio and outstanding debt.</w:t>
      </w:r>
    </w:p>
    <w:p>
      <w:pPr>
        <w:spacing w:after="0" w:line="25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investments and marketable equity securities in a variety of securities, including commercial paper, corporate debt securities, U.S. government and agency securities, certificates of deposit and term deposits, money market funds, municipal bonds and marketable equity securities. The risk associated with fluctuating interest rates is limited to our investment portfolio. A 10% decrease in interest rates would have resulted in a decrease of $15.5 million in our interest income in 2024, and would have resulted in an insignificant decrease in our interest income in 2023 and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Euro (“EUR”), the Canadian dollar (“CAD”), the British pound (“GBP”) and the Japanese yen (“JPY”).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income (expense)—net in the consolidated statements of income. We recognized an expense of $16.9 million in 2024 due to foreign currency transaction losses.</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GBP and JPY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$14.2 million change in the value of our foreign currency cash balances as of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2"/>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No.34)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24"/>
                <w:szCs w:val="24"/>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880" w:type="dxa"/>
            <w:vAlign w:val="bottom"/>
            <w:gridSpan w:val="5"/>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(Deficit) for the years ended December 31, 2024, 2023 and 2022</w:t>
            </w: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0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18"/>
                <w:szCs w:val="18"/>
                <w:color w:val="auto"/>
              </w:rPr>
            </w:pPr>
          </w:p>
        </w:tc>
        <w:tc>
          <w:tcPr>
            <w:tcW w:w="3620" w:type="dxa"/>
            <w:vAlign w:val="bottom"/>
            <w:gridSpan w:val="3"/>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20" w:type="dxa"/>
            <w:vAlign w:val="bottom"/>
          </w:tcPr>
          <w:p>
            <w:pPr>
              <w:spacing w:after="0"/>
              <w:rPr>
                <w:sz w:val="18"/>
                <w:szCs w:val="18"/>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(the “Company”) as of December 31, 2024 and 2023, the related consolidated statements of income, comprehensive income, equity (deficit),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21,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 1 and Note 2 to the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The Company’s contracts with customers often include multiple performance obligations, such as hardware, software license, security subscription, technical support services, cloud and other services, which are generally capable of being distinct and accounted for as separate performance obligations. Pursuant to accounting principles generally accepted in the United States of America, the Company is required to evaluate whether each performance obligation represents goods and services that are distinct for purposes of determining the amount and timing of revenue recognition. A good or service is distinct where the customer can benefit from the product without the services and the services are separately identifiable within a contract, and the transfer of the good or service is separately identifiable from other promises in the contract. The evaluation of performance obligations can require significant judgment in certain contracts and could change the amount of revenue recognized in a given period.</w:t>
      </w:r>
    </w:p>
    <w:p>
      <w:pPr>
        <w:spacing w:after="0" w:line="198" w:lineRule="exact"/>
        <w:rPr>
          <w:sz w:val="20"/>
          <w:szCs w:val="20"/>
          <w:color w:val="auto"/>
        </w:rPr>
      </w:pPr>
    </w:p>
    <w:p>
      <w:pPr>
        <w:jc w:val="both"/>
        <w:ind w:right="440"/>
        <w:spacing w:after="0" w:line="242" w:lineRule="auto"/>
        <w:rPr>
          <w:sz w:val="20"/>
          <w:szCs w:val="20"/>
          <w:color w:val="auto"/>
        </w:rPr>
      </w:pPr>
      <w:r>
        <w:rPr>
          <w:rFonts w:ascii="Times New Roman" w:cs="Times New Roman" w:eastAsia="Times New Roman" w:hAnsi="Times New Roman"/>
          <w:sz w:val="18"/>
          <w:szCs w:val="18"/>
          <w:color w:val="auto"/>
        </w:rPr>
        <w:t>We identified the evaluation of performance obligations in certain contracts as a critical audit matter because of the significant judgment management makes in evaluating such contracts and the impact of such judgment on the amount of revenue recognized in a particular period. This required a high degree of auditor judgment and an increased extent of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audit procedures related to the Company's identification and evaluation of performance obligations within certain contracts and the resulting impact on the pattern and timing of revenue recognition included the following, among others:</w:t>
      </w:r>
    </w:p>
    <w:p>
      <w:pPr>
        <w:spacing w:after="0" w:line="136" w:lineRule="exact"/>
        <w:rPr>
          <w:sz w:val="20"/>
          <w:szCs w:val="20"/>
          <w:color w:val="auto"/>
        </w:rPr>
      </w:pPr>
    </w:p>
    <w:p>
      <w:pPr>
        <w:ind w:left="260" w:right="100" w:hanging="252"/>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management’s significant accounting policies related to revenue recognition for compliance with Accounting Standards Codification 606, Revenue from Contracts with Customers.</w:t>
      </w:r>
    </w:p>
    <w:p>
      <w:pPr>
        <w:spacing w:after="0" w:line="10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internal controls over review of contracts, including those over the identification and evaluation of contract terms and conditions and the resulting impact on revenue recognition.</w:t>
      </w:r>
    </w:p>
    <w:p>
      <w:pPr>
        <w:spacing w:after="0" w:line="10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certain contracts and performed the following:</w:t>
      </w:r>
    </w:p>
    <w:p>
      <w:pPr>
        <w:spacing w:after="0" w:line="157" w:lineRule="exact"/>
        <w:rPr>
          <w:rFonts w:ascii="Times New Roman" w:cs="Times New Roman" w:eastAsia="Times New Roman" w:hAnsi="Times New Roman"/>
          <w:sz w:val="18"/>
          <w:szCs w:val="18"/>
          <w:color w:val="auto"/>
        </w:rPr>
      </w:pPr>
    </w:p>
    <w:p>
      <w:pPr>
        <w:ind w:left="900" w:right="780" w:hanging="244"/>
        <w:spacing w:after="0" w:line="250" w:lineRule="auto"/>
        <w:tabs>
          <w:tab w:leader="none" w:pos="8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related contract documents and evaluated whether management had properly identified the contract terms and conditions.</w:t>
      </w:r>
    </w:p>
    <w:p>
      <w:pPr>
        <w:spacing w:after="0" w:line="18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management’s evaluation of the impact of the performance obligations on the pattern and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r>
      <w:tr>
        <w:trPr>
          <w:trHeight w:val="229"/>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175"/>
        </w:trPr>
        <w:tc>
          <w:tcPr>
            <w:tcW w:w="80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receivable—Net of allowance for credit losses of $5.9 million and $8.2 million at December</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6"/>
        </w:trPr>
        <w:tc>
          <w:tcPr>
            <w:tcW w:w="8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29"/>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2,848.7</w:t>
            </w:r>
          </w:p>
        </w:tc>
      </w:tr>
      <w:tr>
        <w:trPr>
          <w:trHeight w:val="223"/>
        </w:trPr>
        <w:tc>
          <w:tcPr>
            <w:tcW w:w="8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2,886.3</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23"/>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7,722.3</w:t>
            </w:r>
          </w:p>
        </w:tc>
      </w:tr>
      <w:tr>
        <w:trPr>
          <w:trHeight w:val="20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5"/>
        </w:trPr>
        <w:tc>
          <w:tcPr>
            <w:tcW w:w="80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767.0 shares and 761.0 shares issued and</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r>
      <w:tr>
        <w:trPr>
          <w:trHeight w:val="230"/>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w:t>
            </w:r>
          </w:p>
        </w:tc>
      </w:tr>
      <w:tr>
        <w:trPr>
          <w:trHeight w:val="223"/>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2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7,258.9</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55"/>
        </w:trPr>
        <w:tc>
          <w:tcPr>
            <w:tcW w:w="55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EQUITY</w:t>
            </w: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NET OF TAX</w:t>
            </w:r>
          </w:p>
        </w:tc>
        <w:tc>
          <w:tcPr>
            <w:tcW w:w="114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114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Fortinet, Inc. (Note 9):</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tcPr>
          <w:p>
            <w:pPr>
              <w:jc w:val="right"/>
              <w:ind w:right="9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to compute net income per share attributable</w:t>
            </w:r>
          </w:p>
        </w:tc>
        <w:tc>
          <w:tcPr>
            <w:tcW w:w="1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Fortinet, Inc.:</w:t>
            </w:r>
          </w:p>
        </w:tc>
        <w:tc>
          <w:tcPr>
            <w:tcW w:w="1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1"/>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tax provision (benefit) related to items of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including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Fortinet, Inc.</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2"/>
                <w:szCs w:val="2"/>
                <w:color w:val="auto"/>
              </w:rPr>
            </w:pPr>
          </w:p>
        </w:tc>
        <w:tc>
          <w:tcPr>
            <w:tcW w:w="6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7"/>
        </w:trPr>
        <w:tc>
          <w:tcPr>
            <w:tcW w:w="5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2"/>
                <w:szCs w:val="12"/>
                <w:color w:val="auto"/>
              </w:rPr>
            </w:pPr>
          </w:p>
        </w:tc>
        <w:tc>
          <w:tcPr>
            <w:tcW w:w="8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66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50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798.4</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of the non-controlling interests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loss on investments -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857.3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Excise tax on net stock repurchases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unrealized gain on investments - net of tax</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2023</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(1,861.7)</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(463.4)</w:t>
            </w:r>
          </w:p>
        </w:tc>
        <w:tc>
          <w:tcPr>
            <w:tcW w:w="0" w:type="dxa"/>
            <w:vAlign w:val="bottom"/>
          </w:tcPr>
          <w:p>
            <w:pPr>
              <w:spacing w:after="0"/>
              <w:rPr>
                <w:sz w:val="1"/>
                <w:szCs w:val="1"/>
                <w:color w:val="auto"/>
              </w:rPr>
            </w:pPr>
          </w:p>
        </w:tc>
      </w:tr>
      <w:tr>
        <w:trPr>
          <w:trHeight w:val="139"/>
        </w:trPr>
        <w:tc>
          <w:tcPr>
            <w:tcW w:w="508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 equity incentive plans - net of tax</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3"/>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withholding</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unrealized gain on investments - net of tax</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1,745.2</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BALANCE—December 31,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1,636.2</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4"/>
        </w:trPr>
        <w:tc>
          <w:tcPr>
            <w:tcW w:w="62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5360" w:type="dxa"/>
            <w:vAlign w:val="bottom"/>
          </w:tcPr>
          <w:p>
            <w:pPr>
              <w:jc w:val="center"/>
              <w:ind w:left="2468"/>
              <w:spacing w:after="0"/>
              <w:rPr>
                <w:sz w:val="20"/>
                <w:szCs w:val="20"/>
                <w:color w:val="auto"/>
              </w:rPr>
            </w:pPr>
            <w:r>
              <w:rPr>
                <w:rFonts w:ascii="Times New Roman" w:cs="Times New Roman" w:eastAsia="Times New Roman" w:hAnsi="Times New Roman"/>
                <w:sz w:val="14"/>
                <w:szCs w:val="14"/>
                <w:b w:val="1"/>
                <w:bCs w:val="1"/>
                <w:color w:val="auto"/>
              </w:rPr>
              <w:t>FORTINET, INC.</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760" w:type="dxa"/>
            <w:vAlign w:val="bottom"/>
            <w:gridSpan w:val="2"/>
          </w:tcPr>
          <w:p>
            <w:pPr>
              <w:jc w:val="center"/>
              <w:ind w:left="2068"/>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360" w:type="dxa"/>
            <w:vAlign w:val="bottom"/>
          </w:tcPr>
          <w:p>
            <w:pPr>
              <w:jc w:val="center"/>
              <w:ind w:left="24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9"/>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1,745.2</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1,147.8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investment premiums (discounts)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bargain purchase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Accounts receivable—net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Inventory</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Deferred contract costs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Deferred tax assets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Accrued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6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4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6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6"/>
        </w:trPr>
        <w:tc>
          <w:tcPr>
            <w:tcW w:w="620" w:type="dxa"/>
            <w:vAlign w:val="bottom"/>
            <w:tcBorders>
              <w:bottom w:val="single" w:sz="8" w:color="CCEEFF"/>
            </w:tcBorders>
          </w:tcPr>
          <w:p>
            <w:pPr>
              <w:spacing w:after="0"/>
              <w:rPr>
                <w:sz w:val="17"/>
                <w:szCs w:val="17"/>
                <w:color w:val="auto"/>
              </w:rPr>
            </w:pPr>
          </w:p>
        </w:tc>
        <w:tc>
          <w:tcPr>
            <w:tcW w:w="6380" w:type="dxa"/>
            <w:vAlign w:val="bottom"/>
            <w:tcBorders>
              <w:bottom w:val="single" w:sz="8" w:color="CCEEFF"/>
            </w:tcBorders>
            <w:gridSpan w:val="2"/>
          </w:tcPr>
          <w:p>
            <w:pPr>
              <w:ind w:left="800"/>
              <w:spacing w:after="0"/>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1,177.5</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1,730.6</w:t>
            </w:r>
          </w:p>
        </w:tc>
        <w:tc>
          <w:tcPr>
            <w:tcW w:w="0" w:type="dxa"/>
            <w:vAlign w:val="bottom"/>
          </w:tcPr>
          <w:p>
            <w:pPr>
              <w:spacing w:after="0"/>
              <w:rPr>
                <w:sz w:val="1"/>
                <w:szCs w:val="1"/>
                <w:color w:val="auto"/>
              </w:rPr>
            </w:pPr>
          </w:p>
        </w:tc>
      </w:tr>
      <w:tr>
        <w:trPr>
          <w:trHeight w:val="175"/>
        </w:trPr>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195"/>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Sales of investments</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1,462.0</w:t>
            </w:r>
          </w:p>
        </w:tc>
        <w:tc>
          <w:tcPr>
            <w:tcW w:w="0" w:type="dxa"/>
            <w:vAlign w:val="bottom"/>
          </w:tcPr>
          <w:p>
            <w:pPr>
              <w:spacing w:after="0"/>
              <w:rPr>
                <w:sz w:val="1"/>
                <w:szCs w:val="1"/>
                <w:color w:val="auto"/>
              </w:rPr>
            </w:pPr>
          </w:p>
        </w:tc>
      </w:tr>
      <w:tr>
        <w:trPr>
          <w:trHeight w:val="195"/>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investments in privately held companies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Purchases of marketable equity securities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763.9</w:t>
            </w:r>
          </w:p>
        </w:tc>
        <w:tc>
          <w:tcPr>
            <w:tcW w:w="0" w:type="dxa"/>
            <w:vAlign w:val="bottom"/>
          </w:tcPr>
          <w:p>
            <w:pPr>
              <w:spacing w:after="0"/>
              <w:rPr>
                <w:sz w:val="1"/>
                <w:szCs w:val="1"/>
                <w:color w:val="auto"/>
              </w:rPr>
            </w:pPr>
          </w:p>
        </w:tc>
      </w:tr>
      <w:tr>
        <w:trPr>
          <w:trHeight w:val="175"/>
        </w:trPr>
        <w:tc>
          <w:tcPr>
            <w:tcW w:w="7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(1,991.2)</w:t>
            </w:r>
          </w:p>
        </w:tc>
        <w:tc>
          <w:tcPr>
            <w:tcW w:w="0" w:type="dxa"/>
            <w:vAlign w:val="bottom"/>
          </w:tcPr>
          <w:p>
            <w:pPr>
              <w:spacing w:after="0"/>
              <w:rPr>
                <w:sz w:val="1"/>
                <w:szCs w:val="1"/>
                <w:color w:val="auto"/>
              </w:rPr>
            </w:pPr>
          </w:p>
        </w:tc>
      </w:tr>
      <w:tr>
        <w:trPr>
          <w:trHeight w:val="195"/>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10"/>
        </w:trPr>
        <w:tc>
          <w:tcPr>
            <w:tcW w:w="7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3"/>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CASH AND CASH EQUIVALENTS—Beginning of year</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1,682.9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1,319.1</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EQUIVALENTS—End of year</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70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00" w:type="dxa"/>
            <w:vAlign w:val="bottom"/>
            <w:gridSpan w:val="3"/>
            <w:vMerge w:val="continue"/>
          </w:tcPr>
          <w:p>
            <w:pPr>
              <w:spacing w:after="0"/>
              <w:rPr>
                <w:sz w:val="13"/>
                <w:szCs w:val="13"/>
                <w:color w:val="auto"/>
              </w:rPr>
            </w:pPr>
          </w:p>
        </w:tc>
        <w:tc>
          <w:tcPr>
            <w:tcW w:w="40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Excise tax payable on net stock repurchases</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Liability incurred in connection with business combinations</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AND SUMMARY OF SIGNIFICANT ACCOUNTING POLICIES</w:t>
      </w:r>
    </w:p>
    <w:p>
      <w:pPr>
        <w:spacing w:after="0" w:line="25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2000 and is a global leader in broad, integrated and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cybersecurity platform (the “Fortinet Security Fabric”) with automated protection, detection and response.</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consolidated financial statements of Fortinet and its subsidiaries (collectively, “we,” “us”, 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prepared in accordance with generally accepted accounting principles in the United States (“GAAP”). We consolidate all legal entities in which we have an absolute controlling financial interest. All intercompany transactions and balances have been eliminated in consolidation.</w:t>
      </w:r>
    </w:p>
    <w:p>
      <w:pPr>
        <w:spacing w:after="0" w:line="21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Such management estimates include, but are not limited to, the determination of contingent liabilities, the standalone selling price for our products and services, the period of benefit for deferred contract costs for commissions, stock-based compensation, inventory valuation and liability for non-cancellable inventory purchase commitments with contract manufacturers and component suppliers, the fair value of tangible and intangible assets acquired and liabilities assumed in business combinations, the measurement of liabilities for uncertain tax positions and deferred tax assets and liabilities, the assessment of recoverability of our goodwill and other long-lived assets. We base our estimates on historical experience and also on assumptions that we believe are reasonable. Actual results could differ materially from those estimates.</w:t>
      </w:r>
    </w:p>
    <w:p>
      <w:pPr>
        <w:spacing w:after="0" w:line="207"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 Risk</w:t>
      </w:r>
      <w:r>
        <w:rPr>
          <w:rFonts w:ascii="Times New Roman" w:cs="Times New Roman" w:eastAsia="Times New Roman" w:hAnsi="Times New Roman"/>
          <w:sz w:val="18"/>
          <w:szCs w:val="18"/>
          <w:color w:val="auto"/>
        </w:rPr>
        <w:t>—Financial instruments that subject us to concentrations of credit risk consist primarily of cash, cash equivalents,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long-term investments, marketable equity securities and accounts receivable. Our cash balances are maintained as deposits with various large financial institutions in the United States and around the world. Balances in the United States typically exceed the amount of insurance provided on such deposits.</w:t>
      </w:r>
    </w:p>
    <w:p>
      <w:pPr>
        <w:jc w:val="both"/>
        <w:ind w:right="200"/>
        <w:spacing w:after="0" w:line="290" w:lineRule="auto"/>
        <w:rPr>
          <w:sz w:val="20"/>
          <w:szCs w:val="20"/>
          <w:color w:val="auto"/>
        </w:rPr>
      </w:pPr>
      <w:r>
        <w:rPr>
          <w:rFonts w:ascii="Times New Roman" w:cs="Times New Roman" w:eastAsia="Times New Roman" w:hAnsi="Times New Roman"/>
          <w:sz w:val="17"/>
          <w:szCs w:val="17"/>
          <w:color w:val="auto"/>
        </w:rPr>
        <w:t>We maintain our cash equivalents and investments in money market funds, corporate debt securities, U.S. government and agency securities, commercial paper, certificates of deposit and term deposits and municipal bonds with major financial institutions that our management believes are financially sound.</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are derived from our customers in various geographic locations. We perform ongoing credit evaluations of our customers. We generally do not require collateral on accounts receivable, and we maintain reserves for estimated credit losses. See Note 16. Segment Information for distributor customers accounted for 10% or more of our revenue or net accounts receivable.</w:t>
      </w:r>
    </w:p>
    <w:p>
      <w:pPr>
        <w:spacing w:after="0" w:line="203"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manufacturing partners, with approximately 88% of manufacturing in Taiwan and U.S., to manufacture our products, and some of the chips and other components of our products used by the contract manufacturers are available from limited or sole sources of supply. We do not own manufacturing activities in China. Our proprietary Application-Specific Integrated Circuits are built by contract manufacturers located in Japan and Taiwan; other integrated circuits are provided by other chip manufacturers.</w:t>
      </w:r>
    </w:p>
    <w:p>
      <w:pPr>
        <w:spacing w:after="0" w:line="20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Financial Instruments and Fair Value</w:t>
      </w:r>
      <w:r>
        <w:rPr>
          <w:rFonts w:ascii="Times New Roman" w:cs="Times New Roman" w:eastAsia="Times New Roman" w:hAnsi="Times New Roman"/>
          <w:sz w:val="18"/>
          <w:szCs w:val="18"/>
          <w:color w:val="auto"/>
        </w:rPr>
        <w:t>—We define fair value as the price that would be received from selling an asset, or paid to transfer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209" w:lineRule="exact"/>
        <w:rPr>
          <w:sz w:val="20"/>
          <w:szCs w:val="20"/>
          <w:color w:val="auto"/>
        </w:rPr>
      </w:pPr>
    </w:p>
    <w:p>
      <w:pPr>
        <w:jc w:val="both"/>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includes certain changes in equity from non-owner sources that are excluded from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cumulative foreign currency translation adjustments, unrealized gains and losses on available-for-sale investments and the related tax impacts.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and Transaction Gains and Losses</w:t>
      </w:r>
      <w:r>
        <w:rPr>
          <w:rFonts w:ascii="Times New Roman" w:cs="Times New Roman" w:eastAsia="Times New Roman" w:hAnsi="Times New Roman"/>
          <w:sz w:val="18"/>
          <w:szCs w:val="18"/>
          <w:color w:val="auto"/>
        </w:rPr>
        <w:t>—The functional currency for most of our foreign subsidiaries is the U.S. dollar. For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subsidiary whose functional currency is the local currency, we translate the financial statements of this subsidiary to U.S. dollars using the exchange rates in effect at the balance sheet dates for assets and liabilities, and average monthly exchange rates for revenues, costs, and expenses. We record translation gains and losses in accumulated other comprehensive income as a component of equity (deficit). We reflect net foreign exchange transaction gains and losses resulting from the conversion of the transaction currency to functional currency as a component of foreign currency exchange gain (loss) in other income (expense)—net. We recognized a foreign currency loss of $16.9 million, $7.0 million and $4.6 million in other income (expense)—net, for 2024, 2023, and 2022, respectively.</w:t>
      </w:r>
    </w:p>
    <w:p>
      <w:pPr>
        <w:spacing w:after="0" w:line="210"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—We consider all highly liquid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Cash and cash equivalents consist of balances with banks and highly liquid investments in commercial paper, corporate debt, U.S. government and agency securities, term deposits and money market funds.</w:t>
      </w:r>
    </w:p>
    <w:p>
      <w:pPr>
        <w:spacing w:after="0" w:line="184"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Available-for-Sale Investments</w:t>
      </w:r>
      <w:r>
        <w:rPr>
          <w:rFonts w:ascii="Times New Roman" w:cs="Times New Roman" w:eastAsia="Times New Roman" w:hAnsi="Times New Roman"/>
          <w:sz w:val="18"/>
          <w:szCs w:val="18"/>
          <w:color w:val="auto"/>
        </w:rPr>
        <w:t>—We hold investment grade securities consisting of corporate debt securities, U.S. government and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commercial paper, certificates of deposit and term deposits and municipal bonds that our management believes are financially sound. We classify our investments as available-for-sale (“AFS”) at the time of purchase, since it is our intent that these investments are available for current operations. Investments with original maturities greater than three months with a remaining maturity of less than one year from the consolidated balance sheet date are classified as short-term investments. Investments with remaining maturities greater than one year from the consolidated balance sheet date are classified as long-term investments.</w:t>
      </w:r>
    </w:p>
    <w:p>
      <w:pPr>
        <w:spacing w:after="0" w:line="22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Our AFS investments in debt securities are carried at estimated fair value with any unrealized gains and losses, net of taxes, included in accumulated other comprehensive income (loss) in the consolidated statements of equity (deficit).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consult with our investment managers and consider available quantitative and qualitative evidence in evaluating, among other factors, general market conditions, the duration and extent to which the fair value is less than cost, and our ability to hold the investment. Once an impairment is determined to be attributable to credit-related factors, allowance for credit losses (i.e., the credit loss component) on AFS debt securities is recognized as credit loss expense, a charge in other income (expense)—net, on our consolidated statements of income, and any remaining unrealized losses (i.e., the non-credit loss component), net of taxes, are included in accumulated other comprehensive income (loss) on our consolidated statements of equity (deficit).</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consider whether unrealized losses have resulted from a credit loss or other factors. The unrealized losses on our AFS debt securities as of December 31, 2024, 2023 and 2022 were caused by fluctuations in market value and interest rates as a result of the market conditions. We concluded that an allowance for credit losses was unnecessary as of December 31, 2024, 2023 and 2022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years ended December 31, 2024, 2023 and 2022.</w:t>
      </w: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determine realized gains or losses on sale of AFS debt securities using the specific identification method to determine the cost basis of investments sold and record such gains or losses as other income (expense)—net on the consolidated statements of income. We have elected to not record an allowance for credit losses for accrued interest for AFS investments in debt securities and will reverse the accrued interest against interest income in the period in which we determine the accrued interest to be uncollectible.</w:t>
      </w:r>
    </w:p>
    <w:p>
      <w:pPr>
        <w:spacing w:after="0" w:line="189" w:lineRule="exact"/>
        <w:rPr>
          <w:sz w:val="20"/>
          <w:szCs w:val="20"/>
          <w:color w:val="auto"/>
        </w:rPr>
      </w:pPr>
    </w:p>
    <w:p>
      <w:pPr>
        <w:jc w:val="both"/>
        <w:ind w:right="12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Marketable Equity Securities</w:t>
      </w:r>
      <w:r>
        <w:rPr>
          <w:rFonts w:ascii="Times New Roman" w:cs="Times New Roman" w:eastAsia="Times New Roman" w:hAnsi="Times New Roman"/>
          <w:sz w:val="18"/>
          <w:szCs w:val="18"/>
          <w:color w:val="auto"/>
        </w:rPr>
        <w:t>—Our marketable equity investments with readily determinable fair values are accounted for at fair value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Realized gains and losses as well as changes in fair value of these securities are recognized and reported in other income (expense)—net, and are determined using the specific identification method.</w:t>
      </w:r>
    </w:p>
    <w:p>
      <w:pPr>
        <w:spacing w:after="0" w:line="21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Investments in privately held companies</w:t>
      </w:r>
      <w:r>
        <w:rPr>
          <w:rFonts w:ascii="Times New Roman" w:cs="Times New Roman" w:eastAsia="Times New Roman" w:hAnsi="Times New Roman"/>
          <w:sz w:val="18"/>
          <w:szCs w:val="18"/>
          <w:color w:val="auto"/>
        </w:rPr>
        <w:t>—Our investments in privately held companies consist of investments in common stock or in-substance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Our equity method investments provide us with the ability to exercise significant influence over the investees, but not an absolute controlling financial interest. These investments are accounted for under the equity method of accounting and were initially recorded at cost. Subsequently, we recognize our proportionate share of the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entity’s net profit or loss, the amortization of any basis differences, as well as any OTTI as gain or loss from these equity method investments in the consolidated statements of income and as an adjustment to the investment balance. We record our proportionate share of the results of these equity method investments on a three-month lag basis. We evaluate whether there are material transactions or events that occur during the intervening period that materially affect the financial position or results of operations. As of December 31, 2024 and 2023, we had two equity method investments, including our investment in Linksys Holdings, Inc. (“Linksys”). As of December 31, 2024 and 2023, our equity method investments were recorded in other assets. Our remaining investments in privately held companies are recorded at cost and as of December 31, 2024 and 2023 were not material.</w:t>
      </w:r>
    </w:p>
    <w:p>
      <w:pPr>
        <w:spacing w:after="0" w:line="214"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We evaluate our equity method investments at the end of each reporting period to determine whether events or changes in business circumstances indicate that the carrying value of the investments may not be recoverable. Evidence of a loss in value might include, but would not necessarily be limited to, absence of an ability to recover the carrying amount of the investments or inability of the investee to sustain an earnings capacity that would justify the carrying amount of the investments. This evaluation consists of several qualitative and quantitative factors including recent financial results, projected financial results and operating trends of the investees and other publicly available information that may affect the value of our investments.</w:t>
      </w:r>
    </w:p>
    <w:p>
      <w:pPr>
        <w:spacing w:after="0" w:line="19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—Trade accounts receivable are recorded at the invoiced amount. Our accounts receivable balance is reduced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w:t>
      </w:r>
    </w:p>
    <w:p>
      <w:pPr>
        <w:spacing w:after="0" w:line="21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further consider collectability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Expected credit losses are recorded as general and administrative expenses on our consolidated statements of income. The allowance for credit losses was $5.9 million and $8.2 million as of December 31, 2024 and 2023, respectively. Provisions, write-offs and recoveries were not material during the years ended December 31, 2024, 2023 and 2022.</w:t>
      </w:r>
    </w:p>
    <w:p>
      <w:pPr>
        <w:spacing w:after="0" w:line="19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cost or net realizable value. Cost is computed using the first-in, first-out method. Inventory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 primarily of the cost of materials and other component parts, as well as overhead costs. In assessing the ultimate recoverability of inventory, we make estimates regarding future customer demand, the timing of new product introductions, economic trends and market conditions. A write-down of inventory and a corresponding charge to cost of product revenue is recorded when inventory is determined to be in excess of anticipated demand or considered obsolete. At the point of the write-down loss recognition, a new, lower cost basis for that inventory is established, and subsequent changes in facts and circumstances do not result in the restoration or increase in that newly established cost basis. In addition, we record a liability for non-cancelable inventory purchase commitments with contract manufacturers and suppliers for quantities in excess of our future estimated demand forecasts. The expense related to such accrued liability for inventory purchase commitments is recorded in cost of product revenue on the consolidated statements of income.</w:t>
      </w:r>
    </w:p>
    <w:p>
      <w:pPr>
        <w:spacing w:after="0" w:line="221"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We do not depreciate the allocated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 Depreciation is computed using the straight-line method over the estimated useful lives of the assets: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4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22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40 years</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to 7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8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3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—We include the results of operations of the businesses that we acquire as of the respective dates of acquisition.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allocate the fair value of the purchase price of our business acquisitions to the tangible and intangible assets acquired and liabilities assumed, based on their estimated fair values. The excess of the purchase price over the fair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values of these identifiable assets and liabilities is recorded as goodwill. Our estimates and assumptions are subject to change based on information existing at acquisition date but unknown to us, which may become known during the remainder of the measurement period, not to exceed 12 months from the acquisition date, and if we make changes to the amounts recorded, such amounts are recorded in the period in which they are identified.</w:t>
      </w:r>
    </w:p>
    <w:p>
      <w:pPr>
        <w:spacing w:after="0" w:line="21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—We evaluate events and changes in circumstances that could indicate carrying amounts of long-lived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were no impairments of long-lived assets in 2024, 2023 and 2022.</w:t>
      </w:r>
    </w:p>
    <w:p>
      <w:pPr>
        <w:spacing w:after="0" w:line="20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—Goodwill represents the excess of purchase consideration over the estimated fair value of net assets of businesses acquired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If such evaluation indicates that it is more likely than not that the fair value of a reporting unit is less that its carrying amount, then the quantitative impairment test will be performed. Under the quantitative impairment test, if the carrying amount of a reporting unit exceeds its fair value, any excess is recognized as an impairment loss in goodwill, limited to the total amount of goodwill allocated to that reporting unit.</w:t>
      </w:r>
    </w:p>
    <w:p>
      <w:pPr>
        <w:spacing w:after="0" w:line="216"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performed our annual goodwill impairment assessment and did not identify any impairment indicators as a result of the review. As of December 31, 2024 and 2023, we had one reporting unit.</w:t>
      </w:r>
    </w:p>
    <w:p>
      <w:pPr>
        <w:spacing w:after="0" w:line="18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—Intangible assets with finite lives are carried at cost, less accumulated amortization. Amortization is computed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straight-line or accelerated method over the estimated economic lives of the assets, which range from one to ten years.</w:t>
      </w:r>
    </w:p>
    <w:p>
      <w:pPr>
        <w:spacing w:after="0" w:line="182"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spacing w:after="0" w:line="21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 tax benefits from an uncertain tax position only if it is more likely than not, based on the technical merits of the position, that the tax position will be sustained on examination by the tax authorities. The tax benefits recognized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financial statements from such positions are then measured based on the largest benefit that has a greater than 50% likelihood of being realized upon ultimate settlement.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account for the tax effect of the GILTI as a current period expense.</w:t>
      </w:r>
    </w:p>
    <w:p>
      <w:pPr>
        <w:spacing w:after="0" w:line="2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fair value of restricted stock units (“RSUs”) is based on the closing market price of our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of grant. We have elected to use the Black-Scholes-Merton (“Black-Scholes”) pricing model to determine the fair value of our employee stock options and the Monte Carlo simulation pricing model to determine the fair value of our performance stock units (“PSUs”). Stock-based compensation expense of our RSUs and options is amortized on a straight-line basis over the service period and stock-based compensation expense of our PSUs is amortized using a graded vesting method over the vesting period. We account for forfeitures of all stock-based payment awards when they occur.</w:t>
      </w:r>
    </w:p>
    <w:p>
      <w:pPr>
        <w:spacing w:after="0" w:line="22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—We determine if an arrangement is a lease at inception. We evaluate the classification of leases at commencement and, as necessary,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The right-of-use (“ROU”) assets and the short- and long-term lease liabilities from our operating leases are included in other assets, accrued liabilities and other liabilities in our consolidated balance sheets, respectively. The corresponding assets and, the short- and long-term lease liabilities from our finance leases are included in property and equipment, accrued liabilities and other liabilities in our consolidated balance sheets, respectively.</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and initial direct costs,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1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do not recognize lease liabilities or ROU assets for short-term leases (leases that, at the commencement date, have a lease term of 12 months or less and do not include an option to purchase the underlying asset that we are reasonably certain to exercise). We do not allocate the contract consideration for operating lease contracts with lease and non-lease components, and account for the lease and non-lease components as a single lease component.</w:t>
      </w:r>
    </w:p>
    <w:p>
      <w:pPr>
        <w:spacing w:after="0" w:line="207"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Payments under our lease arrangements are primarily fixed; however, certain lease agreements contain variable payments, which are expensed as incurred and not included in the operating lease ROU assets and liabilities. Variable lease payments primarily include common area maintenance charges, real estate taxes, certain parking expense, utilities based on actual usage, and insurance costs. 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spacing w:after="0" w:line="210"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are included in operating expenses in the accompanying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income. Our advertising expenses were not material for any periods presented.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252"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that is marketed have not been capitalized as we believe our current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process is essentially completed concurrently with the establishment of technological feasibility. Such costs are expensed as incurred and included in research and development in our consolidated statements of income.</w:t>
      </w:r>
    </w:p>
    <w:p>
      <w:pPr>
        <w:spacing w:after="0" w:line="20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costs to develop software for internal use are capitalized based on qualifying criteria. These costs consist of internal compensation related costs and external direct costs incurred during the application development stage. Such costs are amortized over the software’s estimated useful life. Internal use software development costs capitalized were not material for any periods presented.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80" w:firstLine="648"/>
        <w:spacing w:after="0" w:line="263" w:lineRule="auto"/>
        <w:rPr>
          <w:sz w:val="20"/>
          <w:szCs w:val="20"/>
          <w:color w:val="auto"/>
        </w:rPr>
      </w:pPr>
      <w:r>
        <w:rPr>
          <w:rFonts w:ascii="Times New Roman" w:cs="Times New Roman" w:eastAsia="Times New Roman" w:hAnsi="Times New Roman"/>
          <w:sz w:val="17"/>
          <w:szCs w:val="17"/>
          <w:b w:val="1"/>
          <w:bCs w:val="1"/>
          <w:color w:val="auto"/>
        </w:rPr>
        <w:t>Deferred Contract Costs and Commission Expense</w:t>
      </w:r>
      <w:r>
        <w:rPr>
          <w:rFonts w:ascii="Times New Roman" w:cs="Times New Roman" w:eastAsia="Times New Roman" w:hAnsi="Times New Roman"/>
          <w:sz w:val="17"/>
          <w:szCs w:val="17"/>
          <w:color w:val="auto"/>
        </w:rPr>
        <w:t>—Sales commissions earned by our sales force are considered incremental and recoverable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w:t>
      </w:r>
    </w:p>
    <w:p>
      <w:pPr>
        <w:spacing w:after="0" w:line="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color w:val="auto"/>
        </w:rPr>
        <w:t>Commission costs for initial contracts that are not commensurate with commissions on renewal contracts are amortized on a straight-line basis over the period of benefit, which we have determined to be five years and which is typically longer than the initial contract term. The amortization of deferred contract costs is included in sales and marketing expense in our consolidated statements of income. Amortization of deferred contract costs during 2024, 2023 and 2022 was $293.7 million, $266.3 million and $223.3 million, respectively. No impairment loss of deferred contract costs asset was recognized during 2024, 2023 and 2022.</w:t>
      </w:r>
    </w:p>
    <w:p>
      <w:pPr>
        <w:spacing w:after="0" w:line="224" w:lineRule="exact"/>
        <w:rPr>
          <w:sz w:val="20"/>
          <w:szCs w:val="20"/>
          <w:color w:val="auto"/>
        </w:rPr>
      </w:pPr>
    </w:p>
    <w:p>
      <w:pPr>
        <w:jc w:val="both"/>
        <w:ind w:right="28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spacing w:after="0" w:line="197"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—Our revenue consists of product and service revenue. Revenues are recognized when control of these goods or services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to our customers, in an amount that reflects the consideration we expect to be entitled to in exchange for those goods or services. We determine revenue recognition through the following steps:</w:t>
      </w:r>
    </w:p>
    <w:p>
      <w:pPr>
        <w:spacing w:after="0" w:line="202" w:lineRule="exact"/>
        <w:rPr>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or contracts with a customer;</w:t>
      </w:r>
    </w:p>
    <w:p>
      <w:pPr>
        <w:spacing w:after="0" w:line="252"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a contract, including evaluation of performance obligations and evaluating the distinct goods or services in a contract;</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a transaction price;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 transaction price to the performance obligations in a contract;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39" w:lineRule="exact"/>
        <w:rPr>
          <w:sz w:val="20"/>
          <w:szCs w:val="20"/>
          <w:color w:val="auto"/>
        </w:rPr>
      </w:pPr>
    </w:p>
    <w:p>
      <w:pPr>
        <w:ind w:right="440" w:firstLine="648"/>
        <w:spacing w:after="0" w:line="236" w:lineRule="auto"/>
        <w:rPr>
          <w:sz w:val="20"/>
          <w:szCs w:val="20"/>
          <w:color w:val="auto"/>
        </w:rPr>
      </w:pPr>
      <w:r>
        <w:rPr>
          <w:rFonts w:ascii="Times New Roman" w:cs="Times New Roman" w:eastAsia="Times New Roman" w:hAnsi="Times New Roman"/>
          <w:sz w:val="18"/>
          <w:szCs w:val="18"/>
          <w:color w:val="auto"/>
        </w:rPr>
        <w:t>We derive a majority of product sales from FortiGate, other secure networking hardware which include a broad set of built-in security and networking features and functionalities, including firewall, next-generation firewall, secure web gateway, SSL inspection, software-defined wide-area network, intrusion prevention, SSL data leak prevention, virtual private network, switch and wireless controller and wide area network edge.</w:t>
      </w:r>
    </w:p>
    <w:p>
      <w:pPr>
        <w:spacing w:after="0" w:line="2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recognize product revenue upon shipment when control of the promised goods is transferred to the customer. Our term-based software licenses represent multiple performance obligations, which include software licenses and software support services where the software licenses are recognized upfront within product revenue upon transfer of control, and the associated software support services are recognized ratably over the service term as service revenue.</w:t>
      </w:r>
    </w:p>
    <w:p>
      <w:pPr>
        <w:spacing w:after="0" w:line="19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auto"/>
        </w:rPr>
        <w:t>Service revenue relates to sales of our FortiGuard and other security subscriptions, FortiCare technical support services and other services. Our typical subscription and support term is one to five years. We generally recognize revenue from these services ratably over the service term because of continuous transfer of control to the customer. We also generate a portion of our revenue from other services consisting of professional services, training and SaaS which is either hosted by us or provided through cloud providers.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22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sales contracts typically contain performance obligations, such as hardware, software license, security subscription, technical support services, cloud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products, gross margin objectives, pricing practices, geographies and the term of a service contract. Revenue is reported net of sales tax.</w:t>
      </w:r>
    </w:p>
    <w:p>
      <w:pPr>
        <w:spacing w:after="0" w:line="2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$71.8 million and $92.7 million as of December 31, 2024 and 2023, respectively, and is included in current liabilities in our consolidated balance sheet.</w:t>
      </w:r>
    </w:p>
    <w:p>
      <w:pPr>
        <w:spacing w:after="0" w:line="2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generally invoice at the time of our sale for the total price of the hardware, software licenses, security subscription and technical support and other services. Standard payment terms are generally no more than 60 days, though we continue to offer extended payment terms to certain distributors. Amounts billed and due from our customers are classified as receivables on the balance sheet and do not bear interest.</w:t>
      </w:r>
    </w:p>
    <w:p>
      <w:pPr>
        <w:spacing w:after="0" w:line="19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Shipping and handling fees charged to our customers are recognized as revenue in the period shipped and the related costs for providing these services are recorded in cost of revenue. Shipping and handling fees recognized were not material during 2024, 2023 and 2022.</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—We generally provide a one-year warranty for most hardware products and a 90-day warranty for software. We also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In the event we change our warranty reserve estimates, the resulting charge against future cost of revenue or reversal of previously recorded charges may materially affect our gross margins and operating results. Accrued warranty liability was not material as of December 31, 2024 and 2023.</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Contingent Liabilities</w:t>
      </w:r>
      <w:r>
        <w:rPr>
          <w:rFonts w:ascii="Times New Roman" w:cs="Times New Roman" w:eastAsia="Times New Roman" w:hAnsi="Times New Roman"/>
          <w:sz w:val="18"/>
          <w:szCs w:val="18"/>
          <w:color w:val="auto"/>
        </w:rPr>
        <w:t>—From time to time, we are involved in disputes, litigation, and other legal actions. There are many uncertainties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any disputes, litigation and other legal actions, and these actions or other third-party claims 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periodically review significant claims and litigation matters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41" w:lineRule="exact"/>
        <w:rPr>
          <w:sz w:val="20"/>
          <w:szCs w:val="20"/>
          <w:color w:val="auto"/>
        </w:rPr>
      </w:pPr>
    </w:p>
    <w:p>
      <w:pPr>
        <w:ind w:right="300" w:firstLine="648"/>
        <w:spacing w:after="0"/>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 requirements, primarily through enhanced disclosures about significant expenses. We adopted ASU 2023-07 for our annual period beginning fiscal year 2024 on a retrospective basis to all periods presented. Refer to Note 16.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 beginning fiscal 2027, with early adoption permitted, and can be applied prospectively or retrospectively. We are currently evaluating the ASU to determine its impact on our disclosures.</w:t>
      </w:r>
    </w:p>
    <w:p>
      <w:pPr>
        <w:spacing w:after="0" w:line="222"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r>
      <w:tr>
        <w:trPr>
          <w:trHeight w:val="230"/>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w:t>
            </w:r>
          </w:p>
        </w:tc>
      </w:tr>
      <w:tr>
        <w:trPr>
          <w:trHeight w:val="223"/>
        </w:trPr>
        <w:tc>
          <w:tcPr>
            <w:tcW w:w="5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4,417.4</w:t>
            </w:r>
          </w:p>
        </w:tc>
      </w:tr>
      <w:tr>
        <w:trPr>
          <w:trHeight w:val="20"/>
        </w:trPr>
        <w:tc>
          <w:tcPr>
            <w:tcW w:w="5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2024 and 2023, we recognized $2.84 billion and $2.27 billion in revenue that was included in the deferred revenue balance as of December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the transaction price allocated to remaining performance obligations was $6.42 billion, which was substantially comprised of deferred security subscription and technical support services revenue as well as unbilled contract revenue from non-cancellable contracts that will be recognized in future periods. We expect to recognize approximately $3.31 billion as revenue over the next 12 months and the remainder thereafter.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available-for-sale investments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48"/>
        </w:trPr>
        <w:tc>
          <w:tcPr>
            <w:tcW w:w="5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5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8"/>
        </w:trPr>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320" w:type="dxa"/>
            <w:vAlign w:val="bottom"/>
          </w:tcPr>
          <w:p>
            <w:pPr>
              <w:spacing w:after="0"/>
              <w:rPr>
                <w:sz w:val="13"/>
                <w:szCs w:val="13"/>
                <w:color w:val="auto"/>
              </w:rPr>
            </w:pPr>
          </w:p>
        </w:tc>
        <w:tc>
          <w:tcPr>
            <w:tcW w:w="1140" w:type="dxa"/>
            <w:vAlign w:val="bottom"/>
          </w:tcPr>
          <w:p>
            <w:pPr>
              <w:jc w:val="center"/>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2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25"/>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8"/>
        </w:trPr>
        <w:tc>
          <w:tcPr>
            <w:tcW w:w="5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720" w:firstLine="648"/>
        <w:spacing w:after="0" w:line="259" w:lineRule="auto"/>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 continuous unrealized loss position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4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1"/>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7"/>
        </w:trPr>
        <w:tc>
          <w:tcPr>
            <w:tcW w:w="4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were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(deficit)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243" w:lineRule="exact"/>
        <w:rPr>
          <w:sz w:val="20"/>
          <w:szCs w:val="20"/>
          <w:color w:val="auto"/>
        </w:rPr>
      </w:pPr>
    </w:p>
    <w:p>
      <w:pPr>
        <w:ind w:right="20" w:firstLine="583"/>
        <w:spacing w:after="0" w:line="236" w:lineRule="auto"/>
        <w:rPr>
          <w:sz w:val="20"/>
          <w:szCs w:val="20"/>
          <w:color w:val="auto"/>
        </w:rPr>
      </w:pPr>
      <w:r>
        <w:rPr>
          <w:rFonts w:ascii="Times New Roman" w:cs="Times New Roman" w:eastAsia="Times New Roman" w:hAnsi="Times New Roman"/>
          <w:sz w:val="18"/>
          <w:szCs w:val="18"/>
          <w:color w:val="auto"/>
        </w:rPr>
        <w:t>Our marketable equity securities were $64.2 million and $21.0 million as of December 31, 2024 and December 31, 2023, respectively. The changes in fair value of our marketable equity securities are recorded in other income (expense)—net on the consolidated statements of income. We recognized $26.4 million gain, $4.4 million and $13.1 million of losses in 2024, 2023 and 2022,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4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52" w:lineRule="exact"/>
        <w:rPr>
          <w:sz w:val="20"/>
          <w:szCs w:val="20"/>
          <w:color w:val="auto"/>
        </w:rPr>
      </w:pPr>
    </w:p>
    <w:p>
      <w:pPr>
        <w:ind w:left="1300" w:right="10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9" w:lineRule="exact"/>
        <w:rPr>
          <w:sz w:val="20"/>
          <w:szCs w:val="20"/>
          <w:color w:val="auto"/>
        </w:rPr>
      </w:pPr>
    </w:p>
    <w:p>
      <w:pPr>
        <w:ind w:left="1300" w:right="32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7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940" w:type="dxa"/>
            <w:vAlign w:val="bottom"/>
          </w:tcPr>
          <w:p>
            <w:pPr>
              <w:jc w:val="center"/>
              <w:ind w:right="6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4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4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Certificates of deposit and</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deposits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years ended December 31,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The excess and obsolete inventory reserve was $144.8 million and $89.2 million as of December 31, 2024 and 2023, respectively. Inventory write-downs related to excess and obsolete inventory were $37.1 million and $35.8 million for the year ended December 31, 2024 and 2023, respectively, and not material for the year ended December 31, 2022. They were recorded in cost of product revenue on the consolidated statements of income.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units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7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During 2024, we purchased certain real estate in California, Georgia and New York, United States, and Alberta, Canada, totaling $295.8 million. The purchases were accounted for under the asset acquisition method. The costs of the assets allocated to land, buildings and improvements and furniture and fixtures were $149.0 million, $145.7 million and $1.1 million, respectively, based on their relative fair values.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$99.7 million, $94.5 million and $81.0 million in 2024, 2023 and 2022, respectively.</w:t>
      </w:r>
    </w:p>
    <w:p>
      <w:pPr>
        <w:spacing w:after="0" w:line="248" w:lineRule="exact"/>
        <w:rPr>
          <w:sz w:val="20"/>
          <w:szCs w:val="20"/>
          <w:color w:val="auto"/>
        </w:rPr>
      </w:pPr>
    </w:p>
    <w:p>
      <w:pPr>
        <w:ind w:left="360" w:hanging="352"/>
        <w:spacing w:after="0"/>
        <w:tabs>
          <w:tab w:leader="none" w:pos="3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PRIVATELY HELD COMPANIES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43" w:lineRule="exact"/>
        <w:rPr>
          <w:sz w:val="20"/>
          <w:szCs w:val="20"/>
          <w:color w:val="auto"/>
        </w:rPr>
      </w:pPr>
    </w:p>
    <w:p>
      <w:pPr>
        <w:ind w:right="600" w:firstLine="648"/>
        <w:spacing w:after="0" w:line="242" w:lineRule="auto"/>
        <w:rPr>
          <w:sz w:val="20"/>
          <w:szCs w:val="20"/>
          <w:color w:val="auto"/>
        </w:rPr>
      </w:pPr>
      <w:r>
        <w:rPr>
          <w:rFonts w:ascii="Times New Roman" w:cs="Times New Roman" w:eastAsia="Times New Roman" w:hAnsi="Times New Roman"/>
          <w:sz w:val="18"/>
          <w:szCs w:val="18"/>
          <w:color w:val="auto"/>
        </w:rPr>
        <w:t>During 2021, we invested $160.0 million in cash for shares of the Series A Preferred Stock of Linksys for a 50.8% ownership interest in outstanding equity of Linksys. As of December 31, 2024 and 2023, our ownership interest remained the same. Linksys provides router connectivity solutions to the consumer and small business markets.</w:t>
      </w:r>
    </w:p>
    <w:p>
      <w:pPr>
        <w:spacing w:after="0" w:line="2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concluded that our investment in Linksys is an in-substance common stock investment and that we do not hold an absolute controlling financial interest in Linksys, but that we have the ability to exercise significant influence over the operating and financial policies of Linksys. Therefore, we determined to account for this investment using the equity method of accounting. We record our share of Linksys’ financial results on a three-month lag basis, with the exception of material transactions or events that occur during the intervening period that materially affect the financial position or results of operations. We determined that there was a basis difference between the cost of our investment in Linksys and the amount of underlying equity in net assets of Linksys.</w:t>
      </w:r>
    </w:p>
    <w:p>
      <w:pPr>
        <w:spacing w:after="0" w:line="211"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Our share of loss of Linksys’ financial results, as well as our share of the amortization of the basis differences, totaled $29.0 million in 2024, which comprised of our proportionate share of Linksys’ financial results and the amortization of the basis differences of $21.0 million, as well as an OTTI charge of $8.0 million recognized in the second quarter of 2024. Our share of loss of Linksys’ financial results and our share of the amortization of the basis differences totaled $42.1 million in 2023. Our loss related to Linksys in 2022 totaled $68.1 million, which comprised of our proportionate share of Linksys’ financial results as well as the amortization of the basis differences of $45.9 million, which included a $17.5 million charge in connection with a valuation allowance established on deferred tax assets at Linksys, and the OTTI charge of $22.2 million recorded during the three months ended December 31, 2022. The loss related to Linksys is recorded in loss from equity method investments on the consolidated statements of income.</w:t>
      </w:r>
    </w:p>
    <w:p>
      <w:pPr>
        <w:spacing w:after="0" w:line="216"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Due to the presence of impairment indicators, such as a series of operating losses, we evaluated our equity method investment for an OTTI during 2024, 2023 and 2022. We considered various factors in determining whether an OTTI has occurred, including Linksys’ financial results, operating history, our ability and intent to hold the investment until its fair value recovers, the implied revenue valuation multiples compared to guideline public companies, the discounted cash flows analysis, Linksys’ ability to achieve milestones and any notable operational and strategic changes. In connection with our evaluation as of June 30, 2024 and December 31, 2022, we noted that certain factors were present that indicated that the equity method investment’s decline in value was OTTI, primarily driven by Linksys’ continuous losses, decrease in revenue and operating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results, then current forecasted results for the foreseeable future as compared to the expected performance at the time of the investments, and the results of a discounted cash flows analysis. To determine the fair value of our investment in Linksys, we utilized a market approach referencing revenue multiples from publicly traded peer companies and concluded that the estimated fair value of the investment was lower than its carrying value. During the three months ended June 30, 2024 and December 31, 2022, we recorded non-cash impairment charge of $8.0 million and $22.2 million, respectively, on our equity method investment in Linksys. In connection with our evaluation as of December 31, 2024 and 2023, we determined that an additional OTTI has not occurred.</w:t>
      </w:r>
    </w:p>
    <w:p>
      <w:pPr>
        <w:spacing w:after="0" w:line="211"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carrying amount of our Linksys investment was $13.2 million and $42.2 million as of December 31, 2024 and 2023, respectively, and the investment was included in other assets on our consolidated balance sheets.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17. Subsequent Events, for additional information on our acquisition of Linksys.</w:t>
      </w:r>
    </w:p>
    <w:p>
      <w:pPr>
        <w:spacing w:after="0" w:line="248"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8"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Lacework Inc.</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 2024, we closed an acquisition of Lacework Inc. (“Lacework”), a privately held data-driven cloud security company,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$152.3 million in cash. We acquired Lacework with a goal of offering its Cloud-Native Application Protection Platform solution separately as well as</w:t>
      </w:r>
    </w:p>
    <w:p>
      <w:pPr>
        <w:spacing w:after="0" w:line="234" w:lineRule="auto"/>
        <w:rPr>
          <w:sz w:val="20"/>
          <w:szCs w:val="20"/>
          <w:color w:val="auto"/>
        </w:rPr>
      </w:pPr>
      <w:r>
        <w:rPr>
          <w:rFonts w:ascii="Times New Roman" w:cs="Times New Roman" w:eastAsia="Times New Roman" w:hAnsi="Times New Roman"/>
          <w:sz w:val="18"/>
          <w:szCs w:val="18"/>
          <w:color w:val="auto"/>
        </w:rPr>
        <w:t>integrated with our existing portfolio, forming a comprehensive, AI-driven cloud security platform available from a single vendor, which will help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identify, prioritize and remediate risks and threats in complex cloud-native infrastructure from code to cloud.</w:t>
      </w:r>
    </w:p>
    <w:p>
      <w:pPr>
        <w:spacing w:after="0" w:line="232"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Under the acquisition method of accounting in accordance with ASC 805, the total preliminary purchase price was allocated to Lacework’s identifiable tangible and intangible assets acquired and liabilities assumed based on their estimated fair values using management’s best estimates and assumptions to assign fair value as of the acquisition date. The following table provides the assets acquired and liabilities assumed as of the date of acquisition: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0" w:type="dxa"/>
            <w:vAlign w:val="bottom"/>
          </w:tcPr>
          <w:p>
            <w:pPr>
              <w:spacing w:after="0"/>
              <w:rPr>
                <w:sz w:val="1"/>
                <w:szCs w:val="1"/>
                <w:color w:val="auto"/>
              </w:rPr>
            </w:pPr>
          </w:p>
        </w:tc>
      </w:tr>
      <w:tr>
        <w:trPr>
          <w:trHeight w:val="21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8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8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purchase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excess of the fair values of the net assets acquired over the net purchase consideration was recorded as a gain on bargain purchase within other income, net on the consolidated statements of income. The gain on bargain purchase occurred primarily due to the recognition of the deferred tax assets. The deferred tax assets were comprised primarily of pre-acquisition federal net operating loss carryforwards with an indefinite carryforward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Identified intangible assets acquired and their estimated useful lives (in years) as of August 1, 2024, were as follows (in millions, except years):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26"/>
        </w:trPr>
        <w:tc>
          <w:tcPr>
            <w:tcW w:w="6640" w:type="dxa"/>
            <w:vAlign w:val="bottom"/>
            <w:shd w:val="clear" w:color="auto" w:fill="CCEEFF"/>
          </w:tcPr>
          <w:p>
            <w:pPr>
              <w:ind w:left="40"/>
              <w:spacing w:after="0" w:line="226"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6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Backlog</w:t>
            </w:r>
          </w:p>
        </w:tc>
        <w:tc>
          <w:tcPr>
            <w:tcW w:w="1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3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168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r>
    </w:tbl>
    <w:p>
      <w:pPr>
        <w:ind w:left="20" w:right="100" w:firstLine="6"/>
        <w:spacing w:after="0" w:line="229" w:lineRule="auto"/>
        <w:tabs>
          <w:tab w:leader="none" w:pos="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technology is Lacework’s CNAPP solution. We valued the developed technology using the relief-from-royalty method under the income approach. This method reflects the present value of the projected cash flows that are expected to be generated by the developed technology. The economic useful life was determined based on the technology cycle as well as the cash flows over the forecast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-367030</wp:posOffset>
            </wp:positionV>
            <wp:extent cx="1423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 of the purchase price that is not yet finalized is related to income taxes.</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operating results of the acquired company were included in our consolidated financial statements from the date of acquisition, which was August 1, 2024. For the period from August 2, 2024 through December 31, 2024, Lacework contributed $31.1 million of revenue and $45.8 million of a net loss. Acquisition-related costs for this acquisition were not material and were recorded as general and administrative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DLP Holdings Limited</w:t>
      </w:r>
    </w:p>
    <w:p>
      <w:pPr>
        <w:spacing w:after="0" w:line="243"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On August 5, 2024, we completed the acquisition of Next DLP Holdings Limited (“Next DLP”), a privately held insider risk and data loss prevention company, for approximately $105.0 million in cash. We acquired Next DLP to improve our position in the standalone enterprise DLP market and strengthen our leadership in integrated DLP markets within endpoint and SASE.</w:t>
      </w:r>
    </w:p>
    <w:p>
      <w:pPr>
        <w:spacing w:after="0" w:line="204"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Next DLP’s identifiable tangible and intangible assets acquired and liabilities assumed based on their estimated fair values using management’s best estimates and assumptions to assign fair value as of the acquisition date. Of the total preliminary purchase price, $82.6 million was allocated to goodwill, $13.5 million was allocated to developed technology intangible asset, $10.5 million was allocated to customer relationships intangible asset, offset by $1.6 million 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and goodwill is not expected to be deductible for tax purposes. Acquisition-related costs related to this acquisition were not material and were recorded as general and administrative expense.</w:t>
      </w:r>
    </w:p>
    <w:p>
      <w:pPr>
        <w:spacing w:after="0" w:line="214"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acquisition date. The allocation of the purchase price for this acquisition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43"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Fortinet, Inc., Lacework and Next DLP, as if Lacework and Next DLP had been acquired as of the beginning of business on January 1, 2023. The unaudited pro forma financial information is presented for informational purposes only and is not necessarily indicative of our consolidated results of operations of the combined business that would have been achieved if the acquisitions had taken place at the beginning of business on January 1, 2023, or of the results of our future operations of the combined business. The following unaudited pro forma financial information for all periods presented includes purchase accounting adjustments for amortization of acquired intangible assets, the gain on bargain purchase, and various related tax impacts (in millions):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r>
      <w:tr>
        <w:trPr>
          <w:trHeight w:val="211"/>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3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5,404.3</w:t>
            </w:r>
          </w:p>
        </w:tc>
      </w:tr>
      <w:tr>
        <w:trPr>
          <w:trHeight w:val="25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20" w:type="dxa"/>
            <w:vAlign w:val="bottom"/>
          </w:tcPr>
          <w:p>
            <w:pPr>
              <w:spacing w:after="0"/>
              <w:rPr>
                <w:sz w:val="22"/>
                <w:szCs w:val="22"/>
                <w:color w:val="auto"/>
              </w:rPr>
            </w:pP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1,017.5</w:t>
            </w:r>
          </w:p>
        </w:tc>
      </w:tr>
    </w:tbl>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Perception Point Ltd.</w:t>
      </w:r>
    </w:p>
    <w:p>
      <w:pPr>
        <w:spacing w:after="0" w:line="243" w:lineRule="exact"/>
        <w:rPr>
          <w:sz w:val="20"/>
          <w:szCs w:val="20"/>
          <w:color w:val="auto"/>
        </w:rPr>
      </w:pPr>
    </w:p>
    <w:p>
      <w:pPr>
        <w:ind w:left="80" w:right="240" w:firstLine="648"/>
        <w:spacing w:after="0" w:line="237" w:lineRule="auto"/>
        <w:rPr>
          <w:sz w:val="20"/>
          <w:szCs w:val="20"/>
          <w:color w:val="auto"/>
        </w:rPr>
      </w:pPr>
      <w:r>
        <w:rPr>
          <w:rFonts w:ascii="Times New Roman" w:cs="Times New Roman" w:eastAsia="Times New Roman" w:hAnsi="Times New Roman"/>
          <w:sz w:val="18"/>
          <w:szCs w:val="18"/>
          <w:color w:val="auto"/>
        </w:rPr>
        <w:t>On December 5, 2024, we closed an acquisition of certain assets and liabilities of Perception Point Ltd., a business specializing in advanced collaboration and email security, for $33.7 million in cash. This acquisition was accounted for as a business combination using the acquisition method of accounting. Of the purchase price, $24.5 million was allocated to goodwill, $9.5 million was allocated to developed technology intangible asset,</w:t>
      </w:r>
    </w:p>
    <w:p>
      <w:pPr>
        <w:spacing w:after="0" w:line="1" w:lineRule="exact"/>
        <w:rPr>
          <w:sz w:val="20"/>
          <w:szCs w:val="20"/>
          <w:color w:val="auto"/>
        </w:rPr>
      </w:pPr>
    </w:p>
    <w:p>
      <w:pPr>
        <w:ind w:left="80" w:right="160"/>
        <w:spacing w:after="0" w:line="238" w:lineRule="auto"/>
        <w:rPr>
          <w:sz w:val="20"/>
          <w:szCs w:val="20"/>
          <w:color w:val="auto"/>
        </w:rPr>
      </w:pPr>
      <w:r>
        <w:rPr>
          <w:rFonts w:ascii="Times New Roman" w:cs="Times New Roman" w:eastAsia="Times New Roman" w:hAnsi="Times New Roman"/>
          <w:sz w:val="18"/>
          <w:szCs w:val="18"/>
          <w:color w:val="auto"/>
        </w:rPr>
        <w:t>$6.5 million was allocated to customer relationships intangible asset, and $6.8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related to this acquisition were not material and were recorded as general and administrative expense.</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Network Detection and Response Business</w:t>
      </w:r>
    </w:p>
    <w:p>
      <w:pPr>
        <w:spacing w:after="0" w:line="243" w:lineRule="exact"/>
        <w:rPr>
          <w:sz w:val="20"/>
          <w:szCs w:val="20"/>
          <w:color w:val="auto"/>
        </w:rPr>
      </w:pPr>
    </w:p>
    <w:p>
      <w:pPr>
        <w:ind w:left="80" w:right="60" w:firstLine="648"/>
        <w:spacing w:after="0" w:line="237" w:lineRule="auto"/>
        <w:rPr>
          <w:sz w:val="20"/>
          <w:szCs w:val="20"/>
          <w:color w:val="auto"/>
        </w:rPr>
      </w:pPr>
      <w:r>
        <w:rPr>
          <w:rFonts w:ascii="Times New Roman" w:cs="Times New Roman" w:eastAsia="Times New Roman" w:hAnsi="Times New Roman"/>
          <w:sz w:val="18"/>
          <w:szCs w:val="18"/>
          <w:color w:val="auto"/>
        </w:rPr>
        <w:t>On December 22, 2022, we closed an acquisition of certain assets and liabilities of a business specializing in network detection and response for $18.0 million in cash. This acquisition was accounted for as a business combination using the acquisition method of accounting. Of the purchase price, $5.8 million was allocated to goodwill, $10.5 million was allocated to developed technology intangible asset, $10.0 million was allocated to customer relationships intangible asset and $8.3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related to this acquisition were not material and were recorded as general and administrative expense.</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Additional acquisition-related information</w:t>
      </w:r>
    </w:p>
    <w:p>
      <w:pPr>
        <w:spacing w:after="0" w:line="243" w:lineRule="exact"/>
        <w:rPr>
          <w:sz w:val="20"/>
          <w:szCs w:val="20"/>
          <w:color w:val="auto"/>
        </w:rPr>
      </w:pPr>
    </w:p>
    <w:p>
      <w:pPr>
        <w:ind w:left="80" w:right="160" w:firstLine="648"/>
        <w:spacing w:after="0" w:line="245"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consolidated statements of income from the respective dates of acquisition. Acquisition-related costs related to each acquisition were not material. Pro forma information has not been presented, except for Lacework and Next DLP as disclosed above, as the impact of these acquisitions, individually and in the aggregate, in each year were not material to our consolidated financial statements.</w:t>
      </w:r>
    </w:p>
    <w:p>
      <w:pPr>
        <w:spacing w:after="0" w:line="217" w:lineRule="exact"/>
        <w:rPr>
          <w:sz w:val="20"/>
          <w:szCs w:val="20"/>
          <w:color w:val="auto"/>
        </w:rPr>
      </w:pPr>
    </w:p>
    <w:p>
      <w:pPr>
        <w:ind w:left="8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8.</w:t>
        <w:tab/>
        <w:t>GOODWILL AND OTHER INTANGIBLE ASSETS—Net</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90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due to business combinations</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0"/>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were no impairments to goodwill during 2024, 2023 and 2022 or any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29"/>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540" w:type="dxa"/>
            <w:vAlign w:val="bottom"/>
            <w:tcBorders>
              <w:top w:val="single" w:sz="8" w:color="auto"/>
            </w:tcBorders>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5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Developed technologies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5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name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Backlog</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of finite-lived intangible assets was $23.1 million, $18.9 million and $23.3 million in 2024, 2023, and 2022, respectively.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3"/>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9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Fortinet, Inc., by the weighted-average number of shares of common stock outstanding during the period. Diluted net income per share is computed by dividing net income attributable to Fortinet, Inc. by the weighted-average number of shares of common stock outstanding during the period, plus the dilutive effects of restricted stock units RSUs, stock options and PSUs. Dilutive shares of common stock are determined by applying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attributable to Fortinet, Inc. is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Fortinet,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RSUs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PSUs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 share attributable to Fortinet,</w:t>
            </w: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0" w:type="dxa"/>
            <w:vAlign w:val="bottom"/>
          </w:tcPr>
          <w:p>
            <w:pPr>
              <w:spacing w:after="0"/>
              <w:rPr>
                <w:sz w:val="1"/>
                <w:szCs w:val="1"/>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Fortinet,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 for the periods presented, as their effect would have been antidilutive (in millions):</w:t>
      </w:r>
    </w:p>
    <w:p>
      <w:pPr>
        <w:spacing w:after="0" w:line="3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We have operating leases for offices, research and development facilities and data centers. Our leases have remaining terms that range from less than one year to approximately five years, some of which include one or more options to renew, with renewal terms of up to seven years. Unless and until we are reasonably certain we will exercise these renewal options, we do not include renewal options in our lease terms for calculating our lease liability, as the renewal options allow us to maintain operational flexibility. Our finance leases were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6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1"/>
        </w:trPr>
        <w:tc>
          <w:tcPr>
            <w:tcW w:w="6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20" w:right="440" w:firstLine="6"/>
        <w:spacing w:after="0" w:line="246" w:lineRule="auto"/>
        <w:tabs>
          <w:tab w:leader="none" w:pos="169" w:val="left"/>
        </w:tabs>
        <w:numPr>
          <w:ilvl w:val="0"/>
          <w:numId w:val="5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expense for the years ended December 31, 2024, 2023 and 2022 predominantly included common area maintenance charges, real estate taxes, certain parking expense, utilities based on actual usage and insurance costs.</w:t>
      </w: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(in millions, except lease term and discount 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420" w:type="dxa"/>
            <w:vAlign w:val="bottom"/>
          </w:tcPr>
          <w:p>
            <w:pPr>
              <w:jc w:val="center"/>
              <w:ind w:right="15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60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 non-current</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45.7</w:t>
            </w:r>
          </w:p>
        </w:tc>
      </w:tr>
      <w:tr>
        <w:trPr>
          <w:trHeight w:val="223"/>
        </w:trPr>
        <w:tc>
          <w:tcPr>
            <w:tcW w:w="17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1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-479425</wp:posOffset>
            </wp:positionV>
            <wp:extent cx="708914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-187960</wp:posOffset>
            </wp:positionV>
            <wp:extent cx="708914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60" w:type="dxa"/>
            <w:vAlign w:val="bottom"/>
          </w:tcPr>
          <w:p>
            <w:pPr>
              <w:spacing w:after="0"/>
              <w:rPr>
                <w:sz w:val="20"/>
                <w:szCs w:val="20"/>
                <w:color w:val="auto"/>
              </w:rPr>
            </w:pPr>
          </w:p>
        </w:tc>
      </w:tr>
      <w:tr>
        <w:trPr>
          <w:trHeight w:val="535"/>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3"/>
        </w:trPr>
        <w:tc>
          <w:tcPr>
            <w:tcW w:w="68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11"/>
        </w:trPr>
        <w:tc>
          <w:tcPr>
            <w:tcW w:w="6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r>
      <w:tr>
        <w:trPr>
          <w:trHeight w:val="21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Pr>
          <w:p>
            <w:pPr>
              <w:spacing w:after="0"/>
              <w:rPr>
                <w:sz w:val="20"/>
                <w:szCs w:val="20"/>
                <w:color w:val="auto"/>
              </w:rPr>
            </w:pPr>
          </w:p>
        </w:tc>
      </w:tr>
      <w:tr>
        <w:trPr>
          <w:trHeight w:val="549"/>
        </w:trPr>
        <w:tc>
          <w:tcPr>
            <w:tcW w:w="6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were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2"/>
                <w:szCs w:val="22"/>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9"/>
                <w:szCs w:val="19"/>
                <w:color w:val="auto"/>
              </w:rPr>
            </w:pPr>
          </w:p>
        </w:tc>
      </w:tr>
      <w:tr>
        <w:trPr>
          <w:trHeight w:val="23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9"/>
                <w:szCs w:val="19"/>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9"/>
                <w:szCs w:val="19"/>
                <w:color w:val="auto"/>
              </w:rPr>
            </w:pPr>
          </w:p>
        </w:tc>
      </w:tr>
      <w:tr>
        <w:trPr>
          <w:trHeight w:val="22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tcPr>
          <w:p>
            <w:pPr>
              <w:spacing w:after="0"/>
              <w:rPr>
                <w:sz w:val="19"/>
                <w:szCs w:val="19"/>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60" w:type="dxa"/>
            <w:vAlign w:val="bottom"/>
          </w:tcPr>
          <w:p>
            <w:pPr>
              <w:spacing w:after="0"/>
              <w:rPr>
                <w:sz w:val="21"/>
                <w:szCs w:val="2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our operating leases that had been signed but had not yet commenced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As of December 31, 2024, the Senior Notes were recorded as long-term debt, net of discount and issuance costs, which are amortized to interest expense over the respective contractual terms of these notes using the effective interest method.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5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160" w:type="dxa"/>
            <w:vAlign w:val="bottom"/>
          </w:tcPr>
          <w:p>
            <w:pPr>
              <w:spacing w:after="0"/>
              <w:rPr>
                <w:sz w:val="16"/>
                <w:szCs w:val="16"/>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18"/>
                <w:szCs w:val="18"/>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accrued interest payable of $4.7 million, and there are no financial covenants with which we must comply. In 2024, 2023 and 2022 we recorded $18.0 million, $17.9 million and $17.9 million of total interest expense in relation to these Senior Notes and repaid $16.0 million of interest in cash, respectively. No interest costs were capitalized in 2024, 2023 and 2022, as the costs that qualified for capitalization were not material.</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$908.5 million, including accrued and unpaid interest, as of December 31, 2024. The fair value was determined based on observable market prices of identical instruments in less active markets. The estimated fair values are based on Level 2 inputs.</w:t>
      </w:r>
    </w:p>
    <w:p>
      <w:pPr>
        <w:spacing w:after="0" w:line="199"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December 31, 2024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4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8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6"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2024, we had $591.1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December 31, 2024 and December 31, 2023, the liability for these inventory purchase commitments was $54.0 million and $84.7 million,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respectively, and was recorded in accrued liabilities on our consolidated balance sheets. The expense related to such accrued liability for inventory purchase commitments was $3.5 million and $85.9 million for the year ended December 31, 2024 and 2023, and not material for the year ended December 31, 2022, and was recorded in cost of product revenue on the consolidated statements of income.</w:t>
      </w:r>
    </w:p>
    <w:p>
      <w:pPr>
        <w:spacing w:after="0" w:line="213"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December 31, 2024, we had $101.2 million in other contractual commitments having a remaining term in excess of one year that are non-cancelable.</w:t>
      </w:r>
    </w:p>
    <w:p>
      <w:pPr>
        <w:spacing w:after="0" w:line="19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December 31, 2024 and 2023.</w:t>
      </w:r>
    </w:p>
    <w:p>
      <w:pPr>
        <w:spacing w:after="0" w:line="22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December 31, 2024 related to this litigation.</w:t>
      </w:r>
    </w:p>
    <w:p>
      <w:pPr>
        <w:spacing w:after="0" w:line="20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6"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Periodically we, like other security companies and companies in other industries, have experienced, and may experience in the future, cybersecurity threats, malicious activity directed against our information technology infrastructure and unauthorized attempts to gain access to our and our customers’ sensitive information and systems. For example, in the third quarter of 2024, we discovered that an individual gained unauthorized access to a limited number of files stored on Fortinet’s instance of a third-party cloud-based shared file drive, which included limited data related to a small number of Fortinet customers. We have completed our investigation of this incident and we do not currently believe that it had a material impact on our business or that of any of our customers. We are currently not aware of any significant claims arising from this matter.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primary stock incentive plan, the 2009 EIP, under which we have granted RSUs, stock options and PSUs.</w:t>
      </w:r>
    </w:p>
    <w:p>
      <w:pPr>
        <w:spacing w:after="0" w:line="25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approved the 2009 EIP in 2009 and amended the plan in 2019. The maximum aggregate number of shares that may be issued under the 2009 EIP is 239,367,655 shares; provided, however, that only 67,500,000 shares may be issued or transferred pursuant to new awards granted on or following the effective date of the 2009 EIP.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there were a total of 50.7 million shares of common stock available for grant under the 2009 EIP.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ind w:right="12"/>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660" w:type="dxa"/>
            <w:vAlign w:val="bottom"/>
          </w:tcPr>
          <w:p>
            <w:pPr>
              <w:jc w:val="center"/>
              <w:ind w:right="12"/>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14"/>
        </w:trPr>
        <w:tc>
          <w:tcPr>
            <w:tcW w:w="7600" w:type="dxa"/>
            <w:vAlign w:val="bottom"/>
          </w:tcPr>
          <w:p>
            <w:pPr>
              <w:spacing w:after="0"/>
              <w:rPr>
                <w:sz w:val="18"/>
                <w:szCs w:val="18"/>
                <w:color w:val="auto"/>
              </w:rPr>
            </w:pPr>
          </w:p>
        </w:tc>
        <w:tc>
          <w:tcPr>
            <w:tcW w:w="1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25"/>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29"/>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0" w:type="dxa"/>
            <w:vAlign w:val="bottom"/>
          </w:tcPr>
          <w:p>
            <w:pPr>
              <w:spacing w:after="0"/>
              <w:rPr>
                <w:sz w:val="1"/>
                <w:szCs w:val="1"/>
                <w:color w:val="auto"/>
              </w:rPr>
            </w:pPr>
          </w:p>
        </w:tc>
      </w:tr>
      <w:tr>
        <w:trPr>
          <w:trHeight w:val="230"/>
        </w:trPr>
        <w:tc>
          <w:tcPr>
            <w:tcW w:w="7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December 31, 2024, total compensation expense related to unvested RSUs granted to employees and non-employees under the 2009 EIP, but not yet recognized, was $467.2 million, with a weighted-average remaining vesting period of 2.7 years.</w:t>
      </w:r>
    </w:p>
    <w:p>
      <w:pPr>
        <w:spacing w:after="0" w:line="21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employee withholding tax requirements. The payment of the withheld taxes to the tax authorities is reflected as a financing activity within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fair value of our employee stock options, we use the Black-Scholes model, which employs the following assumptions.</w:t>
      </w:r>
    </w:p>
    <w:p>
      <w:pPr>
        <w:spacing w:after="0" w:line="250"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We believe that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historical experience for determining the expected term of the stock option award, and therefore, we calculated our expected term based on historical experience instead of using the simplified method.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expected volatility of our common stock is based on our weighted-average implied and historical volatility.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the closing sales price of the common stock effective on the date of grant.</w:t>
      </w:r>
    </w:p>
    <w:p>
      <w:pPr>
        <w:spacing w:after="0" w:line="252"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on the implied yield available on U.S. Treasury zero-coupon issues with an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zero.</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5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r>
      <w:tr>
        <w:trPr>
          <w:trHeight w:val="23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3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4"/>
                <w:szCs w:val="14"/>
                <w:color w:val="auto"/>
              </w:rPr>
            </w:pPr>
          </w:p>
        </w:tc>
        <w:tc>
          <w:tcPr>
            <w:tcW w:w="96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0" w:type="dxa"/>
            <w:vAlign w:val="bottom"/>
          </w:tcPr>
          <w:p>
            <w:pPr>
              <w:spacing w:after="0"/>
              <w:rPr>
                <w:sz w:val="14"/>
                <w:szCs w:val="14"/>
                <w:color w:val="auto"/>
              </w:rPr>
            </w:pPr>
          </w:p>
        </w:tc>
        <w:tc>
          <w:tcPr>
            <w:tcW w:w="96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40" w:type="dxa"/>
            <w:vAlign w:val="bottom"/>
          </w:tcPr>
          <w:p>
            <w:pPr>
              <w:spacing w:after="0"/>
              <w:rPr>
                <w:sz w:val="18"/>
                <w:szCs w:val="18"/>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29"/>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30"/>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line="20" w:lineRule="exact"/>
              <w:rPr>
                <w:sz w:val="1"/>
                <w:szCs w:val="1"/>
                <w:color w:val="auto"/>
              </w:rPr>
            </w:pPr>
          </w:p>
        </w:tc>
      </w:tr>
      <w:tr>
        <w:trPr>
          <w:trHeight w:val="203"/>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vest—December 31, 2024</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exercisable—December 31,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balance sheet for all in-the-money stock options. Stock compensation expense is recognized on a straight-line basis over the vesting period of each stock option. As of December 31, 2024, total compensation expense related to unvested stock options granted to employees but not yet recognized was $44.6 million, with a weighted-average remaining vesting period of 2.4 years.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70"/>
        </w:trPr>
        <w:tc>
          <w:tcPr>
            <w:tcW w:w="6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98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5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9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stock options as of December 31, 2024, (in millions, except exercise prices and contractual life):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Borders>
              <w:bottom w:val="single" w:sz="8" w:color="auto"/>
            </w:tcBorders>
            <w:gridSpan w:val="4"/>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w:t>
            </w:r>
          </w:p>
        </w:tc>
        <w:tc>
          <w:tcPr>
            <w:tcW w:w="320" w:type="dxa"/>
            <w:vAlign w:val="bottom"/>
          </w:tcPr>
          <w:p>
            <w:pPr>
              <w:spacing w:after="0"/>
              <w:rPr>
                <w:sz w:val="13"/>
                <w:szCs w:val="13"/>
                <w:color w:val="auto"/>
              </w:rPr>
            </w:pPr>
          </w:p>
        </w:tc>
        <w:tc>
          <w:tcPr>
            <w:tcW w:w="15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3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4"/>
                <w:szCs w:val="14"/>
                <w:color w:val="auto"/>
              </w:rPr>
            </w:pPr>
          </w:p>
        </w:tc>
        <w:tc>
          <w:tcPr>
            <w:tcW w:w="15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80" w:type="dxa"/>
            <w:vAlign w:val="bottom"/>
            <w:vMerge w:val="restart"/>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320" w:type="dxa"/>
            <w:vAlign w:val="bottom"/>
          </w:tcPr>
          <w:p>
            <w:pPr>
              <w:spacing w:after="0"/>
              <w:rPr>
                <w:sz w:val="14"/>
                <w:szCs w:val="14"/>
                <w:color w:val="auto"/>
              </w:rPr>
            </w:pPr>
          </w:p>
        </w:tc>
        <w:tc>
          <w:tcPr>
            <w:tcW w:w="158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4"/>
        </w:trPr>
        <w:tc>
          <w:tcPr>
            <w:tcW w:w="1920" w:type="dxa"/>
            <w:vAlign w:val="bottom"/>
            <w:gridSpan w:val="2"/>
            <w:vMerge w:val="continue"/>
          </w:tcPr>
          <w:p>
            <w:pPr>
              <w:spacing w:after="0"/>
              <w:rPr>
                <w:sz w:val="18"/>
                <w:szCs w:val="18"/>
                <w:color w:val="auto"/>
              </w:rPr>
            </w:pPr>
          </w:p>
        </w:tc>
        <w:tc>
          <w:tcPr>
            <w:tcW w:w="17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7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25"/>
        </w:trPr>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$9.81-$22.72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9"/>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$22.90-$34.39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$39.68-$61.24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$62.11-$94.02</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0" w:type="dxa"/>
            <w:vAlign w:val="bottom"/>
          </w:tcPr>
          <w:p>
            <w:pPr>
              <w:spacing w:after="0"/>
              <w:rPr>
                <w:sz w:val="1"/>
                <w:szCs w:val="1"/>
                <w:color w:val="auto"/>
              </w:rPr>
            </w:pPr>
          </w:p>
        </w:tc>
      </w:tr>
      <w:tr>
        <w:trPr>
          <w:trHeight w:val="248"/>
        </w:trPr>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220" w:firstLine="648"/>
        <w:spacing w:after="0" w:line="264" w:lineRule="auto"/>
        <w:rPr>
          <w:sz w:val="20"/>
          <w:szCs w:val="20"/>
          <w:color w:val="auto"/>
        </w:rPr>
      </w:pPr>
      <w:r>
        <w:rPr>
          <w:rFonts w:ascii="Times New Roman" w:cs="Times New Roman" w:eastAsia="Times New Roman" w:hAnsi="Times New Roman"/>
          <w:sz w:val="17"/>
          <w:szCs w:val="17"/>
          <w:color w:val="auto"/>
        </w:rPr>
        <w:t>In 2023, we granted market/performance-based PSUs under the 2009 EIP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 for the year ended December 31, 2024 and 2023:</w:t>
      </w:r>
    </w:p>
    <w:p>
      <w:pPr>
        <w:spacing w:after="0" w:line="5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4"/>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7"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granted approximately 0.3 million shares of PSU awards with a weighted-average grant date fair value of $97.40 per share and $90.96 per share to certain of our executives during the year ended December 31, 2024 and December 31, 2023, respectively. The grant date fair value of these awards was determined using a Monte Carlo simulation pricing model. Approximately 0.1 million shares of PSU awards were vested and approximately</w:t>
      </w:r>
    </w:p>
    <w:p>
      <w:pPr>
        <w:spacing w:after="0" w:line="1" w:lineRule="exact"/>
        <w:rPr>
          <w:sz w:val="20"/>
          <w:szCs w:val="20"/>
          <w:color w:val="auto"/>
        </w:rPr>
      </w:pPr>
    </w:p>
    <w:p>
      <w:pPr>
        <w:ind w:right="540"/>
        <w:spacing w:after="0" w:line="243" w:lineRule="auto"/>
        <w:rPr>
          <w:sz w:val="20"/>
          <w:szCs w:val="20"/>
          <w:color w:val="auto"/>
        </w:rPr>
      </w:pPr>
      <w:r>
        <w:rPr>
          <w:rFonts w:ascii="Times New Roman" w:cs="Times New Roman" w:eastAsia="Times New Roman" w:hAnsi="Times New Roman"/>
          <w:sz w:val="18"/>
          <w:szCs w:val="18"/>
          <w:color w:val="auto"/>
        </w:rPr>
        <w:t>0.1 million shares of PSU awards were forfeited during the year ended December 31, 2024. None of these PSU awards were vested and PSU awards forfeited were immaterial during the year ended December 31, 2023.</w:t>
      </w:r>
    </w:p>
    <w:p>
      <w:pPr>
        <w:spacing w:after="0" w:line="22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total compensation expense related to unvested PSUs that were granted to certain of our executives, but not yet recognized, was $20.9 million. This expense is expected to be amortized on a graded vesting method over a weighted-average vesting period of 2.2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common stock reserved for future issuance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22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902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Reserved for future equity award grants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stock options, RSUs and PSUs</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8"/>
        </w:trPr>
        <w:tc>
          <w:tcPr>
            <w:tcW w:w="9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common stock reserved for future issuances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1"/>
        </w:trPr>
        <w:tc>
          <w:tcPr>
            <w:tcW w:w="646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515"/>
        </w:trPr>
        <w:tc>
          <w:tcPr>
            <w:tcW w:w="11240" w:type="dxa"/>
            <w:vAlign w:val="bottom"/>
            <w:gridSpan w:val="10"/>
          </w:tcPr>
          <w:p>
            <w:pPr>
              <w:jc w:val="right"/>
              <w:ind w:right="92"/>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by award type (in millions):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0"/>
        </w:trPr>
        <w:tc>
          <w:tcPr>
            <w:tcW w:w="64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w:t>
            </w: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consolidated statements of income is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In January 2016, our board of directors approved the Repurchase Program, which authorized the repurchase of up to $200.0 million of our outstanding common stock through December 31, 2017. From 2016 through 2022, our board of directors approved increases to our Repurchase Program by various amounts and extended the term to February 28, 2023, bringing the aggregated amount authorized to $5.25 billion. In February 2023, our board of directors approved an extension of the Repurchase Program to February 29, 2024. In April 2023 and July 2023, our board of directors approved $1.0 billion and $500.0 million increases in the authorized stock repurchase amount under the Repurchase Program, bringing the aggregate amount authorized to be repurchased to $6.75 billion. In January 2024, our board of directors approved a $500.0 million increase in the authorized stock repurchase amount under the Repurchase Program, bringing the aggregate amount authorized to be repurchased to $7.25 billion of our outstanding common stock. In February 2024, our board of directors approved an extension of the Repurchase Program to February 28, 2025. In October 2024, our board of directors approved a</w:t>
      </w:r>
    </w:p>
    <w:p>
      <w:pPr>
        <w:spacing w:after="0" w:line="5"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Under the Repurchase Program, share repurchases may be made by us from time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time in privately negotiated transactions or in open market transactions. The Repurchase Program does not require us to purchase a minimum number of shares, and may be suspended, modified or discontinued at any time without prior notice. In 2024, we repurchased less than 0.1 million shares of common stock under the Repurchase Program in open market transactions for an aggregate purchase price of $0.6 million. As of December 31, 2024, $2.03 billion remained available for future share repurchases under the Repurchase Program.</w:t>
      </w:r>
    </w:p>
    <w:p>
      <w:pPr>
        <w:spacing w:after="0" w:line="217"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and loss from equity method investments consisted of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 and loss from equity method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(in millions):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80" w:firstLine="648"/>
        <w:spacing w:after="0" w:line="312" w:lineRule="auto"/>
        <w:rPr>
          <w:sz w:val="20"/>
          <w:szCs w:val="20"/>
          <w:color w:val="auto"/>
        </w:rPr>
      </w:pPr>
      <w:r>
        <w:rPr>
          <w:rFonts w:ascii="Times New Roman" w:cs="Times New Roman" w:eastAsia="Times New Roman" w:hAnsi="Times New Roman"/>
          <w:sz w:val="17"/>
          <w:szCs w:val="17"/>
          <w:color w:val="auto"/>
        </w:rPr>
        <w:t>The foreign tax provision included the tax impacts from U.S. GAAP to local tax return book to tax differences that create a permanent addback including but not limited to stock compensation, meals and entertainment, and settlement of prior year tax audits with foreign jurisdiction adjustments.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federal income tax rate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r>
      <w:tr>
        <w:trPr>
          <w:trHeight w:val="211"/>
        </w:trPr>
        <w:tc>
          <w:tcPr>
            <w:tcW w:w="64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the 2017 Tax Cuts and Jobs Act:</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effect of a law change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 to prior year’s FDII</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20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enacted model rules for a new global minimum tax framework (“BEPS Pillar Two”), and various governments around the world have enacted, or are in the process of enacting, legislation on this. For the tax year 2024, all of our foreign jurisdictions have either not implemented BEPS Pillar Two or satisfied the transitional Country-by Country Reporting safe harbor requirements, and as such, are not subject to top-up tax. We do not expect any material tax impact for 2024 and will continue to evaluate the impact of these tax law changes for future periods.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the years ended are presented below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Reserves and accruals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operating loss and capital loss carryforwards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contract costs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8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Acquired intangibles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credits carryforward, certain impairment losses in business investments and certain tax attributes from business acquisitions. As of December 31, 2024, we had a valuation allowance of $40.7 million against those items.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our federal and California net operating loss carryforwards for income tax purposes were $1.03 billion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$76.7 million, respectively. All the net operating loss carryforwards were from acquisitions which were limited by Section 382 of the Internal Revenue</w:t>
      </w:r>
    </w:p>
    <w:p>
      <w:pPr>
        <w:spacing w:after="0" w:line="234" w:lineRule="auto"/>
        <w:rPr>
          <w:sz w:val="20"/>
          <w:szCs w:val="20"/>
          <w:color w:val="auto"/>
        </w:rPr>
      </w:pPr>
      <w:r>
        <w:rPr>
          <w:rFonts w:ascii="Times New Roman" w:cs="Times New Roman" w:eastAsia="Times New Roman" w:hAnsi="Times New Roman"/>
          <w:sz w:val="18"/>
          <w:szCs w:val="18"/>
          <w:color w:val="auto"/>
        </w:rPr>
        <w:t>Code. If not utilized, the federal net operating loss carryforwards will begin to expire in 2028, and California net operating loss carryforwards will begin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 in 2034.</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state tax credit carryforwards of $53.9 million. The state credits can be carried forward indefinitely.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current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the current year</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prior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prior year audit settlements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expiration of statute of limitations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1"/>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$75.9 million of unrecognized tax benefits, of which, if recognized, $61.2 million would favorably affect our effective tax rate. Our gross unrecognized tax benefits increased approximately $10.1 million during the year ended December 31, 2024. The net increase was primarily due to the normal buildup of reserves related to the Federal R&amp;D credit and transfer pricing. Our policy is to include accrued interest and penalties related to uncertain tax benefits in income tax expense. As of December 31, 2024, 2023 and 2022, accrued interest and penalties were $8.8 million, $6.4 million and $9.3 million, respectively.</w:t>
      </w:r>
    </w:p>
    <w:p>
      <w:pPr>
        <w:spacing w:after="0" w:line="21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It is reasonably possible that our gross unrecognized tax benefits will decrease up to $0.9 million in the next 12 months, primarily due to the lapse of the statute of limitations. These adjustments, if recognized, would favorably impact our effective tax rate, and would be recognized as additional tax benefits.</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spacing w:after="0" w:line="203"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2024, 2023 and 2022 were $19.3 million, $17.1 million and $12.6 million, respectively.</w:t>
      </w:r>
    </w:p>
    <w:p>
      <w:pPr>
        <w:spacing w:after="0" w:line="203"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43"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including revenue, expenses and net income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 Our chief executive officer assesses financial performance of the reportable segment and decides how to allocate resources based on net income that also is reported as net income attributable to Fortinet, Inc. on the consolidated statements of income. Net income is also used by our chief operating decision maker to monitor actual results versus budget and prior periods amounts of our reportable segment and decide whether to reinvest net income into the reportable segment or to expand business through business combinations or to return value to shareholders. The measure of the segment assets is reported on the balance sheet as total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0" w:type="dxa"/>
            <w:vAlign w:val="bottom"/>
          </w:tcPr>
          <w:p>
            <w:pPr>
              <w:spacing w:after="0"/>
              <w:rPr>
                <w:sz w:val="1"/>
                <w:szCs w:val="1"/>
                <w:color w:val="auto"/>
              </w:rPr>
            </w:pPr>
          </w:p>
        </w:tc>
      </w:tr>
      <w:tr>
        <w:trPr>
          <w:trHeight w:val="209"/>
        </w:trPr>
        <w:tc>
          <w:tcPr>
            <w:tcW w:w="6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0" w:type="dxa"/>
            <w:vAlign w:val="bottom"/>
          </w:tcPr>
          <w:p>
            <w:pPr>
              <w:spacing w:after="0"/>
              <w:rPr>
                <w:sz w:val="1"/>
                <w:szCs w:val="1"/>
                <w:color w:val="auto"/>
              </w:rPr>
            </w:pPr>
          </w:p>
        </w:tc>
      </w:tr>
      <w:tr>
        <w:trPr>
          <w:trHeight w:val="230"/>
        </w:trPr>
        <w:tc>
          <w:tcPr>
            <w:tcW w:w="644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sales and marketing expense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 Excludes commission expense.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 The following table presents other segment items (in millions):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intellectual property matter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bargain purchase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other segment information (in millions):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3"/>
        </w:trPr>
        <w:tc>
          <w:tcPr>
            <w:tcW w:w="6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non-cash items: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4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gridSpan w:val="3"/>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9,763.1</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6,228.0</w:t>
            </w:r>
          </w:p>
        </w:tc>
        <w:tc>
          <w:tcPr>
            <w:tcW w:w="0" w:type="dxa"/>
            <w:vAlign w:val="bottom"/>
          </w:tcPr>
          <w:p>
            <w:pPr>
              <w:spacing w:after="0"/>
              <w:rPr>
                <w:sz w:val="1"/>
                <w:szCs w:val="1"/>
                <w:color w:val="auto"/>
              </w:rPr>
            </w:pP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15"/>
                <w:szCs w:val="15"/>
                <w:color w:val="auto"/>
              </w:rPr>
            </w:pPr>
          </w:p>
        </w:tc>
        <w:tc>
          <w:tcPr>
            <w:tcW w:w="1140" w:type="dxa"/>
            <w:vAlign w:val="bottom"/>
          </w:tcPr>
          <w:p>
            <w:pPr>
              <w:jc w:val="right"/>
              <w:ind w:right="47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3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Americas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Americas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Americas:</w:t>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Americas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APAC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property and equipment—net</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distributor customers accounted for 10% or more of our revenue:</w:t>
      </w:r>
    </w:p>
    <w:p>
      <w:pPr>
        <w:spacing w:after="0" w:line="20" w:lineRule="exact"/>
        <w:rPr>
          <w:sz w:val="20"/>
          <w:szCs w:val="20"/>
          <w:color w:val="auto"/>
        </w:rPr>
      </w:pPr>
      <w:r>
        <w:rPr>
          <w:sz w:val="20"/>
          <w:szCs w:val="20"/>
          <w:color w:val="auto"/>
        </w:rPr>
        <w:br w:type="column"/>
      </w:r>
    </w:p>
    <w:p>
      <w:pPr>
        <w:ind w:left="1021" w:hanging="1021"/>
        <w:spacing w:after="0"/>
        <w:tabs>
          <w:tab w:leader="none" w:pos="10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993.5</w:t>
      </w:r>
    </w:p>
    <w:p>
      <w:pPr>
        <w:spacing w:after="0" w:line="22"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216.8</w:t>
      </w:r>
    </w:p>
    <w:p>
      <w:pPr>
        <w:spacing w:after="0" w:line="22" w:lineRule="exact"/>
        <w:rPr>
          <w:rFonts w:ascii="Times New Roman" w:cs="Times New Roman" w:eastAsia="Times New Roman" w:hAnsi="Times New Roman"/>
          <w:sz w:val="18"/>
          <w:szCs w:val="18"/>
          <w:color w:val="auto"/>
        </w:rPr>
      </w:pPr>
    </w:p>
    <w:p>
      <w:pPr>
        <w:ind w:left="120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1,214.7</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73.3</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901" w:hanging="901"/>
        <w:spacing w:after="0"/>
        <w:tabs>
          <w:tab w:leader="none" w:pos="9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28" w:hanging="1028"/>
        <w:spacing w:after="0"/>
        <w:tabs>
          <w:tab w:leader="none" w:pos="102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701.6</w:t>
      </w:r>
    </w:p>
    <w:p>
      <w:pPr>
        <w:spacing w:after="0" w:line="34" w:lineRule="exact"/>
        <w:rPr>
          <w:rFonts w:ascii="Times New Roman" w:cs="Times New Roman" w:eastAsia="Times New Roman" w:hAnsi="Times New Roman"/>
          <w:sz w:val="17"/>
          <w:szCs w:val="17"/>
          <w:color w:val="auto"/>
        </w:rPr>
      </w:pPr>
    </w:p>
    <w:p>
      <w:pPr>
        <w:ind w:left="10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w:t>
      </w:r>
    </w:p>
    <w:p>
      <w:pPr>
        <w:spacing w:after="0" w:line="34"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w:t>
      </w:r>
    </w:p>
    <w:p>
      <w:pPr>
        <w:spacing w:after="0" w:line="42" w:lineRule="exact"/>
        <w:rPr>
          <w:rFonts w:ascii="Times New Roman" w:cs="Times New Roman" w:eastAsia="Times New Roman" w:hAnsi="Times New Roman"/>
          <w:sz w:val="17"/>
          <w:szCs w:val="17"/>
          <w:color w:val="auto"/>
        </w:rPr>
      </w:pPr>
    </w:p>
    <w:p>
      <w:pPr>
        <w:ind w:left="10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916.7</w:t>
      </w:r>
    </w:p>
    <w:p>
      <w:pPr>
        <w:spacing w:after="0" w:line="38"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65.5</w:t>
      </w:r>
    </w:p>
    <w:p>
      <w:pPr>
        <w:spacing w:after="0" w:line="34" w:lineRule="exact"/>
        <w:rPr>
          <w:rFonts w:ascii="Times New Roman" w:cs="Times New Roman" w:eastAsia="Times New Roman" w:hAnsi="Times New Roman"/>
          <w:sz w:val="17"/>
          <w:szCs w:val="17"/>
          <w:color w:val="auto"/>
        </w:rPr>
      </w:pPr>
    </w:p>
    <w:p>
      <w:pPr>
        <w:ind w:left="11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68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 w:lineRule="exact"/>
        <w:rPr>
          <w:sz w:val="20"/>
          <w:szCs w:val="20"/>
          <w:color w:val="auto"/>
        </w:rPr>
      </w:pPr>
    </w:p>
    <w:p>
      <w:pPr>
        <w:ind w:left="888" w:hanging="888"/>
        <w:spacing w:after="0"/>
        <w:tabs>
          <w:tab w:leader="none" w:pos="88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3">
            <w:col w:w="7379" w:space="720"/>
            <w:col w:w="1441" w:space="192"/>
            <w:col w:w="1508"/>
          </w:cols>
          <w:pgMar w:left="320" w:top="121" w:right="339" w:bottom="1440" w:gutter="0" w:footer="0" w:header="0"/>
          <w:type w:val="continuous"/>
        </w:sectPr>
      </w:pPr>
    </w:p>
    <w:p>
      <w:pPr>
        <w:jc w:val="center"/>
        <w:ind w:left="62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21590</wp:posOffset>
            </wp:positionV>
            <wp:extent cx="31718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6" w:lineRule="exact"/>
        <w:rPr>
          <w:sz w:val="20"/>
          <w:szCs w:val="20"/>
          <w:color w:val="auto"/>
        </w:rPr>
      </w:pPr>
    </w:p>
    <w:p>
      <w:pPr>
        <w:ind w:left="6900"/>
        <w:spacing w:after="0"/>
        <w:tabs>
          <w:tab w:leader="none" w:pos="8600" w:val="left"/>
          <w:tab w:leader="none" w:pos="102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783"/>
        </w:trPr>
        <w:tc>
          <w:tcPr>
            <w:tcW w:w="73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distributor customers accounted for 10% or more of net accounts receivable:</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0"/>
        </w:trPr>
        <w:tc>
          <w:tcPr>
            <w:tcW w:w="6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20"/>
                <w:szCs w:val="20"/>
                <w:color w:val="auto"/>
              </w:rPr>
            </w:pPr>
          </w:p>
        </w:tc>
      </w:tr>
      <w:tr>
        <w:trPr>
          <w:trHeight w:val="226"/>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4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Pr>
          <w:p>
            <w:pPr>
              <w:spacing w:after="0"/>
              <w:rPr>
                <w:sz w:val="19"/>
                <w:szCs w:val="19"/>
                <w:color w:val="auto"/>
              </w:rPr>
            </w:pP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9"/>
                <w:szCs w:val="19"/>
                <w:color w:val="auto"/>
              </w:rPr>
            </w:pP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ind w:left="660" w:right="8800" w:hanging="652"/>
        <w:spacing w:after="0" w:line="518" w:lineRule="auto"/>
        <w:tabs>
          <w:tab w:leader="none" w:pos="462"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SUBSEQUENT EVENTS </w:t>
      </w:r>
      <w:r>
        <w:rPr>
          <w:rFonts w:ascii="Times New Roman" w:cs="Times New Roman" w:eastAsia="Times New Roman" w:hAnsi="Times New Roman"/>
          <w:sz w:val="18"/>
          <w:szCs w:val="18"/>
          <w:b w:val="1"/>
          <w:bCs w:val="1"/>
          <w:i w:val="1"/>
          <w:iCs w:val="1"/>
          <w:color w:val="auto"/>
        </w:rPr>
        <w:t>Real Property Purchase</w:t>
      </w:r>
    </w:p>
    <w:p>
      <w:pPr>
        <w:spacing w:after="0" w:line="2"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In February 2025, we signed a definitive agreement subject to regulatory approval to purchase real property in Frankfurt, Germany, totaling approximately 540,000 square feet for $49.1 million in cash, excluding acquisition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January 31, 2025, we acquired all of the remaining outstanding Series A Preferred Stock of Linksys for $22.0 million in initial consideration and now own 100% of the outstanding equity of Linksys. We are currently in the process of evaluating the business combination accounting, including the consideration transferred and the initial purchase price allocation.</w:t>
      </w: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2024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set forth by the Committee of Sponsoring Organizations of the Treadway Commission.</w:t>
      </w:r>
    </w:p>
    <w:p>
      <w:pPr>
        <w:spacing w:after="0" w:line="17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As permitted by applicable SEC guidance, management has excluded Lacework, a privately held data-driven cloud security company, Next DLP, a privately held data security company, and Perception Point, a privately held advanced collaboration and email security company from its assessment of internal control over financial reporting as of December 31, 2024, because Lacework, Next DLP and Perception Point were acquired by us in business combinations during the fiscal year ended December 31, 2024. Lacework, Next DLP and Perception Point revenues represented approximately 0.5%, less than 0.1% and less than 0.1% of our consolidated total revenue, respectively, for the year ended December 31, 2024.</w:t>
      </w:r>
    </w:p>
    <w:p>
      <w:pPr>
        <w:spacing w:after="0" w:line="21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Based on this evaluation, management concluded that our internal control over financial reporting was effective as of December 31, 2024. Management reviewed the results of its assessment with our Audit Committee. The effectiveness of our internal control over financial reporting as of December 31, 2024 has been audited by Deloitte &amp; Touche LLP, an independent registered public accounting firm, as stated in its report, which appears in this Item under the heading “Report of Independent Registered Public Accounting Firm.”</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controls over financial reporting (as defined in Rules 13a-15(f) or 15d-15(f) under the Exchange Act) during 2024 that have materially affected, or are reasonably likely to materially affect, our internal controls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Fortinet,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Fortinet,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21, 2025, expressed an unqualified opinion on those financial statements.</w:t>
      </w:r>
    </w:p>
    <w:p>
      <w:pPr>
        <w:spacing w:after="0" w:line="18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excluded from its assessment the internal control over financial reporting at Lacework, Inc. (“Lacework”), a privately held data-driven cloud security company, Next DLP Holdings Limited (“Next DLP”), a privately held data security company, and Perception Point, Ltd. (“Perception Point”), a privately held advanced collaboration and email security company from its assessment of internal control over financial reporting as of December 31, 2024. Lacework, Next DLP, and Perception Point revenues represented approximately 0.5%, less than 0.1%, and less than 0.1%, respectively, of the Company’s consolidated total revenue for the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29"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On December 9, 2024, William H. Neukom, one of our directors, entered into a pre-arranged written stock sale plan in accordance with Rule 10b5-1 under the Exchange Act for the purchase of shares of our common stock (the “Neukom Plan”) during an open trading window in accordance with our insider trading policy. The Neukom Plan is intended to satisfy the affirmative defense of Rule 10b5-1(c) under the Exchange Act. The Neukom Plan provides for the potential purchase by Mr. Neukom of up to $35,000 worth of shares of our common stock per at the market price, on five dates between March 6, 2025 and March 6, 2026, as specified in the Neukom Plan.</w:t>
      </w:r>
    </w:p>
    <w:p>
      <w:pPr>
        <w:spacing w:after="0" w:line="21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On December 9, 2024, Kenneth A. Goldman, one of our directors, entered into a pre-arranged written stock sale plan in accordance with Rule 10b5-1 under the Exchange Act for the sale of shares of our common stock (the “Goldman Plan”) during an open trading window in accordance with our insider trading policy. The Goldman Plan is intended to satisfy the affirmative defense of Rule 10b5-1(c) under the Exchange Act. The Goldman Plan provides for the potential sale by Mr. Goldman of up to 3,000 shares of our common stock, issued upon the exercise of vested options to purchase shares of our common stock, at the market price, so long as the market price is equal to or greater than $95.00 per share, between March 10, 2025 and March 10, 2026.</w:t>
      </w:r>
    </w:p>
    <w:p>
      <w:pPr>
        <w:spacing w:after="0" w:line="197"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On December 9, 2024, Ken Xie, our Chief Executive Officer and one of our directors, entered into a pre-arranged written stock sale plan in accordance with Rule 10b5-1 under the Exchange Act for the sale of shares of our common stock (the “Ken Xie Plan”) during an open trading window in accordance with our insider trading policy. The Ken Xie Plan is intended to satisfy the affirmative defense of Rule 10b5-1(c) under the Exchange Act. The Ken Xie Plan provides for the potential sale by Mr. Xie of up to (a) 734,880 shares of our common stock, issued upon the vesting and settlement of RSUs and PSUs for shares of our common stock and the exercise of vested options to purchase shares of our common stock and (b) the net shares (which are not yet determinable) after shares are withheld to satisfy tax obligations upon such vesting and settlement of RSUs and PSUs, in each case, at the market price, all between March 10, 2025 and May 6, 2026.</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On December 10, 2024, Michael Xie, our Chief Technology Officer and one of our directors, entered into a pre-arranged written stock sale plan in accordance with Rule 10b5-1 under the Exchange Act for the sale of shares of our common stock (the “Michael Xie Plan”) during an open trading window in accordance with our insider trading policy. The Michael Xie Plan is intended to satisfy the affirmative defense of Rule 10b5-1(c) under the Exchange Act. The Michael Xie Plan provides for the potential sale by Mr. Xie of up to (a) 624,285 shares of our common stock, issued upon the vesting and settlement of RSUs for shares of our common stock and the exercise of vested options to purchase shares of our common stock and (b) the net shares (which are not yet determinable) after shares are withheld to satisfy tax obligations upon such vesting and settlement of RSUs and PSUs, in each case, at the market price, all between March 11, 2025 and May 6, 2026.</w:t>
      </w:r>
    </w:p>
    <w:p>
      <w:pPr>
        <w:spacing w:after="0" w:line="21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Each of the Neukom Plan, Goldman Plan, Ken Xie Plan and Michael Xie Plan (each, a “10b5-1 Plan,” and together, the “10b5-1 Plans”) includes a representation from each of Mr. Neukom, Mr. Goldman, Mr. Ken Xie and Mr. Michael Xie, respectively, to the broker administering the plan that they were not in possession of any material nonpublic information regarding us or the securities subject to the respective 10b5-1 Plan at the time the respective 10b5-1 Plan were entered into. A similar representation was made to us in connection with the adoption of each 10b5-1 Plan under our insider trading policy. Those representations for each 10b5-1 Plan were made as of the respective date of adoption of the applicable 10b5-1 Plan, and speak only as of that date. In making those representations, there is no assurance with respect to any material nonpublic information of which Mr. Neukom, Mr. Goldman, Mr. Ken Xie and Mr. Michael Xie, as applicable, were unaware, or with respect to any material nonpublic information acquired by Mr. Neukom, Mr. Goldman, Mr. Ken Xie and Mr. Michael Xie or us, as applicable, after the date of each such representation.</w:t>
      </w:r>
    </w:p>
    <w:p>
      <w:pPr>
        <w:spacing w:after="0" w:line="21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10b5-1 Plans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 Neukom, Mr. Goldman, Mr. Ken Xie or Mr. Michael Xie or our other officers or directors, or their affiliated entities.</w:t>
      </w:r>
    </w:p>
    <w:p>
      <w:pPr>
        <w:spacing w:after="0" w:line="20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Prevents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which are required to be disclosed by the rules of the SEC or the Nasdaq Stock Market.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43"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directors,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Nasdaq listing standards applicable to us. A copy of our Insider Trading Policy is filed as Exhibit 19.1 to this Annual Report on Form 10-K.</w:t>
      </w: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2025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50" w:lineRule="exact"/>
        <w:rPr>
          <w:sz w:val="20"/>
          <w:szCs w:val="20"/>
          <w:color w:val="auto"/>
        </w:rPr>
      </w:pPr>
    </w:p>
    <w:p>
      <w:pPr>
        <w:ind w:left="1300" w:right="60" w:hanging="644"/>
        <w:spacing w:after="0" w:line="267"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information concerning Fortinet’s financial statements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200"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 </w:t>
      </w:r>
      <w:r>
        <w:rPr>
          <w:rFonts w:ascii="Times New Roman" w:cs="Times New Roman" w:eastAsia="Times New Roman" w:hAnsi="Times New Roman"/>
          <w:sz w:val="18"/>
          <w:szCs w:val="18"/>
          <w:color w:val="auto"/>
        </w:rPr>
        <w:t>Financial statement schedules have been omitted because they are not applicable or are not required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set forth therein is included in the consolidated financial statements or notes thereto.</w:t>
      </w:r>
    </w:p>
    <w:p>
      <w:pPr>
        <w:spacing w:after="0" w:line="185" w:lineRule="exact"/>
        <w:rPr>
          <w:rFonts w:ascii="Times New Roman" w:cs="Times New Roman" w:eastAsia="Times New Roman" w:hAnsi="Times New Roman"/>
          <w:sz w:val="18"/>
          <w:szCs w:val="18"/>
          <w:color w:val="auto"/>
        </w:rPr>
      </w:pPr>
    </w:p>
    <w:p>
      <w:pPr>
        <w:ind w:left="1300" w:hanging="644"/>
        <w:spacing w:after="0" w:line="284" w:lineRule="auto"/>
        <w:tabs>
          <w:tab w:leader="none" w:pos="13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Annual Report on Form 10-K by reference, the exhibits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accompanying Exhibit Index immediately preceding the signature page of this Annual Report on Form 10-K.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Exhibits:</w:t>
      </w:r>
    </w:p>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exhibits listed on the Exhibit Index immediately preceding the signature page of this Annual Report on Form 10-K is incorporated herein by reference as the list of exhibits required by this Item 15(b).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78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22"/>
                <w:szCs w:val="22"/>
                <w:color w:val="auto"/>
              </w:rPr>
            </w:pPr>
          </w:p>
        </w:tc>
        <w:tc>
          <w:tcPr>
            <w:tcW w:w="37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Form Incorporated by reference herein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0000FF"/>
            </w:tcBorders>
          </w:tcPr>
          <w:p>
            <w:pPr>
              <w:spacing w:after="0"/>
              <w:rPr>
                <w:rFonts w:ascii="Times New Roman" w:cs="Times New Roman" w:eastAsia="Times New Roman" w:hAnsi="Times New Roman"/>
                <w:sz w:val="14"/>
                <w:szCs w:val="14"/>
                <w:color w:val="0000FF"/>
                <w:w w:val="91"/>
              </w:rPr>
            </w:pPr>
            <w:hyperlink r:id="rId14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Restated Certificate of Incorporation</w:t>
            </w:r>
          </w:p>
        </w:tc>
        <w:tc>
          <w:tcPr>
            <w:tcW w:w="100" w:type="dxa"/>
            <w:vAlign w:val="bottom"/>
          </w:tcPr>
          <w:p>
            <w:pPr>
              <w:spacing w:after="0"/>
              <w:rPr>
                <w:sz w:val="16"/>
                <w:szCs w:val="16"/>
                <w:color w:val="auto"/>
              </w:rPr>
            </w:pPr>
          </w:p>
        </w:tc>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150">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Borders>
              <w:bottom w:val="single" w:sz="8" w:color="0000FF"/>
            </w:tcBorders>
          </w:tcPr>
          <w:p>
            <w:pPr>
              <w:spacing w:after="0"/>
              <w:rPr>
                <w:rFonts w:ascii="Times New Roman" w:cs="Times New Roman" w:eastAsia="Times New Roman" w:hAnsi="Times New Roman"/>
                <w:sz w:val="14"/>
                <w:szCs w:val="14"/>
                <w:color w:val="0000FF"/>
                <w:w w:val="91"/>
              </w:rPr>
            </w:pPr>
            <w:hyperlink r:id="rId151">
              <w:r>
                <w:rPr>
                  <w:rFonts w:ascii="Times New Roman" w:cs="Times New Roman" w:eastAsia="Times New Roman" w:hAnsi="Times New Roman"/>
                  <w:sz w:val="14"/>
                  <w:szCs w:val="14"/>
                  <w:color w:val="0000FF"/>
                  <w:w w:val="91"/>
                </w:rPr>
                <w:t>4.</w:t>
              </w:r>
              <w:r>
                <w:rPr>
                  <w:rFonts w:ascii="Times New Roman" w:cs="Times New Roman" w:eastAsia="Times New Roman" w:hAnsi="Times New Roman"/>
                  <w:sz w:val="14"/>
                  <w:szCs w:val="14"/>
                  <w:u w:val="single" w:color="auto"/>
                  <w:color w:val="0000FF"/>
                  <w:w w:val="91"/>
                </w:rPr>
                <w:t>1</w:t>
              </w:r>
            </w:hyperlink>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Specimen common stock certificate of the Company</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3"/>
              </w:rPr>
              <w:t>4.</w:t>
            </w:r>
            <w:r>
              <w:rPr>
                <w:rFonts w:ascii="Times New Roman" w:cs="Times New Roman" w:eastAsia="Times New Roman" w:hAnsi="Times New Roman"/>
                <w:sz w:val="14"/>
                <w:szCs w:val="14"/>
                <w:u w:val="single" w:color="auto"/>
                <w:color w:val="0000FF"/>
                <w:w w:val="93"/>
              </w:rPr>
              <w:t>2</w:t>
            </w:r>
            <w:r>
              <w:rPr>
                <w:rFonts w:ascii="Times New Roman" w:cs="Times New Roman" w:eastAsia="Times New Roman" w:hAnsi="Times New Roman"/>
                <w:sz w:val="18"/>
                <w:szCs w:val="18"/>
                <w:color w:val="000000"/>
                <w:w w:val="93"/>
                <w:vertAlign w:val="superscript"/>
              </w:rPr>
              <w: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 of Securities Registered Pursuant to Section 12 of</w:t>
            </w:r>
          </w:p>
        </w:tc>
        <w:tc>
          <w:tcPr>
            <w:tcW w:w="3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Exchange Act</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Indemnification Agreement between the Company and</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(File No. 333-161190)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its directors and officers</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w:t>
            </w:r>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stock option agreement under Amended and Restated</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2009 Equity Incentive Plan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performance stock unit award agreement under</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5</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Forms of restricted stock unit award and performance stock unit</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award agreement under Amended and Restated 2009 Equity</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Incentive Plan (Additional Forms)</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6</w:t>
            </w:r>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restricted stock unit award agreement under Amended</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and Restated 2009 Equity Incentive Plan (Additional Form)</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stock option award agreement under Amended and</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Restated 2009 Equity Incentive Plan (Additional Form)</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Fortinet, Inc. Amended Bonus Plan</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Fortinet, Inc. Cash and Equity Incentive Plan</w:t>
            </w:r>
          </w:p>
        </w:tc>
        <w:tc>
          <w:tcPr>
            <w:tcW w:w="1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Change of Control Agreement between the Company</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and its directors</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2024,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Ken Xie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2024,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Michael Xie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2024,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John Whittle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Offer Letter, dated as of October 23, 2006, by and between the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and John Whittle</w:t>
            </w:r>
          </w:p>
        </w:tc>
        <w:tc>
          <w:tcPr>
            <w:tcW w:w="3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Offer Letter, dated as of April 3, 2014, by and between the</w:t>
            </w:r>
          </w:p>
        </w:tc>
        <w:tc>
          <w:tcPr>
            <w:tcW w:w="10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Company and Keith Jensen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Change of Control Severance</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tcPr>
          <w:p>
            <w:pPr>
              <w:spacing w:after="0" w:line="113" w:lineRule="exact"/>
              <w:rPr>
                <w:sz w:val="20"/>
                <w:szCs w:val="20"/>
                <w:color w:val="auto"/>
              </w:rPr>
            </w:pPr>
            <w:r>
              <w:rPr>
                <w:rFonts w:ascii="Times New Roman" w:cs="Times New Roman" w:eastAsia="Times New Roman" w:hAnsi="Times New Roman"/>
                <w:sz w:val="13"/>
                <w:szCs w:val="13"/>
                <w:color w:val="auto"/>
              </w:rPr>
              <w:t>Agreement, effective as of August 7, 2024, between the</w:t>
            </w:r>
          </w:p>
        </w:tc>
        <w:tc>
          <w:tcPr>
            <w:tcW w:w="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Company and Keith Jensen</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 w:type="dxa"/>
            <w:vAlign w:val="bottom"/>
            <w:gridSpan w:val="4"/>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17</w:t>
            </w:r>
            <w:r>
              <w:rPr>
                <w:rFonts w:ascii="Times New Roman" w:cs="Times New Roman" w:eastAsia="Times New Roman" w:hAnsi="Times New Roman"/>
                <w:sz w:val="18"/>
                <w:szCs w:val="18"/>
                <w:color w:val="000000"/>
                <w:vertAlign w:val="superscript"/>
              </w:rPr>
              <w:t>†</w:t>
            </w: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performance stock unit award agreement under</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Amended and Restated 2009 Equity Incentive Plan</w:t>
            </w: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r>
              <w:rPr>
                <w:rFonts w:ascii="Times New Roman" w:cs="Times New Roman" w:eastAsia="Times New Roman" w:hAnsi="Times New Roman"/>
                <w:sz w:val="18"/>
                <w:szCs w:val="18"/>
                <w:color w:val="000000"/>
                <w:vertAlign w:val="superscript"/>
              </w:rPr>
              <w:t>†</w:t>
            </w:r>
          </w:p>
        </w:tc>
        <w:tc>
          <w:tcPr>
            <w:tcW w:w="3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Form of restricted stock unit award agreement under Amended</w:t>
            </w: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4"/>
                <w:szCs w:val="14"/>
                <w:color w:val="auto"/>
              </w:rPr>
            </w:pPr>
          </w:p>
        </w:tc>
        <w:tc>
          <w:tcPr>
            <w:tcW w:w="260" w:type="dxa"/>
            <w:vAlign w:val="bottom"/>
            <w:tcBorders>
              <w:top w:val="single" w:sz="8" w:color="0000FF"/>
            </w:tcBorders>
            <w:gridSpan w:val="2"/>
            <w:vMerge w:val="restart"/>
          </w:tcPr>
          <w:p>
            <w:pPr>
              <w:spacing w:after="0"/>
              <w:rPr>
                <w:sz w:val="20"/>
                <w:szCs w:val="20"/>
                <w:color w:val="auto"/>
              </w:rPr>
            </w:pPr>
            <w:r>
              <w:rPr>
                <w:rFonts w:ascii="Times New Roman" w:cs="Times New Roman" w:eastAsia="Times New Roman" w:hAnsi="Times New Roman"/>
                <w:sz w:val="14"/>
                <w:szCs w:val="14"/>
                <w:color w:val="0000FF"/>
                <w:w w:val="71"/>
              </w:rPr>
              <w:t>19.</w:t>
            </w:r>
            <w:r>
              <w:rPr>
                <w:rFonts w:ascii="Times New Roman" w:cs="Times New Roman" w:eastAsia="Times New Roman" w:hAnsi="Times New Roman"/>
                <w:sz w:val="14"/>
                <w:szCs w:val="14"/>
                <w:u w:val="single" w:color="auto"/>
                <w:color w:val="0000FF"/>
                <w:w w:val="71"/>
              </w:rPr>
              <w:t>1</w:t>
            </w:r>
            <w:r>
              <w:rPr>
                <w:rFonts w:ascii="Times New Roman" w:cs="Times New Roman" w:eastAsia="Times New Roman" w:hAnsi="Times New Roman"/>
                <w:sz w:val="18"/>
                <w:szCs w:val="18"/>
                <w:color w:val="000000"/>
                <w:w w:val="71"/>
                <w:vertAlign w:val="superscript"/>
              </w:rPr>
              <w: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and Restated 2009 Equity Incentive Plan (Additional Form)</w:t>
            </w: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Insider Trading Policy</w:t>
            </w:r>
          </w:p>
        </w:tc>
        <w:tc>
          <w:tcPr>
            <w:tcW w:w="1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1"/>
              </w:rPr>
              <w:t>21.</w:t>
            </w:r>
            <w:r>
              <w:rPr>
                <w:rFonts w:ascii="Times New Roman" w:cs="Times New Roman" w:eastAsia="Times New Roman" w:hAnsi="Times New Roman"/>
                <w:sz w:val="14"/>
                <w:szCs w:val="14"/>
                <w:u w:val="single" w:color="auto"/>
                <w:color w:val="0000FF"/>
                <w:w w:val="71"/>
              </w:rPr>
              <w:t>1</w:t>
            </w:r>
            <w:r>
              <w:rPr>
                <w:rFonts w:ascii="Times New Roman" w:cs="Times New Roman" w:eastAsia="Times New Roman" w:hAnsi="Times New Roman"/>
                <w:sz w:val="18"/>
                <w:szCs w:val="18"/>
                <w:color w:val="000000"/>
                <w:w w:val="71"/>
                <w:vertAlign w:val="superscript"/>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List of subsidiaries</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1"/>
              </w:rPr>
              <w:t>23.</w:t>
            </w:r>
            <w:r>
              <w:rPr>
                <w:rFonts w:ascii="Times New Roman" w:cs="Times New Roman" w:eastAsia="Times New Roman" w:hAnsi="Times New Roman"/>
                <w:sz w:val="14"/>
                <w:szCs w:val="14"/>
                <w:u w:val="single" w:color="auto"/>
                <w:color w:val="0000FF"/>
                <w:w w:val="71"/>
              </w:rPr>
              <w:t>1</w:t>
            </w:r>
            <w:r>
              <w:rPr>
                <w:rFonts w:ascii="Times New Roman" w:cs="Times New Roman" w:eastAsia="Times New Roman" w:hAnsi="Times New Roman"/>
                <w:sz w:val="18"/>
                <w:szCs w:val="18"/>
                <w:color w:val="000000"/>
                <w:w w:val="71"/>
                <w:vertAlign w:val="superscript"/>
              </w:rPr>
              <w: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1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120" w:type="dxa"/>
            <w:vAlign w:val="bottom"/>
            <w:vMerge w:val="restart"/>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7,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23,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2,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78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2019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28, 2012</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6, 2013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39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 2015</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2020</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19, 2021</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5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5, 2013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56"/>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4, 2015</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8, 2024</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8, 2024</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8, 2024</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10, 2009</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39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26, 2018</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39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8, 2024</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54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8,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8, 2023</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bl>
    <w:p>
      <w:pPr>
        <w:spacing w:after="0" w:line="1087" w:lineRule="exact"/>
        <w:rPr>
          <w:sz w:val="20"/>
          <w:szCs w:val="20"/>
          <w:color w:val="auto"/>
        </w:rPr>
      </w:pPr>
    </w:p>
    <w:p>
      <w:pPr>
        <w:sectPr>
          <w:pgSz w:w="11900" w:h="16838" w:orient="portrait"/>
          <w:cols w:equalWidth="0" w:num="2">
            <w:col w:w="8700" w:space="100"/>
            <w:col w:w="2380"/>
          </w:cols>
          <w:pgMar w:left="320" w:top="118"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817"/>
        </w:trPr>
        <w:tc>
          <w:tcPr>
            <w:tcW w:w="10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24.</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24"/>
                <w:szCs w:val="24"/>
                <w:color w:val="auto"/>
              </w:rPr>
            </w:pP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Power of Attorney (incorporated by reference to the signature page of this Annual Report on Form 10-K)</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tc>
      </w:tr>
      <w:tr>
        <w:trPr>
          <w:trHeight w:val="20"/>
        </w:trPr>
        <w:tc>
          <w:tcPr>
            <w:tcW w:w="1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tc>
      </w:tr>
      <w:tr>
        <w:trPr>
          <w:trHeight w:val="20"/>
        </w:trPr>
        <w:tc>
          <w:tcPr>
            <w:tcW w:w="10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0" w:type="dxa"/>
            <w:vAlign w:val="bottom"/>
            <w:gridSpan w:val="4"/>
          </w:tcPr>
          <w:p>
            <w:pPr>
              <w:spacing w:after="0" w:line="20" w:lineRule="exact"/>
              <w:rPr>
                <w:sz w:val="1"/>
                <w:szCs w:val="1"/>
                <w:color w:val="auto"/>
              </w:rPr>
            </w:pPr>
          </w:p>
        </w:tc>
      </w:tr>
      <w:tr>
        <w:trPr>
          <w:trHeight w:val="230"/>
        </w:trPr>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40" w:type="dxa"/>
            <w:vAlign w:val="bottom"/>
          </w:tcPr>
          <w:p>
            <w:pPr>
              <w:spacing w:after="0"/>
              <w:rPr>
                <w:sz w:val="20"/>
                <w:szCs w:val="20"/>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w:t>
            </w:r>
          </w:p>
        </w:tc>
      </w:tr>
      <w:tr>
        <w:trPr>
          <w:trHeight w:val="161"/>
        </w:trPr>
        <w:tc>
          <w:tcPr>
            <w:tcW w:w="100" w:type="dxa"/>
            <w:vAlign w:val="bottom"/>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2002</w:t>
            </w:r>
          </w:p>
        </w:tc>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7"/>
        </w:trPr>
        <w:tc>
          <w:tcPr>
            <w:tcW w:w="100" w:type="dxa"/>
            <w:vAlign w:val="bottom"/>
          </w:tcPr>
          <w:p>
            <w:pPr>
              <w:spacing w:after="0"/>
              <w:rPr>
                <w:sz w:val="18"/>
                <w:szCs w:val="18"/>
                <w:color w:val="auto"/>
              </w:rPr>
            </w:pPr>
          </w:p>
        </w:tc>
        <w:tc>
          <w:tcPr>
            <w:tcW w:w="280" w:type="dxa"/>
            <w:vAlign w:val="bottom"/>
            <w:tcBorders>
              <w:bottom w:val="single" w:sz="8" w:color="0000FF"/>
            </w:tcBorders>
          </w:tcPr>
          <w:p>
            <w:pPr>
              <w:spacing w:after="0"/>
              <w:rPr>
                <w:rFonts w:ascii="Times New Roman" w:cs="Times New Roman" w:eastAsia="Times New Roman" w:hAnsi="Times New Roman"/>
                <w:sz w:val="14"/>
                <w:szCs w:val="14"/>
                <w:color w:val="0000FF"/>
                <w:w w:val="97"/>
              </w:rPr>
            </w:pPr>
            <w:hyperlink r:id="rId171">
              <w:r>
                <w:rPr>
                  <w:rFonts w:ascii="Times New Roman" w:cs="Times New Roman" w:eastAsia="Times New Roman" w:hAnsi="Times New Roman"/>
                  <w:sz w:val="14"/>
                  <w:szCs w:val="14"/>
                  <w:color w:val="0000FF"/>
                  <w:w w:val="97"/>
                </w:rPr>
                <w:t>97.</w:t>
              </w:r>
              <w:r>
                <w:rPr>
                  <w:rFonts w:ascii="Times New Roman" w:cs="Times New Roman" w:eastAsia="Times New Roman" w:hAnsi="Times New Roman"/>
                  <w:sz w:val="14"/>
                  <w:szCs w:val="14"/>
                  <w:u w:val="single" w:color="auto"/>
                  <w:color w:val="0000FF"/>
                  <w:w w:val="97"/>
                </w:rPr>
                <w:t>1</w:t>
              </w:r>
            </w:hyperlink>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Recovery Policy</w:t>
            </w: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17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February 6, 2024</w:t>
            </w: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97.1</w:t>
            </w:r>
          </w:p>
        </w:tc>
      </w:tr>
      <w:tr>
        <w:trPr>
          <w:trHeight w:val="322"/>
        </w:trPr>
        <w:tc>
          <w:tcPr>
            <w:tcW w:w="10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r>
              <w:rPr>
                <w:rFonts w:ascii="Times New Roman" w:cs="Times New Roman" w:eastAsia="Times New Roman" w:hAnsi="Times New Roman"/>
                <w:sz w:val="18"/>
                <w:szCs w:val="18"/>
                <w:color w:val="auto"/>
                <w:vertAlign w:val="superscript"/>
              </w:rPr>
              <w:t>*</w:t>
            </w: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r>
      <w:tr>
        <w:trPr>
          <w:trHeight w:val="257"/>
        </w:trPr>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r>
              <w:rPr>
                <w:rFonts w:ascii="Times New Roman" w:cs="Times New Roman" w:eastAsia="Times New Roman" w:hAnsi="Times New Roman"/>
                <w:sz w:val="18"/>
                <w:szCs w:val="18"/>
                <w:color w:val="auto"/>
                <w:vertAlign w:val="superscript"/>
              </w:rPr>
              <w:t>*</w:t>
            </w: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r>
              <w:rPr>
                <w:rFonts w:ascii="Times New Roman" w:cs="Times New Roman" w:eastAsia="Times New Roman" w:hAnsi="Times New Roman"/>
                <w:sz w:val="18"/>
                <w:szCs w:val="18"/>
                <w:color w:val="auto"/>
                <w:vertAlign w:val="superscript"/>
              </w:rPr>
              <w:t>*</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4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r>
              <w:rPr>
                <w:rFonts w:ascii="Times New Roman" w:cs="Times New Roman" w:eastAsia="Times New Roman" w:hAnsi="Times New Roman"/>
                <w:sz w:val="18"/>
                <w:szCs w:val="18"/>
                <w:color w:val="auto"/>
                <w:vertAlign w:val="superscript"/>
              </w:rPr>
              <w:t>*</w:t>
            </w:r>
          </w:p>
        </w:tc>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7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18"/>
                <w:szCs w:val="18"/>
                <w:color w:val="auto"/>
                <w:vertAlign w:val="superscript"/>
              </w:rPr>
              <w:t>*</w:t>
            </w:r>
          </w:p>
        </w:tc>
        <w:tc>
          <w:tcPr>
            <w:tcW w:w="40" w:type="dxa"/>
            <w:vAlign w:val="bottom"/>
          </w:tcPr>
          <w:p>
            <w:pPr>
              <w:spacing w:after="0"/>
              <w:rPr>
                <w:sz w:val="22"/>
                <w:szCs w:val="22"/>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Annual Report on Form 10-K for the year ended December 31, 2024 is formatted in inline XBRL.</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58" w:lineRule="exact"/>
        <w:rPr>
          <w:sz w:val="20"/>
          <w:szCs w:val="20"/>
          <w:color w:val="auto"/>
        </w:rPr>
      </w:pPr>
    </w:p>
    <w:p>
      <w:pPr>
        <w:ind w:right="7060" w:firstLine="8"/>
        <w:spacing w:after="0" w:line="205" w:lineRule="auto"/>
        <w:tabs>
          <w:tab w:leader="none" w:pos="88"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Indicates management compensatory plan, contract or arrangement. * Filed herewith.</w:t>
      </w:r>
    </w:p>
    <w:p>
      <w:pPr>
        <w:ind w:left="420" w:right="520" w:hanging="405"/>
        <w:spacing w:after="0" w:line="28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3" w:right="5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383"/>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 Xie</w:t>
            </w:r>
          </w:p>
        </w:tc>
        <w:tc>
          <w:tcPr>
            <w:tcW w:w="0" w:type="dxa"/>
            <w:vAlign w:val="bottom"/>
          </w:tcPr>
          <w:p>
            <w:pPr>
              <w:spacing w:after="0"/>
              <w:rPr>
                <w:sz w:val="1"/>
                <w:szCs w:val="1"/>
                <w:color w:val="auto"/>
              </w:rPr>
            </w:pPr>
          </w:p>
        </w:tc>
      </w:tr>
      <w:tr>
        <w:trPr>
          <w:trHeight w:val="206"/>
        </w:trPr>
        <w:tc>
          <w:tcPr>
            <w:tcW w:w="4060" w:type="dxa"/>
            <w:vAlign w:val="bottom"/>
          </w:tcPr>
          <w:p>
            <w:pPr>
              <w:spacing w:after="0"/>
              <w:rPr>
                <w:sz w:val="17"/>
                <w:szCs w:val="17"/>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Ken Xie, Chief Executive Officer and Chairman</w:t>
            </w:r>
          </w:p>
        </w:tc>
        <w:tc>
          <w:tcPr>
            <w:tcW w:w="0" w:type="dxa"/>
            <w:vAlign w:val="bottom"/>
          </w:tcPr>
          <w:p>
            <w:pPr>
              <w:spacing w:after="0"/>
              <w:rPr>
                <w:sz w:val="1"/>
                <w:szCs w:val="1"/>
                <w:color w:val="auto"/>
              </w:rPr>
            </w:pPr>
          </w:p>
        </w:tc>
      </w:tr>
      <w:tr>
        <w:trPr>
          <w:trHeight w:val="308"/>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Executive Officer)</w:t>
            </w:r>
          </w:p>
        </w:tc>
        <w:tc>
          <w:tcPr>
            <w:tcW w:w="0" w:type="dxa"/>
            <w:vAlign w:val="bottom"/>
          </w:tcPr>
          <w:p>
            <w:pPr>
              <w:spacing w:after="0"/>
              <w:rPr>
                <w:sz w:val="1"/>
                <w:szCs w:val="1"/>
                <w:color w:val="auto"/>
              </w:rPr>
            </w:pPr>
          </w:p>
        </w:tc>
      </w:tr>
      <w:tr>
        <w:trPr>
          <w:trHeight w:val="4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8"/>
                <w:szCs w:val="18"/>
                <w:color w:val="auto"/>
              </w:rPr>
              <w:t>/s/  Keith Jensen</w:t>
            </w:r>
          </w:p>
        </w:tc>
        <w:tc>
          <w:tcPr>
            <w:tcW w:w="0" w:type="dxa"/>
            <w:vAlign w:val="bottom"/>
          </w:tcPr>
          <w:p>
            <w:pPr>
              <w:spacing w:after="0"/>
              <w:rPr>
                <w:sz w:val="1"/>
                <w:szCs w:val="1"/>
                <w:color w:val="auto"/>
              </w:rPr>
            </w:pPr>
          </w:p>
        </w:tc>
      </w:tr>
      <w:tr>
        <w:trPr>
          <w:trHeight w:val="206"/>
        </w:trPr>
        <w:tc>
          <w:tcPr>
            <w:tcW w:w="4060" w:type="dxa"/>
            <w:vAlign w:val="bottom"/>
          </w:tcPr>
          <w:p>
            <w:pPr>
              <w:spacing w:after="0"/>
              <w:rPr>
                <w:sz w:val="17"/>
                <w:szCs w:val="17"/>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Keith Jensen, Chief Financial Officer</w:t>
            </w:r>
          </w:p>
        </w:tc>
        <w:tc>
          <w:tcPr>
            <w:tcW w:w="0" w:type="dxa"/>
            <w:vAlign w:val="bottom"/>
          </w:tcPr>
          <w:p>
            <w:pPr>
              <w:spacing w:after="0"/>
              <w:rPr>
                <w:sz w:val="1"/>
                <w:szCs w:val="1"/>
                <w:color w:val="auto"/>
              </w:rPr>
            </w:pPr>
          </w:p>
        </w:tc>
      </w:tr>
      <w:tr>
        <w:trPr>
          <w:trHeight w:val="29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w:t>
            </w:r>
          </w:p>
        </w:tc>
        <w:tc>
          <w:tcPr>
            <w:tcW w:w="0" w:type="dxa"/>
            <w:vAlign w:val="bottom"/>
          </w:tcPr>
          <w:p>
            <w:pPr>
              <w:spacing w:after="0"/>
              <w:rPr>
                <w:sz w:val="1"/>
                <w:szCs w:val="1"/>
                <w:color w:val="auto"/>
              </w:rPr>
            </w:pPr>
          </w:p>
        </w:tc>
      </w:tr>
      <w:tr>
        <w:trPr>
          <w:trHeight w:val="43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8"/>
                <w:szCs w:val="18"/>
                <w:color w:val="auto"/>
              </w:rPr>
              <w:t>/s/  Christiane Ohlgart</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 Chief Accounting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21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0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20"/>
        </w:trPr>
        <w:tc>
          <w:tcPr>
            <w:tcW w:w="1500" w:type="dxa"/>
            <w:vAlign w:val="bottom"/>
            <w:tcBorders>
              <w:bottom w:val="single" w:sz="8" w:color="auto"/>
            </w:tcBorders>
            <w:gridSpan w:val="2"/>
          </w:tcPr>
          <w:p>
            <w:pPr>
              <w:ind w:left="130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Ken Xie</w:t>
            </w:r>
          </w:p>
        </w:tc>
        <w:tc>
          <w:tcPr>
            <w:tcW w:w="1580" w:type="dxa"/>
            <w:vAlign w:val="bottom"/>
            <w:tcBorders>
              <w:bottom w:val="single" w:sz="8" w:color="auto"/>
            </w:tcBorders>
          </w:tcPr>
          <w:p>
            <w:pPr>
              <w:spacing w:after="0"/>
              <w:rPr>
                <w:sz w:val="24"/>
                <w:szCs w:val="24"/>
                <w:color w:val="auto"/>
              </w:rPr>
            </w:pP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Ken Xie</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9"/>
              </w:rPr>
              <w:t>Keith Jensen</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256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Keith Jensen</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right="1500"/>
              <w:spacing w:after="0"/>
              <w:rPr>
                <w:sz w:val="20"/>
                <w:szCs w:val="20"/>
                <w:color w:val="auto"/>
              </w:rPr>
            </w:pPr>
            <w:r>
              <w:rPr>
                <w:rFonts w:ascii="Times New Roman" w:cs="Times New Roman" w:eastAsia="Times New Roman" w:hAnsi="Times New Roman"/>
                <w:sz w:val="18"/>
                <w:szCs w:val="18"/>
                <w:color w:val="auto"/>
                <w:w w:val="98"/>
              </w:rPr>
              <w:t>Michael Xie</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Michael Xie</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tcBorders>
              <w:bottom w:val="single" w:sz="8" w:color="auto"/>
            </w:tcBorders>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8"/>
              </w:rPr>
              <w:t>Christiane Ohlgart</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tcBorders>
              <w:bottom w:val="single" w:sz="8" w:color="auto"/>
            </w:tcBorders>
            <w:gridSpan w:val="4"/>
          </w:tcPr>
          <w:p>
            <w:pPr>
              <w:jc w:val="center"/>
              <w:ind w:right="1000"/>
              <w:spacing w:after="0"/>
              <w:rPr>
                <w:sz w:val="20"/>
                <w:szCs w:val="20"/>
                <w:color w:val="auto"/>
              </w:rPr>
            </w:pPr>
            <w:r>
              <w:rPr>
                <w:rFonts w:ascii="Times New Roman" w:cs="Times New Roman" w:eastAsia="Times New Roman" w:hAnsi="Times New Roman"/>
                <w:sz w:val="18"/>
                <w:szCs w:val="18"/>
                <w:color w:val="auto"/>
              </w:rPr>
              <w:t>Kenneth A. Goldman</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Kenneth A. Goldman</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Ming Hsieh</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Ming Hsieh</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50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right="1600"/>
              <w:spacing w:after="0"/>
              <w:rPr>
                <w:sz w:val="20"/>
                <w:szCs w:val="20"/>
                <w:color w:val="auto"/>
              </w:rPr>
            </w:pPr>
            <w:r>
              <w:rPr>
                <w:rFonts w:ascii="Times New Roman" w:cs="Times New Roman" w:eastAsia="Times New Roman" w:hAnsi="Times New Roman"/>
                <w:sz w:val="18"/>
                <w:szCs w:val="18"/>
                <w:color w:val="auto"/>
              </w:rPr>
              <w:t>Jean Hu</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Jean Hu</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3"/>
              </w:rPr>
              <w:t>/s/</w:t>
            </w: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8"/>
                <w:szCs w:val="18"/>
                <w:color w:val="auto"/>
                <w:w w:val="98"/>
              </w:rPr>
              <w:t>Janet Napolitano</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Janet Napolitano</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/s/</w:t>
            </w:r>
          </w:p>
        </w:tc>
        <w:tc>
          <w:tcPr>
            <w:tcW w:w="2560" w:type="dxa"/>
            <w:vAlign w:val="bottom"/>
            <w:tcBorders>
              <w:bottom w:val="single" w:sz="8" w:color="auto"/>
            </w:tcBorders>
            <w:gridSpan w:val="4"/>
          </w:tcPr>
          <w:p>
            <w:pPr>
              <w:jc w:val="center"/>
              <w:ind w:right="1000"/>
              <w:spacing w:after="0"/>
              <w:rPr>
                <w:sz w:val="20"/>
                <w:szCs w:val="20"/>
                <w:color w:val="auto"/>
              </w:rPr>
            </w:pPr>
            <w:r>
              <w:rPr>
                <w:rFonts w:ascii="Times New Roman" w:cs="Times New Roman" w:eastAsia="Times New Roman" w:hAnsi="Times New Roman"/>
                <w:sz w:val="18"/>
                <w:szCs w:val="18"/>
                <w:color w:val="auto"/>
              </w:rPr>
              <w:t>William H. Neukom</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H. Neukom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91"/>
        </w:trPr>
        <w:tc>
          <w:tcPr>
            <w:tcW w:w="1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right="1340"/>
              <w:spacing w:after="0"/>
              <w:rPr>
                <w:sz w:val="20"/>
                <w:szCs w:val="20"/>
                <w:color w:val="auto"/>
              </w:rPr>
            </w:pPr>
            <w:r>
              <w:rPr>
                <w:rFonts w:ascii="Times New Roman" w:cs="Times New Roman" w:eastAsia="Times New Roman" w:hAnsi="Times New Roman"/>
                <w:sz w:val="18"/>
                <w:szCs w:val="18"/>
                <w:color w:val="auto"/>
                <w:w w:val="98"/>
              </w:rPr>
              <w:t>/s/ Judith Sim</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3"/>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Judith Sim</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7"/>
        </w:trPr>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Admiral James Stavridis</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Admiral James Stavridis</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7"/>
        </w:trPr>
        <w:tc>
          <w:tcPr>
            <w:tcW w:w="39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Maggie Wilderotter</w:t>
            </w: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8"/>
              </w:rPr>
              <w:t>February 21, 2025</w:t>
            </w:r>
          </w:p>
        </w:tc>
      </w:tr>
      <w:tr>
        <w:trPr>
          <w:trHeight w:val="232"/>
        </w:trPr>
        <w:tc>
          <w:tcPr>
            <w:tcW w:w="39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Maggie Wilderotter</w:t>
            </w: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120"/>
          </w:cols>
          <w:pgMar w:left="320" w:top="11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118" w:right="45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FORTINET’S SECURITIES REGISTERED</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 OF THE SECURITIES EXCHANGE ACT OF 1934</w:t>
      </w:r>
    </w:p>
    <w:p>
      <w:pPr>
        <w:spacing w:after="0" w:line="297" w:lineRule="exact"/>
        <w:rPr>
          <w:sz w:val="20"/>
          <w:szCs w:val="20"/>
          <w:color w:val="auto"/>
        </w:rPr>
      </w:pPr>
    </w:p>
    <w:p>
      <w:pPr>
        <w:ind w:right="220" w:firstLine="648"/>
        <w:spacing w:after="0" w:line="344" w:lineRule="auto"/>
        <w:rPr>
          <w:sz w:val="20"/>
          <w:szCs w:val="20"/>
          <w:color w:val="auto"/>
        </w:rPr>
      </w:pPr>
      <w:r>
        <w:rPr>
          <w:rFonts w:ascii="Times New Roman" w:cs="Times New Roman" w:eastAsia="Times New Roman" w:hAnsi="Times New Roman"/>
          <w:sz w:val="18"/>
          <w:szCs w:val="18"/>
          <w:color w:val="auto"/>
        </w:rPr>
        <w:t>As of December 31, 2024, Fortinet, Inc. (“we,” “us” or “our”) had one class of securities registered under Section 12 of the Securities Exchange Act of 1934, as amended: our common stock.</w:t>
      </w:r>
    </w:p>
    <w:p>
      <w:pPr>
        <w:spacing w:after="0" w:line="203" w:lineRule="exact"/>
        <w:rPr>
          <w:sz w:val="20"/>
          <w:szCs w:val="20"/>
          <w:color w:val="auto"/>
        </w:rPr>
      </w:pPr>
    </w:p>
    <w:p>
      <w:pPr>
        <w:ind w:right="80" w:firstLine="648"/>
        <w:spacing w:after="0" w:line="385" w:lineRule="auto"/>
        <w:rPr>
          <w:sz w:val="20"/>
          <w:szCs w:val="20"/>
          <w:color w:val="auto"/>
        </w:rPr>
      </w:pPr>
      <w:r>
        <w:rPr>
          <w:rFonts w:ascii="Times New Roman" w:cs="Times New Roman" w:eastAsia="Times New Roman" w:hAnsi="Times New Roman"/>
          <w:sz w:val="17"/>
          <w:szCs w:val="17"/>
          <w:color w:val="auto"/>
        </w:rPr>
        <w:t>The following summary of the terms of our common stock is based upon our restated certificate of incorporation and our amended and restated bylaws and applicable provisions of law. The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Delaware General Corporation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“DGCL”) for additional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97" w:lineRule="exact"/>
        <w:rPr>
          <w:sz w:val="20"/>
          <w:szCs w:val="20"/>
          <w:color w:val="auto"/>
        </w:rPr>
      </w:pPr>
    </w:p>
    <w:p>
      <w:pPr>
        <w:ind w:right="440" w:firstLine="648"/>
        <w:spacing w:after="0" w:line="329" w:lineRule="auto"/>
        <w:rPr>
          <w:sz w:val="20"/>
          <w:szCs w:val="20"/>
          <w:color w:val="auto"/>
        </w:rPr>
      </w:pPr>
      <w:r>
        <w:rPr>
          <w:rFonts w:ascii="Times New Roman" w:cs="Times New Roman" w:eastAsia="Times New Roman" w:hAnsi="Times New Roman"/>
          <w:sz w:val="18"/>
          <w:szCs w:val="18"/>
          <w:color w:val="auto"/>
        </w:rPr>
        <w:t>Our authorized capital stock consists of 1,510,000,000 shares of capital stock, including 1,500,000,000 shares of common stock, par value of $0.001 per share, and 10,000,000 shares of undesignated preferred stock, par value of $0.001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308"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95"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Our restated certificate of incorporation provides for all members of our board of directors to stand for election annually for one-year terms. Our amended and restated bylaws provide for a majority voting standard for uncontested elections of directors.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281" w:lineRule="exact"/>
        <w:rPr>
          <w:sz w:val="20"/>
          <w:szCs w:val="20"/>
          <w:color w:val="auto"/>
        </w:rPr>
      </w:pPr>
    </w:p>
    <w:p>
      <w:pPr>
        <w:ind w:right="180" w:firstLine="648"/>
        <w:spacing w:after="0" w:line="32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310" w:lineRule="exact"/>
        <w:rPr>
          <w:sz w:val="20"/>
          <w:szCs w:val="20"/>
          <w:color w:val="auto"/>
        </w:rPr>
      </w:pPr>
    </w:p>
    <w:p>
      <w:pPr>
        <w:ind w:firstLine="648"/>
        <w:spacing w:after="0" w:line="30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97" w:lineRule="exact"/>
        <w:rPr>
          <w:sz w:val="20"/>
          <w:szCs w:val="20"/>
          <w:color w:val="auto"/>
        </w:rPr>
      </w:pPr>
    </w:p>
    <w:p>
      <w:pPr>
        <w:jc w:val="both"/>
        <w:ind w:right="140" w:firstLine="648"/>
        <w:spacing w:after="0" w:line="321"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95"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216" w:lineRule="exact"/>
        <w:rPr>
          <w:sz w:val="20"/>
          <w:szCs w:val="20"/>
          <w:color w:val="auto"/>
        </w:rPr>
      </w:pPr>
    </w:p>
    <w:p>
      <w:pPr>
        <w:ind w:left="1300" w:right="160" w:hanging="644"/>
        <w:spacing w:after="0" w:line="329" w:lineRule="auto"/>
        <w:tabs>
          <w:tab w:leader="none" w:pos="12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1300" w:right="140" w:hanging="644"/>
        <w:spacing w:after="0" w:line="320" w:lineRule="auto"/>
        <w:tabs>
          <w:tab w:leader="none" w:pos="129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w:t>
      </w:r>
    </w:p>
    <w:p>
      <w:pPr>
        <w:spacing w:after="0" w:line="1" w:lineRule="exact"/>
        <w:rPr>
          <w:rFonts w:ascii="Times New Roman" w:cs="Times New Roman" w:eastAsia="Times New Roman" w:hAnsi="Times New Roman"/>
          <w:sz w:val="17"/>
          <w:szCs w:val="17"/>
          <w:color w:val="auto"/>
        </w:rPr>
      </w:pPr>
    </w:p>
    <w:p>
      <w:pPr>
        <w:ind w:left="1300" w:right="440"/>
        <w:spacing w:after="0" w:line="32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employee participants do not have the right to determine confidentially whether shares held subject to the plan will be tendered in a tender or exchange offer; or</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5" w:lineRule="exact"/>
        <w:rPr>
          <w:sz w:val="20"/>
          <w:szCs w:val="20"/>
          <w:color w:val="auto"/>
        </w:rPr>
      </w:pPr>
    </w:p>
    <w:p>
      <w:pPr>
        <w:ind w:left="1300" w:right="160" w:hanging="644"/>
        <w:spacing w:after="0" w:line="313" w:lineRule="auto"/>
        <w:tabs>
          <w:tab w:leader="none" w:pos="12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216" w:lineRule="exact"/>
        <w:rPr>
          <w:sz w:val="20"/>
          <w:szCs w:val="20"/>
          <w:color w:val="auto"/>
        </w:rPr>
      </w:pPr>
    </w:p>
    <w:p>
      <w:pPr>
        <w:ind w:firstLine="648"/>
        <w:spacing w:after="0" w:line="305"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Restated Certificate of Incorporation and Amended and Restated Bylaw Provisions</w:t>
      </w:r>
    </w:p>
    <w:p>
      <w:pPr>
        <w:spacing w:after="0" w:line="295" w:lineRule="exact"/>
        <w:rPr>
          <w:sz w:val="20"/>
          <w:szCs w:val="20"/>
          <w:color w:val="auto"/>
        </w:rPr>
      </w:pPr>
    </w:p>
    <w:p>
      <w:pPr>
        <w:ind w:right="80" w:firstLine="648"/>
        <w:spacing w:after="0" w:line="329"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include a number of provisions that could deter hostile takeovers or delay or prevent changes in control of our company, including the following:</w:t>
      </w:r>
    </w:p>
    <w:p>
      <w:pPr>
        <w:spacing w:after="0" w:line="187" w:lineRule="exact"/>
        <w:rPr>
          <w:sz w:val="20"/>
          <w:szCs w:val="20"/>
          <w:color w:val="auto"/>
        </w:rPr>
      </w:pPr>
    </w:p>
    <w:p>
      <w:pPr>
        <w:ind w:left="1300" w:right="20" w:hanging="644"/>
        <w:spacing w:after="0" w:line="303" w:lineRule="auto"/>
        <w:tabs>
          <w:tab w:leader="none" w:pos="12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restated certificate of incorporation and our amended and restated bylaws authorize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is permitted to be set only by a resolution adopted by a majority vote of our entire board of directors. These provisions prevent a</w:t>
      </w:r>
    </w:p>
    <w:p>
      <w:pPr>
        <w:spacing w:after="0" w:line="1" w:lineRule="exact"/>
        <w:rPr>
          <w:rFonts w:ascii="Times New Roman" w:cs="Times New Roman" w:eastAsia="Times New Roman" w:hAnsi="Times New Roman"/>
          <w:sz w:val="18"/>
          <w:szCs w:val="18"/>
          <w:color w:val="auto"/>
        </w:rPr>
      </w:pPr>
    </w:p>
    <w:p>
      <w:pPr>
        <w:ind w:left="1300" w:right="2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00" w:lineRule="exact"/>
        <w:rPr>
          <w:rFonts w:ascii="Times New Roman" w:cs="Times New Roman" w:eastAsia="Times New Roman" w:hAnsi="Times New Roman"/>
          <w:sz w:val="18"/>
          <w:szCs w:val="18"/>
          <w:color w:val="auto"/>
        </w:rPr>
      </w:pPr>
    </w:p>
    <w:p>
      <w:pPr>
        <w:ind w:left="1300" w:right="200" w:hanging="644"/>
        <w:spacing w:after="0" w:line="324" w:lineRule="auto"/>
        <w:tabs>
          <w:tab w:leader="none" w:pos="129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Stockholder Action; Special Meetings of Stockholders</w:t>
      </w:r>
      <w:r>
        <w:rPr>
          <w:rFonts w:ascii="Times New Roman" w:cs="Times New Roman" w:eastAsia="Times New Roman" w:hAnsi="Times New Roman"/>
          <w:sz w:val="17"/>
          <w:szCs w:val="17"/>
          <w:color w:val="auto"/>
        </w:rPr>
        <w:t>. Our restated certificate of incorporation provides that our stockholders may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take action by written consent, and may only take action at an annual or special meeting of our stockholders. Our amended and restated</w:t>
      </w:r>
    </w:p>
    <w:p>
      <w:pPr>
        <w:ind w:left="1300" w:right="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 who do not meet the ownership threshold from calling a special meeting. These provisions might delay the ability of our stockholders to force consideration of a proposal or for stockholders to take any action, including the removal of directors.</w:t>
      </w:r>
    </w:p>
    <w:p>
      <w:pPr>
        <w:spacing w:after="0" w:line="221" w:lineRule="exact"/>
        <w:rPr>
          <w:rFonts w:ascii="Times New Roman" w:cs="Times New Roman" w:eastAsia="Times New Roman" w:hAnsi="Times New Roman"/>
          <w:sz w:val="17"/>
          <w:szCs w:val="17"/>
          <w:color w:val="auto"/>
        </w:rPr>
      </w:pPr>
    </w:p>
    <w:p>
      <w:pPr>
        <w:ind w:left="1300" w:hanging="644"/>
        <w:spacing w:after="0" w:line="305" w:lineRule="auto"/>
        <w:tabs>
          <w:tab w:leader="none" w:pos="12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 w:lineRule="exact"/>
        <w:rPr>
          <w:sz w:val="20"/>
          <w:szCs w:val="20"/>
          <w:color w:val="auto"/>
        </w:rPr>
      </w:pPr>
    </w:p>
    <w:p>
      <w:pPr>
        <w:jc w:val="both"/>
        <w:ind w:left="644" w:right="180"/>
        <w:spacing w:after="0" w:line="313" w:lineRule="auto"/>
        <w:rPr>
          <w:sz w:val="20"/>
          <w:szCs w:val="20"/>
          <w:color w:val="auto"/>
        </w:rPr>
      </w:pPr>
      <w:r>
        <w:rPr>
          <w:rFonts w:ascii="Times New Roman" w:cs="Times New Roman" w:eastAsia="Times New Roman" w:hAnsi="Times New Roman"/>
          <w:sz w:val="18"/>
          <w:szCs w:val="18"/>
          <w:color w:val="auto"/>
        </w:rPr>
        <w:t>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14" w:lineRule="exact"/>
        <w:rPr>
          <w:sz w:val="20"/>
          <w:szCs w:val="20"/>
          <w:color w:val="auto"/>
        </w:rPr>
      </w:pPr>
    </w:p>
    <w:p>
      <w:pPr>
        <w:ind w:left="644" w:right="140" w:hanging="644"/>
        <w:spacing w:after="0" w:line="318" w:lineRule="auto"/>
        <w:tabs>
          <w:tab w:leader="none" w:pos="63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Proxy Access</w:t>
      </w:r>
      <w:r>
        <w:rPr>
          <w:rFonts w:ascii="Times New Roman" w:cs="Times New Roman" w:eastAsia="Times New Roman" w:hAnsi="Times New Roman"/>
          <w:sz w:val="17"/>
          <w:szCs w:val="17"/>
          <w:color w:val="auto"/>
        </w:rPr>
        <w:t>. Our amended and restated bylaws provide that, in certain circumstances, a stockholder or group of up to 20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include director candidates that they have nominated in our annual meeting proxy materials. Such stockholder or group of stockholders need to own 3% or more of our outstanding common stock continuously for at least three years (i) preceding and including the date of submission of the nomination notice and (ii) following the date we implemented proxy access in the amended and restated Bylaws, whichever is later. The number of stockholder-nominated candidates appearing in any of our annual meeting proxy materials</w:t>
      </w:r>
    </w:p>
    <w:p>
      <w:pPr>
        <w:spacing w:after="0" w:line="2" w:lineRule="exact"/>
        <w:rPr>
          <w:rFonts w:ascii="Times New Roman" w:cs="Times New Roman" w:eastAsia="Times New Roman" w:hAnsi="Times New Roman"/>
          <w:sz w:val="17"/>
          <w:szCs w:val="17"/>
          <w:color w:val="auto"/>
        </w:rPr>
      </w:pPr>
    </w:p>
    <w:p>
      <w:pPr>
        <w:ind w:left="644"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spacing w:after="0" w:line="200" w:lineRule="exact"/>
        <w:rPr>
          <w:rFonts w:ascii="Times New Roman" w:cs="Times New Roman" w:eastAsia="Times New Roman" w:hAnsi="Times New Roman"/>
          <w:sz w:val="17"/>
          <w:szCs w:val="17"/>
          <w:color w:val="auto"/>
        </w:rPr>
      </w:pPr>
    </w:p>
    <w:p>
      <w:pPr>
        <w:ind w:left="644" w:right="120" w:hanging="644"/>
        <w:spacing w:after="0" w:line="314" w:lineRule="auto"/>
        <w:tabs>
          <w:tab w:leader="none" w:pos="6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restated certificate of incorporation and amended and restated bylaws do not provide for cumulative voting.</w:t>
      </w:r>
    </w:p>
    <w:p>
      <w:pPr>
        <w:spacing w:after="0" w:line="213" w:lineRule="exact"/>
        <w:rPr>
          <w:rFonts w:ascii="Times New Roman" w:cs="Times New Roman" w:eastAsia="Times New Roman" w:hAnsi="Times New Roman"/>
          <w:sz w:val="18"/>
          <w:szCs w:val="18"/>
          <w:color w:val="auto"/>
        </w:rPr>
      </w:pPr>
    </w:p>
    <w:p>
      <w:pPr>
        <w:ind w:left="644" w:hanging="644"/>
        <w:spacing w:after="0" w:line="308" w:lineRule="auto"/>
        <w:tabs>
          <w:tab w:leader="none" w:pos="6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0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amended and restated bylaws provide that, unless we consent in writing to the selection of alternate forum, the</w:t>
      </w:r>
    </w:p>
    <w:p>
      <w:pPr>
        <w:spacing w:after="0" w:line="65" w:lineRule="exact"/>
        <w:rPr>
          <w:rFonts w:ascii="Times New Roman" w:cs="Times New Roman" w:eastAsia="Times New Roman" w:hAnsi="Times New Roman"/>
          <w:sz w:val="18"/>
          <w:szCs w:val="18"/>
          <w:color w:val="auto"/>
        </w:rPr>
      </w:pPr>
    </w:p>
    <w:p>
      <w:pPr>
        <w:ind w:left="644" w:right="200"/>
        <w:spacing w:after="0" w:line="3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of Chancery of the State of Delaware (or, if the Court of Chancery does not have jurisdiction, the United States District Court for the District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restated certificate of incorporation or our amended and restated bylaws; (iv) any action to interpret, apply, enforce or determine the</w:t>
      </w:r>
    </w:p>
    <w:p>
      <w:pPr>
        <w:spacing w:after="0" w:line="2" w:lineRule="exact"/>
        <w:rPr>
          <w:rFonts w:ascii="Times New Roman" w:cs="Times New Roman" w:eastAsia="Times New Roman" w:hAnsi="Times New Roman"/>
          <w:sz w:val="18"/>
          <w:szCs w:val="18"/>
          <w:color w:val="auto"/>
        </w:rPr>
      </w:pPr>
    </w:p>
    <w:p>
      <w:pPr>
        <w:ind w:left="644" w:right="16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our restated certificate of incorporation or our amended and restated bylaws; or (v) any action asserting a claim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w:t>
      </w:r>
    </w:p>
    <w:p>
      <w:pPr>
        <w:sectPr>
          <w:pgSz w:w="11900" w:h="16838" w:orient="portrait"/>
          <w:cols w:equalWidth="0" w:num="1">
            <w:col w:w="10584"/>
          </w:cols>
          <w:pgMar w:left="976" w:top="1440" w:right="339" w:bottom="1440" w:gutter="0" w:footer="0" w:header="0"/>
        </w:sectPr>
      </w:pPr>
    </w:p>
    <w:bookmarkStart w:id="129" w:name="page130"/>
    <w:bookmarkEnd w:id="129"/>
    <w:p>
      <w:pPr>
        <w:spacing w:after="0" w:line="5" w:lineRule="exact"/>
        <w:rPr>
          <w:sz w:val="20"/>
          <w:szCs w:val="20"/>
          <w:color w:val="auto"/>
        </w:rPr>
      </w:pPr>
    </w:p>
    <w:p>
      <w:pPr>
        <w:ind w:left="1300"/>
        <w:spacing w:after="0" w:line="313" w:lineRule="auto"/>
        <w:rPr>
          <w:sz w:val="20"/>
          <w:szCs w:val="20"/>
          <w:color w:val="auto"/>
        </w:rPr>
      </w:pPr>
      <w:r>
        <w:rPr>
          <w:rFonts w:ascii="Times New Roman" w:cs="Times New Roman" w:eastAsia="Times New Roman" w:hAnsi="Times New Roman"/>
          <w:sz w:val="18"/>
          <w:szCs w:val="18"/>
          <w:color w:val="auto"/>
        </w:rPr>
        <w:t>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“FTNT.”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160"/>
          </w:cols>
          <w:pgMar w:left="320" w:top="1440" w:right="41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FORTINET,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Amended in February 2025</w:t>
      </w:r>
    </w:p>
    <w:p>
      <w:pPr>
        <w:sectPr>
          <w:pgSz w:w="11900" w:h="16838" w:orient="portrait"/>
          <w:cols w:equalWidth="0" w:num="1">
            <w:col w:w="9019"/>
          </w:cols>
          <w:pgMar w:left="1440" w:top="1440"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10760" w:type="dxa"/>
            <w:vAlign w:val="bottom"/>
            <w:gridSpan w:val="3"/>
          </w:tcPr>
          <w:p>
            <w:pPr>
              <w:ind w:left="45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19"/>
                <w:szCs w:val="19"/>
                <w:color w:val="auto"/>
              </w:rPr>
            </w:pPr>
          </w:p>
        </w:tc>
      </w:tr>
      <w:tr>
        <w:trPr>
          <w:trHeight w:val="264"/>
        </w:trPr>
        <w:tc>
          <w:tcPr>
            <w:tcW w:w="4500" w:type="dxa"/>
            <w:vAlign w:val="bottom"/>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4140" w:type="dxa"/>
            <w:vAlign w:val="bottom"/>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281"/>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INTRODUCTION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Legal prohibitions on insider trading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Detection and prosecution of insider trading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Penalties for violation of insider trading laws and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Compliance Officer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Reporting violations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Personal responsibility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525"/>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INDIVIDUALS AND TRANSACTIONS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Individuals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Types of transactions covered by this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Responsibilities regarding the nonpublic information of other companies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Applicability of this Policy after your departure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exceptions based on personal circumstances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525"/>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“Material”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525"/>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POLICIES REGARDING 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Confidentiality of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trading on material nonpublic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disclosing material nonpublic information for the benefit of others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Responding to outside inquiries for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525"/>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TRADING BLACKOUT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Quarterly blackout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Special blackout periods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Regulation BTR blackouts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No “safe harbors”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526"/>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PRE-CLEARANCE OF TRADES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525"/>
        </w:trPr>
        <w:tc>
          <w:tcPr>
            <w:tcW w:w="10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ADDITIONAL RESTRICTIONS AND GUIDANCE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Short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Derivative securities and hedging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6"/>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Using Company securities as collateral for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7"/>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Holding Company securities in margin accounts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58"/>
        </w:trPr>
        <w:tc>
          <w:tcPr>
            <w:tcW w:w="1076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Placing open orders with brokers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bl>
    <w:p>
      <w:pPr>
        <w:sectPr>
          <w:pgSz w:w="11900" w:h="16838" w:orient="portrait"/>
          <w:cols w:equalWidth="0" w:num="1">
            <w:col w:w="11160"/>
          </w:cols>
          <w:pgMar w:left="380" w:top="1070" w:right="359" w:bottom="1440" w:gutter="0" w:footer="0" w:header="0"/>
        </w:sectPr>
      </w:pPr>
    </w:p>
    <w:bookmarkStart w:id="132" w:name="page133"/>
    <w:bookmarkEnd w:id="132"/>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LIMITED EXCEPTIONS</w:t>
            </w:r>
          </w:p>
        </w:tc>
        <w:tc>
          <w:tcPr>
            <w:tcW w:w="2160" w:type="dxa"/>
            <w:vAlign w:val="bottom"/>
          </w:tcPr>
          <w:p>
            <w:pPr>
              <w:spacing w:after="0"/>
              <w:rPr>
                <w:sz w:val="22"/>
                <w:szCs w:val="22"/>
                <w:color w:val="auto"/>
              </w:rPr>
            </w:pPr>
          </w:p>
        </w:tc>
      </w:tr>
      <w:tr>
        <w:trPr>
          <w:trHeight w:val="256"/>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Transactions pursuant to a trading plan that complies with SEC rules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Receipt and vesting of stock options, restricted stock and stock appreciation rights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Exercise of stock options for cash</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Restricted stock units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Certain 401(k) plan transactions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2"/>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Stock splits, stock dividends and similar transactions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61"/>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i w:val="1"/>
                <w:iCs w:val="1"/>
                <w:color w:val="auto"/>
              </w:rPr>
              <w:t xml:space="preserve">Bona fide </w:t>
            </w:r>
            <w:r>
              <w:rPr>
                <w:rFonts w:ascii="Times New Roman" w:cs="Times New Roman" w:eastAsia="Times New Roman" w:hAnsi="Times New Roman"/>
                <w:sz w:val="20"/>
                <w:szCs w:val="20"/>
                <w:color w:val="auto"/>
              </w:rPr>
              <w:t>gifts and inheritance</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Change in form of ownership</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58"/>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 exceptions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52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COMPLIANCE WITH SECTION 16 OF THE SECURITIES EXCHANGE ACT</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Obligations under Section 16</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Notification requirements to facilitate Section 16 reporting</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Personal responsibility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525"/>
        </w:trPr>
        <w:tc>
          <w:tcPr>
            <w:tcW w:w="9000" w:type="dxa"/>
            <w:vAlign w:val="bottom"/>
          </w:tcPr>
          <w:p>
            <w:pPr>
              <w:spacing w:after="0"/>
              <w:rPr>
                <w:sz w:val="20"/>
                <w:szCs w:val="20"/>
                <w:color w:val="auto"/>
              </w:rPr>
            </w:pPr>
            <w:r>
              <w:rPr>
                <w:rFonts w:ascii="Times New Roman" w:cs="Times New Roman" w:eastAsia="Times New Roman" w:hAnsi="Times New Roman"/>
                <w:sz w:val="20"/>
                <w:szCs w:val="20"/>
                <w:color w:val="auto"/>
              </w:rPr>
              <w:t>ADDITIONAL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7"/>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Delivery of Policy</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8"/>
        </w:trPr>
        <w:tc>
          <w:tcPr>
            <w:tcW w:w="90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Amendments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bl>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SCHEDULE I (Individuals subject to quarterly blackout periods)</w:t>
      </w: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SCHEDULE II (Individuals subject to pre-clearance requirements)</w:t>
      </w: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SCHEDULE III (Individuals subject to Section 16 reporting and liability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1220"/>
          </w:cols>
          <w:pgMar w:left="320" w:top="1129" w:right="3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29"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color w:val="auto"/>
        </w:rPr>
        <w:t>Fortinet, Inc. (together with its subsidiaries,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opposes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prohibitions on insider trading</w:t>
      </w:r>
    </w:p>
    <w:p>
      <w:pPr>
        <w:spacing w:after="0" w:line="2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1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Times New Roman" w:cs="Times New Roman" w:eastAsia="Times New Roman" w:hAnsi="Times New Roman"/>
          <w:sz w:val="20"/>
          <w:szCs w:val="20"/>
          <w:b w:val="1"/>
          <w:bCs w:val="1"/>
          <w:i w:val="1"/>
          <w:iCs w:val="1"/>
          <w:color w:val="auto"/>
        </w:rPr>
        <w:t>tipping</w:t>
      </w:r>
      <w:r>
        <w:rPr>
          <w:rFonts w:ascii="Times New Roman" w:cs="Times New Roman" w:eastAsia="Times New Roman" w:hAnsi="Times New Roman"/>
          <w:sz w:val="20"/>
          <w:szCs w:val="20"/>
          <w:color w:val="auto"/>
        </w:rPr>
        <w:t>”) is also illegal. Both the person who provides the information, recommendation or opinion and the person who trades based on it may be liable.</w:t>
      </w:r>
    </w:p>
    <w:p>
      <w:pPr>
        <w:spacing w:after="0" w:line="182" w:lineRule="exact"/>
        <w:rPr>
          <w:sz w:val="20"/>
          <w:szCs w:val="20"/>
          <w:color w:val="auto"/>
        </w:rPr>
      </w:pPr>
    </w:p>
    <w:p>
      <w:pPr>
        <w:jc w:val="both"/>
        <w:ind w:right="20" w:firstLine="324"/>
        <w:spacing w:after="0" w:line="273" w:lineRule="auto"/>
        <w:rPr>
          <w:sz w:val="20"/>
          <w:szCs w:val="20"/>
          <w:color w:val="auto"/>
        </w:rPr>
      </w:pPr>
      <w:r>
        <w:rPr>
          <w:rFonts w:ascii="Times New Roman" w:cs="Times New Roman" w:eastAsia="Times New Roman" w:hAnsi="Times New Roman"/>
          <w:sz w:val="20"/>
          <w:szCs w:val="20"/>
          <w:color w:val="auto"/>
        </w:rPr>
        <w:t>These illegal activities are commonly referred to as “</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 State securities laws and securities laws of other jurisdictions also impose restrictions on insider trading.</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In addition, a company, as well as individual directors, officers and other supervisory personnel, may be subject to liability as “controlling persons or individuals” for failure to take appropriate steps to prevent insider trading by those under their supervision, influence or control.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Detection and prosecution of insider trading</w:t>
      </w:r>
    </w:p>
    <w:p>
      <w:pPr>
        <w:spacing w:after="0" w:line="21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color w:val="auto"/>
        </w:rPr>
        <w:t>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Financial Industry Regulatory Authority and the Nasdaq Stock Market, Inc.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Penalties for violation of insider trading laws and this Policy</w:t>
      </w:r>
    </w:p>
    <w:p>
      <w:pPr>
        <w:spacing w:after="0" w:line="216" w:lineRule="exact"/>
        <w:rPr>
          <w:sz w:val="20"/>
          <w:szCs w:val="20"/>
          <w:color w:val="auto"/>
        </w:rPr>
      </w:pPr>
    </w:p>
    <w:p>
      <w:pPr>
        <w:jc w:val="both"/>
        <w:ind w:right="20" w:firstLine="324"/>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Civil and criminal penalties. </w:t>
      </w:r>
      <w:r>
        <w:rPr>
          <w:rFonts w:ascii="Times New Roman" w:cs="Times New Roman" w:eastAsia="Times New Roman" w:hAnsi="Times New Roman"/>
          <w:sz w:val="20"/>
          <w:szCs w:val="20"/>
          <w:color w:val="auto"/>
        </w:rPr>
        <w:t>As of the effective date of this Policy, potential penalties for insider trading violations under U.S. federal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securities laws include:</w:t>
      </w:r>
    </w:p>
    <w:p>
      <w:pPr>
        <w:spacing w:after="0" w:line="34" w:lineRule="exact"/>
        <w:rPr>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damages in a private lawsuit;</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disgorging any profits made or losses avoided;</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imprisonment for up to 20 years;</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fines of up to $5 million for individuals and $25 million for entities;</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fines of up to three times the profit gained or loss avoided;</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bar against serving as an officer or director of a public company; and</w:t>
      </w:r>
    </w:p>
    <w:p>
      <w:pPr>
        <w:spacing w:after="0" w:line="6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injunction against future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240"/>
          </w:cols>
          <w:pgMar w:left="320" w:top="1301" w:right="339" w:bottom="1440" w:gutter="0" w:footer="0" w:header="0"/>
        </w:sectPr>
      </w:pPr>
    </w:p>
    <w:bookmarkStart w:id="134" w:name="page135"/>
    <w:bookmarkEnd w:id="134"/>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Civil and criminal penalties also apply to tipping. The SEC has imposed large penalties in tipping cases even when the disclosing person did not trade or gain any benefit from another person’s trading.</w:t>
      </w:r>
    </w:p>
    <w:p>
      <w:pPr>
        <w:spacing w:after="0" w:line="142"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Controlling person liability. </w:t>
      </w:r>
      <w:r>
        <w:rPr>
          <w:rFonts w:ascii="Times New Roman" w:cs="Times New Roman" w:eastAsia="Times New Roman" w:hAnsi="Times New Roman"/>
          <w:sz w:val="20"/>
          <w:szCs w:val="20"/>
          <w:color w:val="auto"/>
        </w:rPr>
        <w:t>As of the effective date of this Policy, the penalty for “controlling person” liability is a civil fine of up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greater of $2.3 million or three times the profit gained or loss avoided as a result of the insider trading violations, as well as potential criminal fines and imprisonment.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Company disciplinary actions. </w:t>
      </w:r>
      <w:r>
        <w:rPr>
          <w:rFonts w:ascii="Times New Roman" w:cs="Times New Roman" w:eastAsia="Times New Roman" w:hAnsi="Times New Roman"/>
          <w:sz w:val="20"/>
          <w:szCs w:val="20"/>
          <w:color w:val="auto"/>
        </w:rPr>
        <w:t>If the Company has a reasonable basis to conclude that you have failed to comply with this Policy, you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Officer</w:t>
      </w: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Please direct any questions, requests or reports as to any of the matters discussed in this Policy to the General Counsel of the Company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The Compliance Officer is generally responsible for the administration of this Policy. The Compliance Officer may select others to assist with the execution of his or her duties.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If you wish to remain anonymous, send a letter addressed to the Compliance Officer at 899 Kifer Road, Sunnyvale, CA 94086. If you make an anonymous report, please provide as much detail as possible, including any evidence that you believe may be relevant to the issue.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2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 The rules relating to insider trading can be complex, and a violation of insider trading laws can carry severe consequences.</w:t>
      </w:r>
    </w:p>
    <w:p>
      <w:pPr>
        <w:spacing w:after="0" w:line="161"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For clarity, it is your personal responsibility to ensure that you do not trade, directly or indirectly, in Fortinet stock, if you are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240"/>
          </w:cols>
          <w:pgMar w:left="320" w:top="1197" w:right="339" w:bottom="1440" w:gutter="0" w:footer="0" w:header="0"/>
        </w:sectPr>
      </w:pPr>
    </w:p>
    <w:bookmarkStart w:id="135" w:name="page136"/>
    <w:bookmarkEnd w:id="135"/>
    <w:p>
      <w:pPr>
        <w:ind w:left="2560"/>
        <w:spacing w:after="0"/>
        <w:rPr>
          <w:sz w:val="20"/>
          <w:szCs w:val="20"/>
          <w:color w:val="auto"/>
        </w:rPr>
      </w:pPr>
      <w:r>
        <w:rPr>
          <w:rFonts w:ascii="Times New Roman" w:cs="Times New Roman" w:eastAsia="Times New Roman" w:hAnsi="Times New Roman"/>
          <w:sz w:val="20"/>
          <w:szCs w:val="20"/>
          <w:b w:val="1"/>
          <w:bCs w:val="1"/>
          <w:color w:val="auto"/>
        </w:rPr>
        <w:t>INDIVIDUALS AND TRANSACTIONS COVERED BY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Individuals covered by this Policy</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This Policy applies to all directors, officers, employees and agents (such as consultants and independent contractors) of the Company. References in this Policy to “you” (as well as general references to directors, officers, employees and agents of the Company) should also be understood to include members of your immediate family, individuals with whom you share a household, individuals that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Additionally, the Company will not transact in its securities unless in compliance with U.S. securities 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 of transactions covered by this Policy</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this Policy applies to </w:t>
      </w:r>
      <w:r>
        <w:rPr>
          <w:rFonts w:ascii="Times New Roman" w:cs="Times New Roman" w:eastAsia="Times New Roman" w:hAnsi="Times New Roman"/>
          <w:sz w:val="20"/>
          <w:szCs w:val="20"/>
          <w:i w:val="1"/>
          <w:iCs w:val="1"/>
          <w:color w:val="auto"/>
        </w:rPr>
        <w:t>all</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0"/>
          <w:szCs w:val="20"/>
          <w:i w:val="1"/>
          <w:iCs w:val="1"/>
          <w:color w:val="auto"/>
        </w:rPr>
        <w:t>involving</w:t>
      </w:r>
      <w:r>
        <w:rPr>
          <w:rFonts w:ascii="Times New Roman" w:cs="Times New Roman" w:eastAsia="Times New Roman" w:hAnsi="Times New Roman"/>
          <w:sz w:val="20"/>
          <w:szCs w:val="20"/>
          <w:color w:val="auto"/>
        </w:rPr>
        <w:t xml:space="preserve"> the securities of the Company or the securities of other companies as to which you possess material nonpublic information obtained in the course of your service with the Company. This Policy therefore applies to purchases, sales and other transfers of common stock, options, warrants, preferred stock, debt securities (such as debentures, bonds and notes) and other securities.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regarding the nonpublic information of other companies</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Applicability of this Policy after your departure</w:t>
      </w:r>
    </w:p>
    <w:p>
      <w:pPr>
        <w:spacing w:after="0" w:line="202"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color w:val="auto"/>
        </w:rPr>
        <w:t xml:space="preserve">You are expected to comply with this Policy until such time as you are no longer affiliated with the Company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you no longer possess any material nonpublic information subject to this Policy. In addition, if you are subject to a trading blackout under this Policy at the time you cease to be affiliated with the Company, you are expected to abide by the applicable trading restrictions until at least the end of the relevant blackout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exceptions based on personal circumstances</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240"/>
          </w:cols>
          <w:pgMar w:left="320" w:top="1085" w:right="339" w:bottom="1440" w:gutter="0" w:footer="0" w:header="0"/>
        </w:sectPr>
      </w:pPr>
    </w:p>
    <w:bookmarkStart w:id="136" w:name="page137"/>
    <w:bookmarkEnd w:id="136"/>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MATERIAL NONPUBLIC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information</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spacing w:after="0" w:line="186"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would often be regarded as material include information with respect to:</w:t>
      </w:r>
    </w:p>
    <w:p>
      <w:pPr>
        <w:spacing w:after="0" w:line="65" w:lineRule="exact"/>
        <w:rPr>
          <w:sz w:val="20"/>
          <w:szCs w:val="20"/>
          <w:color w:val="auto"/>
        </w:rPr>
      </w:pPr>
    </w:p>
    <w:p>
      <w:pPr>
        <w:ind w:left="1300" w:hanging="320"/>
        <w:spacing w:after="0" w:line="269"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financial condition, earnings pre-announcements, guidance, projections or forecasts, particularly if inconsistent with the expectations of the investment community;</w:t>
      </w:r>
    </w:p>
    <w:p>
      <w:pPr>
        <w:spacing w:after="0" w:line="6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Restatements of financial results, or material impairments, write-offs or restructurings;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121"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38" w:lineRule="exact"/>
        <w:rPr>
          <w:rFonts w:ascii="Times New Roman" w:cs="Times New Roman" w:eastAsia="Times New Roman" w:hAnsi="Times New Roman"/>
          <w:sz w:val="20"/>
          <w:szCs w:val="20"/>
          <w:color w:val="auto"/>
        </w:rPr>
      </w:pPr>
    </w:p>
    <w:p>
      <w:pPr>
        <w:ind w:left="1300" w:hanging="320"/>
        <w:spacing w:after="0" w:line="283"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or product introductions, modifications, outages or performance issues or significant pricing changes or other service or product announcements of a significant nature;</w:t>
      </w:r>
    </w:p>
    <w:p>
      <w:pPr>
        <w:spacing w:after="0" w:line="3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or relating to intellectual property;</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actual or threatened;</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incidents or data breaches;</w:t>
      </w:r>
    </w:p>
    <w:p>
      <w:pPr>
        <w:spacing w:after="0" w:line="107" w:lineRule="exact"/>
        <w:rPr>
          <w:rFonts w:ascii="Times New Roman" w:cs="Times New Roman" w:eastAsia="Times New Roman" w:hAnsi="Times New Roman"/>
          <w:sz w:val="20"/>
          <w:szCs w:val="20"/>
          <w:color w:val="auto"/>
        </w:rPr>
      </w:pPr>
    </w:p>
    <w:p>
      <w:pPr>
        <w:jc w:val="both"/>
        <w:ind w:left="1300" w:hanging="320"/>
        <w:spacing w:after="0" w:line="261"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73" w:lineRule="exact"/>
        <w:rPr>
          <w:rFonts w:ascii="Times New Roman" w:cs="Times New Roman" w:eastAsia="Times New Roman" w:hAnsi="Times New Roman"/>
          <w:sz w:val="20"/>
          <w:szCs w:val="20"/>
          <w:color w:val="auto"/>
        </w:rPr>
      </w:pPr>
    </w:p>
    <w:p>
      <w:pPr>
        <w:ind w:left="1300" w:right="20" w:hanging="320"/>
        <w:spacing w:after="0" w:line="283"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3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lay-offs.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240"/>
          </w:cols>
          <w:pgMar w:left="320" w:top="1440" w:right="339" w:bottom="1440" w:gutter="0" w:footer="0" w:header="0"/>
        </w:sectPr>
      </w:pPr>
    </w:p>
    <w:bookmarkStart w:id="137" w:name="page138"/>
    <w:bookmarkEnd w:id="137"/>
    <w:p>
      <w:pPr>
        <w:jc w:val="both"/>
        <w:ind w:firstLine="324"/>
        <w:spacing w:after="0" w:line="310" w:lineRule="auto"/>
        <w:rPr>
          <w:sz w:val="20"/>
          <w:szCs w:val="20"/>
          <w:color w:val="auto"/>
        </w:rPr>
      </w:pPr>
      <w:r>
        <w:rPr>
          <w:rFonts w:ascii="Times New Roman" w:cs="Times New Roman" w:eastAsia="Times New Roman" w:hAnsi="Times New Roman"/>
          <w:sz w:val="19"/>
          <w:szCs w:val="19"/>
          <w:color w:val="auto"/>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“Nonpublic” information</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 xml:space="preserve">Information is considered nonpublic if the information has not been broadly disseminated to the public for a sufficient period to be reflected in the price of the security. As a general rule, information should be considered nonpublic until at least </w:t>
      </w:r>
      <w:r>
        <w:rPr>
          <w:rFonts w:ascii="Times New Roman" w:cs="Times New Roman" w:eastAsia="Times New Roman" w:hAnsi="Times New Roman"/>
          <w:sz w:val="20"/>
          <w:szCs w:val="20"/>
          <w:b w:val="1"/>
          <w:bCs w:val="1"/>
          <w:i w:val="1"/>
          <w:iCs w:val="1"/>
          <w:color w:val="auto"/>
        </w:rPr>
        <w:t>one full trading day</w:t>
      </w:r>
      <w:r>
        <w:rPr>
          <w:rFonts w:ascii="Times New Roman" w:cs="Times New Roman" w:eastAsia="Times New Roman" w:hAnsi="Times New Roman"/>
          <w:sz w:val="20"/>
          <w:szCs w:val="20"/>
          <w:color w:val="auto"/>
        </w:rPr>
        <w:t xml:space="preserve"> has elapsed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spacing w:after="0" w:line="175" w:lineRule="exact"/>
        <w:rPr>
          <w:sz w:val="20"/>
          <w:szCs w:val="20"/>
          <w:color w:val="auto"/>
        </w:rPr>
      </w:pPr>
    </w:p>
    <w:p>
      <w:pPr>
        <w:jc w:val="both"/>
        <w:ind w:right="20" w:firstLine="324"/>
        <w:spacing w:after="0" w:line="287" w:lineRule="auto"/>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national stock exchanges are open for trading. A “</w:t>
      </w:r>
      <w:r>
        <w:rPr>
          <w:rFonts w:ascii="Times New Roman" w:cs="Times New Roman" w:eastAsia="Times New Roman" w:hAnsi="Times New Roman"/>
          <w:sz w:val="20"/>
          <w:szCs w:val="20"/>
          <w:b w:val="1"/>
          <w:bCs w:val="1"/>
          <w:i w:val="1"/>
          <w:iCs w:val="1"/>
          <w:color w:val="auto"/>
        </w:rPr>
        <w:t>full</w:t>
      </w:r>
      <w:r>
        <w:rPr>
          <w:rFonts w:ascii="Times New Roman" w:cs="Times New Roman" w:eastAsia="Times New Roman" w:hAnsi="Times New Roman"/>
          <w:sz w:val="20"/>
          <w:szCs w:val="20"/>
          <w:color w:val="auto"/>
        </w:rPr>
        <w:t>” trading day has elapsed when, after the public disclosure, trading in the relevant security has opened and then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240"/>
          </w:cols>
          <w:pgMar w:left="320" w:top="1305" w:right="339" w:bottom="1440" w:gutter="0" w:footer="0" w:header="0"/>
        </w:sectPr>
      </w:pPr>
    </w:p>
    <w:bookmarkStart w:id="138" w:name="page139"/>
    <w:bookmarkEnd w:id="138"/>
    <w:p>
      <w:pPr>
        <w:ind w:left="2580"/>
        <w:spacing w:after="0"/>
        <w:rPr>
          <w:sz w:val="20"/>
          <w:szCs w:val="20"/>
          <w:color w:val="auto"/>
        </w:rPr>
      </w:pPr>
      <w:r>
        <w:rPr>
          <w:rFonts w:ascii="Times New Roman" w:cs="Times New Roman" w:eastAsia="Times New Roman" w:hAnsi="Times New Roman"/>
          <w:sz w:val="20"/>
          <w:szCs w:val="20"/>
          <w:b w:val="1"/>
          <w:bCs w:val="1"/>
          <w:color w:val="auto"/>
        </w:rPr>
        <w:t>POLICIES REGARDING MATERIAL NONPUBLIC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Confidentiality of nonpublic information</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into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spacing w:after="0" w:line="1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All directors, officers, employees and agents of the Company are required to sign and comply with an At Will Employment, Confidential Information, Invention Assignment, and Arbitration Agreement or similar agreement. Regardless of such agreement, you are responsible to maintain the confidentiality of the Company’s confidential or proprietary information and to use such information only for the benefit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trading on material nonpublic information</w:t>
      </w:r>
    </w:p>
    <w:p>
      <w:pPr>
        <w:spacing w:after="0" w:line="216"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xml:space="preserve">”, you may not, directly or indirectly through others, engage in any transaction involving the Company’s securities </w:t>
      </w:r>
      <w:r>
        <w:rPr>
          <w:rFonts w:ascii="Times New Roman" w:cs="Times New Roman" w:eastAsia="Times New Roman" w:hAnsi="Times New Roman"/>
          <w:sz w:val="20"/>
          <w:szCs w:val="20"/>
          <w:i w:val="1"/>
          <w:iCs w:val="1"/>
          <w:color w:val="auto"/>
        </w:rPr>
        <w:t>while aware of</w:t>
      </w:r>
      <w:r>
        <w:rPr>
          <w:rFonts w:ascii="Times New Roman" w:cs="Times New Roman" w:eastAsia="Times New Roman" w:hAnsi="Times New Roman"/>
          <w:sz w:val="20"/>
          <w:szCs w:val="20"/>
          <w:color w:val="auto"/>
        </w:rPr>
        <w:t xml:space="preserve"> material nonpublic information relating to the Company (other than pursuant to a 10b5-1 Plan (as discussed more fully later in this Policy) entered into in accordance with this Policy. It is not an excuse that you did not “use” the information in your transaction.</w:t>
      </w:r>
    </w:p>
    <w:p>
      <w:pPr>
        <w:spacing w:after="0" w:line="1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cs="Times New Roman" w:eastAsia="Times New Roman" w:hAnsi="Times New Roman"/>
          <w:sz w:val="20"/>
          <w:szCs w:val="20"/>
          <w:b w:val="1"/>
          <w:bCs w:val="1"/>
          <w:color w:val="auto"/>
        </w:rPr>
        <w:t>Limited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Exceptions</w:t>
      </w:r>
      <w:r>
        <w:rPr>
          <w:rFonts w:ascii="Times New Roman" w:cs="Times New Roman" w:eastAsia="Times New Roman" w:hAnsi="Times New Roman"/>
          <w:sz w:val="20"/>
          <w:szCs w:val="20"/>
          <w:color w:val="auto"/>
        </w:rPr>
        <w:t>”). For example, you may be involved in a proposed transaction involving a prospective business relationship or transaction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disclosing material nonpublic information for the benefit of others</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240"/>
          </w:cols>
          <w:pgMar w:left="320" w:top="1085" w:right="339" w:bottom="1440" w:gutter="0" w:footer="0" w:header="0"/>
        </w:sectPr>
      </w:pPr>
    </w:p>
    <w:bookmarkStart w:id="139" w:name="page140"/>
    <w:bookmarkEnd w:id="139"/>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 the securities of companies to which such information relates. You are prohibited from engaging in these actions whether or not you derive any profit or personal benefit from doing so.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Responding to outside inquiries for information</w:t>
      </w:r>
    </w:p>
    <w:p>
      <w:pPr>
        <w:spacing w:after="0" w:line="23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In the event you receive an inquiry from someone outside of the Company, such as a stock analyst, for information, you should consult the Company’s External Communications Policy to determine to whom the request should be referred.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240"/>
          </w:cols>
          <w:pgMar w:left="320" w:top="1305"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TRADING BLACKOUT PERIODS</w:t>
      </w:r>
    </w:p>
    <w:p>
      <w:pPr>
        <w:spacing w:after="0" w:line="2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To limit the likelihood of trading at times when there is a significant risk of insider trading exposure, the Company has instituted quarterly trading blackout periods and may institute special trading blackout periods from time to time. In addition, to comply with applicable legal requirements, the Company may also institute blackout periods that prevent directors and officers from trading in Company securities at a time when employees are prevented from trading Company securities in the Company’s 401(k) plan.</w:t>
      </w:r>
    </w:p>
    <w:p>
      <w:pPr>
        <w:spacing w:after="0" w:line="187"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blackout periods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directors, officers and other employees and agents identified by the Company must refrain from conducting transactions involving the Company’s securities during quarterly blackout periods (other than pursuant to a 10b5-1 Plan or entered into in accordance with this Policy).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Quarterly blackout periods begin at the end of the tenth calendar day of the third month of each fiscal quarter (i.e. March 10, June 10, September 10 and December 10) and end at the start of the second full trading day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18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color w:val="auto"/>
        </w:rPr>
        <w:t xml:space="preserve">Individuals subject to quarterly blackout periods are listed on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xml:space="preserve">. From time to time, the Company may identify other individuals who should be subject to quarterly blackout periods, and the Compliance Officer may update and revise </w:t>
      </w:r>
      <w:r>
        <w:rPr>
          <w:rFonts w:ascii="Times New Roman" w:cs="Times New Roman" w:eastAsia="Times New Roman" w:hAnsi="Times New Roman"/>
          <w:sz w:val="20"/>
          <w:szCs w:val="20"/>
          <w:b w:val="1"/>
          <w:bCs w:val="1"/>
          <w:color w:val="auto"/>
        </w:rPr>
        <w:t>Schedule I</w:t>
      </w:r>
      <w:r>
        <w:rPr>
          <w:rFonts w:ascii="Times New Roman" w:cs="Times New Roman" w:eastAsia="Times New Roman" w:hAnsi="Times New Roman"/>
          <w:sz w:val="20"/>
          <w:szCs w:val="20"/>
          <w:color w:val="auto"/>
        </w:rPr>
        <w:t xml:space="preserve"> as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blackout periods</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From time to time, the Company may also prohibit directors, officers, employees and agents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However, special blackout periods may be declared for any reason.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Company will notify those individuals subject to a special blackout period. Each individual who has been so identified and notified by the Company may not engage in any transaction involving the Company’s securities until instructed otherwise by the Compliance Officer, and should not disclose to others the fact of such suspension of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40"/>
          </w:cols>
          <w:pgMar w:left="320" w:top="108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Regulation BTR blackouts</w:t>
      </w:r>
    </w:p>
    <w:p>
      <w:pPr>
        <w:spacing w:after="0" w:line="23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9"/>
          <w:szCs w:val="19"/>
          <w:color w:val="auto"/>
        </w:rPr>
        <w:t>Directors and executive officers may also be subject to trading blackouts pursuant to Regulation Blackout Trading Restriction, or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w:t>
      </w:r>
    </w:p>
    <w:p>
      <w:pPr>
        <w:spacing w:after="0" w:line="164"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“safe harbors”</w:t>
      </w:r>
    </w:p>
    <w:p>
      <w:pPr>
        <w:spacing w:after="0" w:line="2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individuals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40"/>
          </w:cols>
          <w:pgMar w:left="320" w:top="1301"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PRE-CLEARANCE OF TRADES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Except as discussed in the section entitled “</w:t>
      </w:r>
      <w:r>
        <w:rPr>
          <w:rFonts w:ascii="Times New Roman" w:cs="Times New Roman" w:eastAsia="Times New Roman" w:hAnsi="Times New Roman"/>
          <w:sz w:val="20"/>
          <w:szCs w:val="20"/>
          <w:b w:val="1"/>
          <w:bCs w:val="1"/>
          <w:color w:val="auto"/>
        </w:rPr>
        <w:t>Limited Exceptions</w:t>
      </w:r>
      <w:r>
        <w:rPr>
          <w:rFonts w:ascii="Times New Roman" w:cs="Times New Roman" w:eastAsia="Times New Roman" w:hAnsi="Times New Roman"/>
          <w:sz w:val="20"/>
          <w:szCs w:val="20"/>
          <w:color w:val="auto"/>
        </w:rPr>
        <w:t>”, the Company has determined that members of the Board of Directors, officers and members of executive staff, or e-staff, of the Company and certain other employees and agents of the Company that may have regular or special access to material nonpublic information should refrain from engaging in any transaction involving the Company’s securities without first obtaining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clearance of the transaction from the Compliance Officer. Individuals subject to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are listed on </w:t>
      </w: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 From time to time, the Company may identify other individuals who should be subject to the pre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clearance requirements set forth above, and the Compliance Officer may update and revise </w:t>
      </w: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 xml:space="preserve"> as appropriate.</w:t>
      </w:r>
    </w:p>
    <w:p>
      <w:pPr>
        <w:spacing w:after="0" w:line="1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These pre-clearance procedures are intended to decrease insider trading risks associated with transactions by individuals with regular or special access to material nonpublic information. Pre-clearance of a trade, however, is not a defense to a claim of insider trading and does not excuse you from otherwise complying with insider trading laws or this Policy.</w:t>
      </w:r>
    </w:p>
    <w:p>
      <w:pPr>
        <w:spacing w:after="0" w:line="181"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20"/>
          <w:szCs w:val="20"/>
          <w:color w:val="auto"/>
        </w:rPr>
        <w:t>The Compliance Officer is under no obligation to approve a transaction submitted for pre-clearance, and may determine not to permit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240"/>
          </w:cols>
          <w:pgMar w:left="320" w:top="1085"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color w:val="auto"/>
        </w:rPr>
        <w:t>ADDITIONAL RESTRICTIONS AND GUIDANCE</w:t>
      </w:r>
    </w:p>
    <w:p>
      <w:pPr>
        <w:spacing w:after="0" w:line="2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 sales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Short sales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sale of a security that must be borrowed to make delivery) and “selling short against the box”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 securities and hedging transactions</w:t>
      </w: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All employees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Transactions in derivative securities may reflect a short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individuals engaging in derivatives transactions run an increased risk of violating securities laws if not careful.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Using Company securities as collateral for loans</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If you are required to comply with Section 16 of the Securities Exchange Act or the blackout periods or pre-clearance requirements under this Policy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if you are listed on </w:t>
      </w:r>
      <w:r>
        <w:rPr>
          <w:rFonts w:ascii="Times New Roman" w:cs="Times New Roman" w:eastAsia="Times New Roman" w:hAnsi="Times New Roman"/>
          <w:sz w:val="20"/>
          <w:szCs w:val="20"/>
          <w:b w:val="1"/>
          <w:bCs w:val="1"/>
          <w:color w:val="auto"/>
        </w:rPr>
        <w:t>Schedule I,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 BTR violations (for officers and directors), violations of this Policy and unfavorable publicity for you and the Company. For these same reasons, even if you are not prohibited from pledging Company securities as collateral for loans, you should exercise caution when doing so.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Holding Company securities in margin accounts</w:t>
      </w:r>
    </w:p>
    <w:p>
      <w:pPr>
        <w:spacing w:after="0" w:line="233"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If you are required to comply with Section 16 of the Securities Exchange Act or the blackout periods or pre-clearance requirements under this Policy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if you are listed on </w:t>
      </w:r>
      <w:r>
        <w:rPr>
          <w:rFonts w:ascii="Times New Roman" w:cs="Times New Roman" w:eastAsia="Times New Roman" w:hAnsi="Times New Roman"/>
          <w:sz w:val="20"/>
          <w:szCs w:val="20"/>
          <w:b w:val="1"/>
          <w:bCs w:val="1"/>
          <w:color w:val="auto"/>
        </w:rPr>
        <w:t>Schedule I,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 you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240"/>
          </w:cols>
          <w:pgMar w:left="320" w:top="1085" w:right="339" w:bottom="1440" w:gutter="0" w:footer="0" w:header="0"/>
        </w:sectPr>
      </w:pPr>
    </w:p>
    <w:bookmarkStart w:id="144" w:name="page145"/>
    <w:bookmarkEnd w:id="144"/>
    <w:p>
      <w:pPr>
        <w:jc w:val="both"/>
        <w:spacing w:after="0" w:line="253" w:lineRule="auto"/>
        <w:rPr>
          <w:sz w:val="20"/>
          <w:szCs w:val="20"/>
          <w:color w:val="auto"/>
        </w:rPr>
      </w:pPr>
      <w:r>
        <w:rPr>
          <w:rFonts w:ascii="Times New Roman" w:cs="Times New Roman" w:eastAsia="Times New Roman" w:hAnsi="Times New Roman"/>
          <w:sz w:val="20"/>
          <w:szCs w:val="20"/>
          <w:color w:val="auto"/>
        </w:rPr>
        <w:t>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 BTR violations (for officers and directors), violations of this Policy and unfavorable publicity for you and the Company. For these same reasons, even if you are not prohibited from holding Company securities in margin accounts, you should exercise caution when doing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Placing open orders with brokers</w:t>
      </w:r>
    </w:p>
    <w:p>
      <w:pPr>
        <w:spacing w:after="0" w:line="2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and Reg. BTR violations (for officers and directors), violations of this Policy and unfavorable publicity for you and the Company. If you are subject to blackout periods or pre-clearance requirements, you should so inform any broker with whom you place any open order at the time it is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240"/>
          </w:cols>
          <w:pgMar w:left="320" w:top="1305"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LIMITED EXCEPTIONS</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Transactions pursuant to a trading plan that complies with SEC rules</w:t>
      </w:r>
    </w:p>
    <w:p>
      <w:pPr>
        <w:spacing w:after="0" w:line="22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Securities Exchange Act, provide for an affirmative defense if you enter into a contract, provide instructions or adopt a written plan for trading securities when you are not aware of material nonpublic information and the plan meets certain other requirements, including a “cooling-off period” and, for members of the Board of Directors and officers (as defined in Rule 16a-1(f)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Section 16 Officers</w:t>
      </w:r>
      <w:r>
        <w:rPr>
          <w:rFonts w:ascii="Times New Roman" w:cs="Times New Roman" w:eastAsia="Times New Roman" w:hAnsi="Times New Roman"/>
          <w:sz w:val="20"/>
          <w:szCs w:val="20"/>
          <w:color w:val="auto"/>
        </w:rPr>
        <w:t>”), contains certain certifications.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Transactions made pursuant to a written trading plan that (i) complies with the affirmative defense set forth in Rule 10b5-1 and (ii) are approved by the Compliance Officer, are not subject to the restrictions in this Policy against trades made while aware of material nonpublic information or to the pre-clearance procedures or blackout periods established under this Policy. In approving a trading plan, the Compliance Officer may, in furtherance of the objectives expressed in this Policy, impose criteria in addition to those set forth in Rule 10b5-1. You should therefore confer with the Compliance Officer prior to entering into any trading plan.</w:t>
      </w:r>
    </w:p>
    <w:p>
      <w:pPr>
        <w:spacing w:after="0" w:line="17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 The Company may elect not to approve any request to approve a 10b5-1 trading plan, to allow only certain individuals to enact such plans, to only approve plans with certain requirements, and to impose restrictions in addition to those proposed by an insider such as not to allow trades outside of the Trading Plan.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The Company has requirements that apply to any 10b5-1 plan. Any such plan must be filed with the Compliance Officer of the Company and satisfy all criteria established by the Company. The Company may and, with respect to 10b5-1 plans adopted by members of the Board of Directors or Section 16 Officers is required to, publicly disclose information regarding trading plans that you enter. Please refer to these requirements for more information, and contact the Stock Administration Department for this information.</w:t>
      </w:r>
    </w:p>
    <w:p>
      <w:pPr>
        <w:spacing w:after="0" w:line="172"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Unless pursuant to an exception approved in advance in writing (which may be by e-mail) by the CEO, CFO and Compliance Officer, any purchase or sale transactions by members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240"/>
          </w:cols>
          <w:pgMar w:left="320" w:top="1085" w:right="339" w:bottom="1440" w:gutter="0" w:footer="0" w:header="0"/>
        </w:sectPr>
      </w:pPr>
    </w:p>
    <w:bookmarkStart w:id="146" w:name="page147"/>
    <w:bookmarkEnd w:id="146"/>
    <w:p>
      <w:pPr>
        <w:jc w:val="both"/>
        <w:spacing w:after="0" w:line="261" w:lineRule="auto"/>
        <w:rPr>
          <w:sz w:val="20"/>
          <w:szCs w:val="20"/>
          <w:color w:val="auto"/>
        </w:rPr>
      </w:pPr>
      <w:r>
        <w:rPr>
          <w:rFonts w:ascii="Times New Roman" w:cs="Times New Roman" w:eastAsia="Times New Roman" w:hAnsi="Times New Roman"/>
          <w:sz w:val="20"/>
          <w:szCs w:val="20"/>
          <w:color w:val="auto"/>
        </w:rPr>
        <w:t>Directors and members of executive staff, or e-staff, of the Company may only occur through a 10b5-1 trading plan. The Company has existing relationships with a number of brokerage firms, and the Stock Administration Department can assist in helping to put such a plan in place.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and vesting of stock options, restricted stock and stock appreciation rights</w:t>
      </w:r>
    </w:p>
    <w:p>
      <w:pPr>
        <w:spacing w:after="0" w:line="22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acceptance or purchase of stock options, restricted stock or stock appreciation rights issued or offered by the Company. The trading restrictions under this Policy also do not apply to the vesting, cancellation or forfeiture of stock options, restricted stock or stock appreciation rights in accordance with applicable plans and agreements.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stock options for cash</w:t>
      </w:r>
    </w:p>
    <w:p>
      <w:pPr>
        <w:spacing w:after="0" w:line="2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the settlement of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pursuant to a net settlement or a “sale to cover” for non-discretionary, automatic tax withholdings initiated and approved by the Company for the payment of taxes upon the vesting of RSUs.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401(k) plan transactions</w:t>
      </w:r>
    </w:p>
    <w:p>
      <w:pPr>
        <w:spacing w:after="0" w:line="2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percentage of your contributions that will be allocated to a Company stock fund, (ii) move balances into or out of a Company stock fund, (iii) borrow money against your 401(k) plan account if the loan will result in liquidation of some or all of your Company stock fund balance, and (iv) pre-pay a plan loan if the pre-payment will result in the allocation of loan proceeds to a Company stock fund.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splits, stock dividends and similar transactions</w:t>
      </w:r>
    </w:p>
    <w:p>
      <w:pPr>
        <w:spacing w:after="0" w:line="220" w:lineRule="exact"/>
        <w:rPr>
          <w:sz w:val="20"/>
          <w:szCs w:val="20"/>
          <w:color w:val="auto"/>
        </w:rPr>
      </w:pPr>
    </w:p>
    <w:p>
      <w:pPr>
        <w:jc w:val="both"/>
        <w:ind w:right="20" w:firstLine="324"/>
        <w:spacing w:after="0" w:line="283" w:lineRule="auto"/>
        <w:rPr>
          <w:sz w:val="20"/>
          <w:szCs w:val="20"/>
          <w:color w:val="auto"/>
        </w:rPr>
      </w:pPr>
      <w:r>
        <w:rPr>
          <w:rFonts w:ascii="Times New Roman" w:cs="Times New Roman" w:eastAsia="Times New Roman" w:hAnsi="Times New Roman"/>
          <w:sz w:val="20"/>
          <w:szCs w:val="20"/>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Bona fide </w:t>
      </w:r>
      <w:r>
        <w:rPr>
          <w:rFonts w:ascii="Times New Roman" w:cs="Times New Roman" w:eastAsia="Times New Roman" w:hAnsi="Times New Roman"/>
          <w:sz w:val="20"/>
          <w:szCs w:val="20"/>
          <w:b w:val="1"/>
          <w:bCs w:val="1"/>
          <w:color w:val="auto"/>
        </w:rPr>
        <w:t>gifts and inheritance</w:t>
      </w:r>
    </w:p>
    <w:p>
      <w:pPr>
        <w:spacing w:after="0" w:line="216"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20"/>
          <w:szCs w:val="20"/>
          <w:color w:val="auto"/>
        </w:rPr>
        <w:t xml:space="preserve">The trading restrictions under this Policy do not apply to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involving Company securities or transfers by will or the laws of descent and distribution. However, unless approved in advance by the Compliance Officer, you may not make a gift, charitable contribution or other transfer without consideration of our securities during a period when you cannot otherwise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240"/>
          </w:cols>
          <w:pgMar w:left="320" w:top="130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color w:val="auto"/>
        </w:rPr>
        <w:t>Change in form of ownership</w:t>
      </w:r>
    </w:p>
    <w:p>
      <w:pPr>
        <w:spacing w:after="0" w:line="233"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20"/>
          <w:szCs w:val="20"/>
          <w:color w:val="auto"/>
        </w:rPr>
        <w:t xml:space="preserve">Transactions that involve merely a change in the form in which you own securities are permissible. For example, you may transfer shares to an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trust of which you are the sole beneficiary during your lifetime.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exceptions</w:t>
      </w:r>
    </w:p>
    <w:p>
      <w:pPr>
        <w:spacing w:after="0" w:line="220"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Any other exception from this Policy must be approved by the Compliance Officer, in consultation with the Board of Directors or an independent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1240"/>
          </w:cols>
          <w:pgMar w:left="320" w:top="1301" w:right="339" w:bottom="1440" w:gutter="0" w:footer="0" w:header="0"/>
        </w:sectPr>
      </w:pPr>
    </w:p>
    <w:bookmarkStart w:id="148" w:name="page149"/>
    <w:bookmarkEnd w:id="148"/>
    <w:p>
      <w:pPr>
        <w:ind w:left="2180"/>
        <w:spacing w:after="0"/>
        <w:rPr>
          <w:sz w:val="20"/>
          <w:szCs w:val="20"/>
          <w:color w:val="auto"/>
        </w:rPr>
      </w:pPr>
      <w:r>
        <w:rPr>
          <w:rFonts w:ascii="Times New Roman" w:cs="Times New Roman" w:eastAsia="Times New Roman" w:hAnsi="Times New Roman"/>
          <w:sz w:val="20"/>
          <w:szCs w:val="20"/>
          <w:b w:val="1"/>
          <w:bCs w:val="1"/>
          <w:color w:val="auto"/>
        </w:rPr>
        <w:t>COMPLIANCE WITH SECTION 16 OF THE SECURITIES EXCHANGE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under Section 16</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Section 16 of the Securities Exchange Act of 1934, and the related rules and regulations, set forth (i) reporting obligations, (ii) limitations on “short-swing” transactions and (iii) limitations on short sales and other transactions applicable to directors, officers, large shareholders and certain other individuals.</w:t>
      </w:r>
    </w:p>
    <w:p>
      <w:pPr>
        <w:spacing w:after="0" w:line="177"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color w:val="auto"/>
        </w:rPr>
        <w:t xml:space="preserve">The Company has determined that those individuals listed on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xml:space="preserve"> are required to comply with Section 16 of the Securities Exchange Act of 1934, and the related rules and regulations, because of their positions with the Company. The Compliance Officer may amend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xml:space="preserve"> from time to time as appropriate to reflect the election of new officers or directors, any change in the responsibilities of officers or other employees and any promotions, demotions, resignations or departures.</w:t>
      </w:r>
    </w:p>
    <w:p>
      <w:pPr>
        <w:spacing w:after="0" w:line="164"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Schedule III </w:t>
      </w:r>
      <w:r>
        <w:rPr>
          <w:rFonts w:ascii="Times New Roman" w:cs="Times New Roman" w:eastAsia="Times New Roman" w:hAnsi="Times New Roman"/>
          <w:sz w:val="20"/>
          <w:szCs w:val="20"/>
          <w:color w:val="auto"/>
        </w:rPr>
        <w:t>is not necessarily an exhaustive list of person’s subject to Section 16 requirements at any given time. Even if you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listed on </w:t>
      </w:r>
      <w:r>
        <w:rPr>
          <w:rFonts w:ascii="Times New Roman" w:cs="Times New Roman" w:eastAsia="Times New Roman" w:hAnsi="Times New Roman"/>
          <w:sz w:val="20"/>
          <w:szCs w:val="20"/>
          <w:b w:val="1"/>
          <w:bCs w:val="1"/>
          <w:color w:val="auto"/>
        </w:rPr>
        <w:t>Schedule III</w:t>
      </w:r>
      <w:r>
        <w:rPr>
          <w:rFonts w:ascii="Times New Roman" w:cs="Times New Roman" w:eastAsia="Times New Roman" w:hAnsi="Times New Roman"/>
          <w:sz w:val="20"/>
          <w:szCs w:val="20"/>
          <w:color w:val="auto"/>
        </w:rPr>
        <w:t>, you may be subject to Section 16 reporting obligations because of your shareholdings, for example.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requirements to facilitate Section 16 reporting</w:t>
      </w:r>
    </w:p>
    <w:p>
      <w:pPr>
        <w:spacing w:after="0" w:line="22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trade date, number of shares, exact price, </w:t>
      </w:r>
      <w:r>
        <w:rPr>
          <w:rFonts w:ascii="Times New Roman" w:cs="Times New Roman" w:eastAsia="Times New Roman" w:hAnsi="Times New Roman"/>
          <w:sz w:val="20"/>
          <w:szCs w:val="20"/>
          <w:i w:val="1"/>
          <w:iCs w:val="1"/>
          <w:color w:val="auto"/>
        </w:rPr>
        <w:t>etc.</w:t>
      </w:r>
      <w:r>
        <w:rPr>
          <w:rFonts w:ascii="Times New Roman" w:cs="Times New Roman" w:eastAsia="Times New Roman" w:hAnsi="Times New Roman"/>
          <w:sz w:val="20"/>
          <w:szCs w:val="20"/>
          <w:color w:val="auto"/>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Personal responsibility</w:t>
      </w:r>
    </w:p>
    <w:p>
      <w:pPr>
        <w:spacing w:after="0" w:line="23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240"/>
          </w:cols>
          <w:pgMar w:left="320" w:top="1085"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Delivery of Policy</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This Policy will be delivered to all directors, officers, employees and agents of the Company when they commence service with the Company. In addition, this Policy (or a summary of this Policy) will be circulated periodically. Each director, officer, employee and agent of the Company is required to acknowledge that he or she understands, and agrees to comply with, this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i w:val="1"/>
          <w:iCs w:val="1"/>
          <w:color w:val="auto"/>
        </w:rPr>
        <w:t>Nothing in this Insider Trading Policy creates or implies an employment contract or term of employment. Employment at the Company is employment at-will where permitted. Employment at-will may be terminated with or without cause and with or without notice at any time by the employee or the Company. Nothing in this Insider Trading Policy shall limit the right to terminate employment at-will. In jurisdictions where at-will employment is legally permitted,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spacing w:after="0" w:line="187"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20"/>
          <w:szCs w:val="20"/>
          <w:i w:val="1"/>
          <w:iCs w:val="1"/>
          <w:color w:val="auto"/>
        </w:rPr>
        <w:t>The policies in this Insider Trading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Fortinet Insider Trading Policy (As Amended 2025-Feb)</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1240"/>
          </w:cols>
          <w:pgMar w:left="320" w:top="1085" w:right="339" w:bottom="1440" w:gutter="0" w:footer="0" w:header="0"/>
        </w:sectPr>
      </w:pPr>
    </w:p>
    <w:bookmarkStart w:id="150" w:name="page151"/>
    <w:bookmarkEnd w:id="150"/>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I</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b w:val="1"/>
          <w:bCs w:val="1"/>
          <w:color w:val="auto"/>
        </w:rPr>
        <w:t>QUARTERLY BLACKOUT PERIODS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Board of Directors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executive staff members as defined by those included on the e-staff email alias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CFO organization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Corporate Development Department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IT Department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Legal Department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individuals that certify quarterly financial statements</w:t>
      </w:r>
    </w:p>
    <w:p>
      <w:pPr>
        <w:spacing w:after="0" w:line="24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All individuals who are a listed user of Clari, Leaderboard, Salesforce or Tableau (or other) systems and who are identified by the Information Technology team to Stock Administration as having access through those systems to worldwide sales and/or billings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the sales Vice Presidents reporting into the CEO, the direct reports of such sales Vice Presidents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 reports of the CTO</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assistant of the CEO and CFO</w:t>
      </w:r>
    </w:p>
    <w:p>
      <w:pPr>
        <w:sectPr>
          <w:pgSz w:w="11900" w:h="16838" w:orient="portrait"/>
          <w:cols w:equalWidth="0" w:num="1">
            <w:col w:w="10780"/>
          </w:cols>
          <w:pgMar w:left="320" w:top="1440" w:right="79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PRE-CLEARANCE REQUIREMENTS</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members of the Board of Directors and members of executive staff, or e-staff, may only trade under 10b5-1 plans and are subject to pre-approval of their 10b5-1 plans. Unless pursuant to an exception approved in advance in writing (which may be by e-mail) by the CEO, CFO and Compliance Officer, Executive members of e-staff and members of the Board of Directors are required to only complete sale transactions of the Company’s stock only through a 10b5-1 trading plan.</w:t>
      </w:r>
    </w:p>
    <w:p>
      <w:pPr>
        <w:spacing w:after="0" w:line="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All individuals who are a listed user of Clari, Leaderboard, Salesforce or Tableau (or other) systems and who are identified by the Information Technology team to Stock Administration as having access through those systems to worldwide sales and/or billings results.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assistant of the CEO and CFO.</w:t>
      </w:r>
    </w:p>
    <w:p>
      <w:pPr>
        <w:sectPr>
          <w:pgSz w:w="11900" w:h="16838" w:orient="portrait"/>
          <w:cols w:equalWidth="0" w:num="1">
            <w:col w:w="11240"/>
          </w:cols>
          <w:pgMar w:left="320" w:top="1409" w:right="339" w:bottom="1440" w:gutter="0" w:footer="0" w:header="0"/>
        </w:sectPr>
      </w:pPr>
    </w:p>
    <w:bookmarkStart w:id="152" w:name="page153"/>
    <w:bookmarkEnd w:id="152"/>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III</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SUBJECT TO</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SECTION 16 REPORTING AND LIABILITY PROVISIONS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members of the Board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Ken Xie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Xie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Whittle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Keith Jensen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Christiane Ohlgart</w:t>
      </w:r>
    </w:p>
    <w:p>
      <w:pPr>
        <w:sectPr>
          <w:pgSz w:w="11900" w:h="16838" w:orient="portrait"/>
          <w:cols w:equalWidth="0" w:num="1">
            <w:col w:w="10139"/>
          </w:cols>
          <w:pgMar w:left="320" w:top="1409"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FORTINET, INC. SUBSIDIARIES</w:t>
            </w:r>
          </w:p>
        </w:tc>
      </w:tr>
      <w:tr>
        <w:trPr>
          <w:trHeight w:val="25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4"/>
        </w:trPr>
        <w:tc>
          <w:tcPr>
            <w:tcW w:w="3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Australia Pty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Austria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Belgium BV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Network Security Brasil LTDA.</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(Canada) ULC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Holdings 1504 Enterprises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Holdings 1502 Enterprises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International,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Fortinet Information Technology (Beijing) Co.,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Colombia S.A.S.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Denmark ApS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Finland Oy</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S.A.R.L.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Technologies India Private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Volon Cyber Security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PT Fortinet Indonesia Security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Israel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Italy S.R.L.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Japan G.K.</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Korea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Malaysia SDN. BHD.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Networks Mauritius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Mexico, S. de R.L. de C.V.</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B.V.</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NZ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Philippines,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Poland sp. z o.o.</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Portugal, Unipessoal Lda</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Security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Networks Romania S.R.L.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Singapore Private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Spain SL</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Switzerland GmbH</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Security Network (Thailand)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Fortinet Turkey Güvenlik Sistemleri Limited Şirketi</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Branch Holding Company</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Federal, Inc.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Fortinet Holding LLC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Fortinet UK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Holdings,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Cayman, LLC</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USA, Inc.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UK Limited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HK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Linksys PTE LTD</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Linksys Trading (Shanghai) Co., Ltd.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Holdings 1 K.K.</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Holdings 2 K.K.</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Alaxala Networks Corporation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Australia Pty Limited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0740"/>
          </w:cols>
          <w:pgMar w:left="820" w:top="887"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Technology Canada Inc.</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Denmark ApS</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Denmark</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France SAS</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France</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Germany GmbH</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Iceland ehf.</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Iceland</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Security India Private Limited</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Ireland Limited</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Netherlands B.V.</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Singapore PTE. Limited</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Sweden AB</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Switzerland GmbH</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Inc.</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Lacework Branch Holding Company</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U.S.A.</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 EMEA Ltd</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DLP AS</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Norway</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DLP, Inc.</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U.S.A.</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Next DLP Holdings Limited</w:t>
            </w:r>
          </w:p>
        </w:tc>
        <w:tc>
          <w:tcPr>
            <w:tcW w:w="6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 DLP Limited</w:t>
            </w:r>
          </w:p>
        </w:tc>
        <w:tc>
          <w:tcPr>
            <w:tcW w:w="61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0260"/>
          </w:cols>
          <w:pgMar w:left="820" w:top="1093" w:right="8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333-253341 on Form S-3 and Registration Statement Nos. 333-229894, 333-223246, 333-216362, 333-209783, 333-202402, 333-194281, 333-186921, 333-179751, 333-172459, and 333-163367 on Form S-8 of our reports dated February 21, 2025, relating to the financial statements of Fortinet, Inc. and the effectiveness of Fortinet, Inc.’s internal control over financial reporting, appearing in this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2025</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21,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2024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52"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Annual Report on Form 10-K of Fortinet, Inc. for the fiscal year ended December 31, 2024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2025</w:t>
            </w: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920" w:type="dxa"/>
            <w:vAlign w:val="bottom"/>
          </w:tcPr>
          <w:p>
            <w:pPr>
              <w:spacing w:after="0"/>
              <w:rPr>
                <w:sz w:val="15"/>
                <w:szCs w:val="15"/>
                <w:color w:val="auto"/>
              </w:rPr>
            </w:pPr>
          </w:p>
        </w:tc>
        <w:tc>
          <w:tcPr>
            <w:tcW w:w="270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lowerRoman"/>
      <w:start w:val="1"/>
    </w:lvl>
  </w:abstractNum>
  <w:abstractNum w:abstractNumId="27">
    <w:nsid w:val="79A1DEAA"/>
    <w:multiLevelType w:val="hybridMultilevel"/>
    <w:lvl w:ilvl="0">
      <w:lvlJc w:val="left"/>
      <w:lvlText w:val="(%1)"/>
      <w:numFmt w:val="lowerRoman"/>
      <w:start w:val="3"/>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lvl w:ilvl="1">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2"/>
    </w:lvl>
  </w:abstractNum>
  <w:abstractNum w:abstractNumId="47">
    <w:nsid w:val="3F6AB60F"/>
    <w:multiLevelType w:val="hybridMultilevel"/>
    <w:lvl w:ilvl="0">
      <w:lvlJc w:val="left"/>
      <w:lvlText w:val="%1."/>
      <w:numFmt w:val="decimal"/>
      <w:start w:val="3"/>
    </w:lvl>
  </w:abstractNum>
  <w:abstractNum w:abstractNumId="48">
    <w:nsid w:val="61574095"/>
    <w:multiLevelType w:val="hybridMultilevel"/>
    <w:lvl w:ilvl="0">
      <w:lvlJc w:val="left"/>
      <w:lvlText w:val="%1."/>
      <w:numFmt w:val="decimal"/>
      <w:start w:val="6"/>
    </w:lvl>
  </w:abstractNum>
  <w:abstractNum w:abstractNumId="49">
    <w:nsid w:val="7E0C57B1"/>
    <w:multiLevelType w:val="hybridMultilevel"/>
    <w:lvl w:ilvl="0">
      <w:lvlJc w:val="left"/>
      <w:lvlText w:val="%1."/>
      <w:numFmt w:val="decimal"/>
      <w:start w:val="7"/>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9"/>
    </w:lvl>
  </w:abstractNum>
  <w:abstractNum w:abstractNumId="52">
    <w:nsid w:val="310C50B3"/>
    <w:multiLevelType w:val="hybridMultilevel"/>
    <w:lvl w:ilvl="0">
      <w:lvlJc w:val="left"/>
      <w:lvlText w:val="%1."/>
      <w:numFmt w:val="decimal"/>
      <w:start w:val="10"/>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1"/>
    </w:lvl>
  </w:abstractNum>
  <w:abstractNum w:abstractNumId="55">
    <w:nsid w:val="25A70BF7"/>
    <w:multiLevelType w:val="hybridMultilevel"/>
    <w:lvl w:ilvl="0">
      <w:lvlJc w:val="left"/>
      <w:lvlText w:val="%1."/>
      <w:numFmt w:val="decimal"/>
      <w:start w:val="12"/>
    </w:lvl>
  </w:abstractNum>
  <w:abstractNum w:abstractNumId="56">
    <w:nsid w:val="1DBABF00"/>
    <w:multiLevelType w:val="hybridMultilevel"/>
    <w:lvl w:ilvl="0">
      <w:lvlJc w:val="left"/>
      <w:lvlText w:val="%1."/>
      <w:numFmt w:val="decimal"/>
      <w:start w:val="13"/>
    </w:lvl>
  </w:abstractNum>
  <w:abstractNum w:abstractNumId="57">
    <w:nsid w:val="4AD084E9"/>
    <w:multiLevelType w:val="hybridMultilevel"/>
    <w:lvl w:ilvl="0">
      <w:lvlJc w:val="left"/>
      <w:lvlText w:val="%1."/>
      <w:numFmt w:val="decimal"/>
      <w:start w:val="14"/>
    </w:lvl>
  </w:abstractNum>
  <w:abstractNum w:abstractNumId="58">
    <w:nsid w:val="1F48EAA1"/>
    <w:multiLevelType w:val="hybridMultilevel"/>
    <w:lvl w:ilvl="0">
      <w:lvlJc w:val="left"/>
      <w:lvlText w:val="%1."/>
      <w:numFmt w:val="decimal"/>
      <w:start w:val="15"/>
    </w:lvl>
  </w:abstractNum>
  <w:abstractNum w:abstractNumId="59">
    <w:nsid w:val="1381823A"/>
    <w:multiLevelType w:val="hybridMultilevel"/>
    <w:lvl w:ilvl="0">
      <w:lvlJc w:val="left"/>
      <w:lvlText w:val="%1."/>
      <w:numFmt w:val="decimal"/>
      <w:start w:val="16"/>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7"/>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70"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49" Type="http://schemas.openxmlformats.org/officeDocument/2006/relationships/hyperlink" Target="https://www.sec.gov/Archives/edgar/data/1262039/000126203923000032/ftnt-ex33_20230630x10q.htm" TargetMode="External"/><Relationship Id="rId150" Type="http://schemas.openxmlformats.org/officeDocument/2006/relationships/hyperlink" Target="https://www.sec.gov/Archives/edgar/data/1262039/000126203923000024/ftnt-ex33restatedbylaws.htm" TargetMode="External"/><Relationship Id="rId151" Type="http://schemas.openxmlformats.org/officeDocument/2006/relationships/hyperlink" Target="https://www.sec.gov/Archives/edgar/data/1262039/000119312509220527/dex41.htm" TargetMode="External"/><Relationship Id="rId152" Type="http://schemas.openxmlformats.org/officeDocument/2006/relationships/hyperlink" Target="https://www.sec.gov/Archives/edgar/data/1262039/000119312509169817/dex101.htm" TargetMode="External"/><Relationship Id="rId153" Type="http://schemas.openxmlformats.org/officeDocument/2006/relationships/hyperlink" Target="https://www.sec.gov/Archives/edgar/data/1262039/000126203919000023/ftnt-ex101amendedandre.htm" TargetMode="External"/><Relationship Id="rId154" Type="http://schemas.openxmlformats.org/officeDocument/2006/relationships/hyperlink" Target="https://www.sec.gov/Archives/edgar/data/1262039/000126203912000013/ftnt-ex105_20111231xk.htm" TargetMode="External"/><Relationship Id="rId155" Type="http://schemas.openxmlformats.org/officeDocument/2006/relationships/hyperlink" Target="https://www.sec.gov/Archives/edgar/data/1262039/000126203913000044/fortinet_20130630x10-qex991.htm" TargetMode="External"/><Relationship Id="rId156" Type="http://schemas.openxmlformats.org/officeDocument/2006/relationships/hyperlink" Target="https://www.sec.gov/Archives/edgar/data/1262039/000126203915000009/ftnt-ex107_20141231xk.htm" TargetMode="External"/><Relationship Id="rId157" Type="http://schemas.openxmlformats.org/officeDocument/2006/relationships/hyperlink" Target="https://www.sec.gov/Archives/edgar/data/1262039/000126203920000011/ftnt-ex10620191231xk.htm" TargetMode="External"/><Relationship Id="rId158" Type="http://schemas.openxmlformats.org/officeDocument/2006/relationships/hyperlink" Target="https://www.sec.gov/Archives/edgar/data/1262039/000126203920000011/ftnt-ex10720191231xk.htm" TargetMode="External"/><Relationship Id="rId159" Type="http://schemas.openxmlformats.org/officeDocument/2006/relationships/hyperlink" Target="https://www.sec.gov/Archives/edgar/data/1262039/000126203921000008/ftnt-ex108_20201231xk.htm" TargetMode="External"/><Relationship Id="rId160" Type="http://schemas.openxmlformats.org/officeDocument/2006/relationships/hyperlink" Target="https://www.sec.gov/Archives/edgar/data/1262039/000126203913000055/fortinet_20130930x10-qex101.htm" TargetMode="External"/><Relationship Id="rId161" Type="http://schemas.openxmlformats.org/officeDocument/2006/relationships/hyperlink" Target="https://www.sec.gov/Archives/edgar/data/1262039/000126203915000024/ftnt-ex101_20150630xqxcoca.htm" TargetMode="External"/><Relationship Id="rId162" Type="http://schemas.openxmlformats.org/officeDocument/2006/relationships/hyperlink" Target="https://www.sec.gov/Archives/edgar/data/1262039/000126203924000037/ftnt-ex101amendedandrestat.htm" TargetMode="External"/><Relationship Id="rId163" Type="http://schemas.openxmlformats.org/officeDocument/2006/relationships/hyperlink" Target="https://www.sec.gov/Archives/edgar/data/1262039/000126203924000037/ftnt-ex102amendedandrestat.htm" TargetMode="External"/><Relationship Id="rId164" Type="http://schemas.openxmlformats.org/officeDocument/2006/relationships/hyperlink" Target="https://www.sec.gov/Archives/edgar/data/1262039/000126203924000037/ftnt-ex103amendedandrestat.htm" TargetMode="External"/><Relationship Id="rId165" Type="http://schemas.openxmlformats.org/officeDocument/2006/relationships/hyperlink" Target="https://www.sec.gov/Archives/edgar/data/1262039/000119312509169817/dex1010.htm" TargetMode="External"/><Relationship Id="rId166" Type="http://schemas.openxmlformats.org/officeDocument/2006/relationships/hyperlink" Target="https://www.sec.gov/Archives/edgar/data/1262039/000126203918000009/ftnt-ex1022_20171231xk.htm" TargetMode="External"/><Relationship Id="rId167" Type="http://schemas.openxmlformats.org/officeDocument/2006/relationships/hyperlink" Target="https://www.sec.gov/Archives/edgar/data/1262039/000126203924000037/ftnt-ex104amendedandrestat.htm" TargetMode="External"/><Relationship Id="rId168" Type="http://schemas.openxmlformats.org/officeDocument/2006/relationships/hyperlink" Target="https://www.sec.gov/Archives/edgar/data/1262039/000126203923000021/exhibit101-formofpsuawarda.htm" TargetMode="External"/><Relationship Id="rId169" Type="http://schemas.openxmlformats.org/officeDocument/2006/relationships/hyperlink" Target="https://www.sec.gov/Archives/edgar/data/1262039/000126203923000021/exhibit102-globalrsuagreem.htm" TargetMode="External"/><Relationship Id="rId171" Type="http://schemas.openxmlformats.org/officeDocument/2006/relationships/hyperlink" Target="https://www.sec.gov/Archives/edgar/data/1262039/000126203924000014/ftnt-ex971_20231231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2025-02-21T16:58:27Z</dcterms:created>
  <dcterms:modified xsi:type="dcterms:W3CDTF">2025-02-21T16:58:27Z</dcterms:modified>
</cp:coreProperties>
</file>