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7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0" w:type="dxa"/>
            <w:vAlign w:val="bottom"/>
          </w:tcPr>
          <w:p>
            <w:pPr>
              <w:ind w:left="300"/>
              <w:spacing w:after="0"/>
              <w:rPr>
                <w:sz w:val="20"/>
                <w:szCs w:val="20"/>
                <w:color w:val="auto"/>
              </w:rPr>
            </w:pPr>
            <w:r>
              <w:rPr>
                <w:rFonts w:ascii="Arial" w:cs="Arial" w:eastAsia="Arial" w:hAnsi="Arial"/>
                <w:sz w:val="18"/>
                <w:szCs w:val="18"/>
                <w:b w:val="1"/>
                <w:bCs w:val="1"/>
                <w:color w:val="auto"/>
                <w:w w:val="87"/>
              </w:rPr>
              <w:t>Commission file number: 001-34511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tbl>
      <w:tblPr>
        <w:tblLayout w:type="fixed"/>
        <w:tblInd w:w="1740" w:type="dxa"/>
        <w:tblCellMar>
          <w:top w:w="0" w:type="dxa"/>
          <w:left w:w="0" w:type="dxa"/>
          <w:bottom w:w="0" w:type="dxa"/>
          <w:right w:w="0" w:type="dxa"/>
        </w:tblCellMar>
      </w:tblPr>
      <w:tr>
        <w:trPr>
          <w:trHeight w:val="529"/>
        </w:trPr>
        <w:tc>
          <w:tcPr>
            <w:tcW w:w="6160" w:type="dxa"/>
            <w:vAlign w:val="bottom"/>
            <w:gridSpan w:val="3"/>
          </w:tcPr>
          <w:p>
            <w:pPr>
              <w:jc w:val="center"/>
              <w:ind w:left="1707"/>
              <w:spacing w:after="0"/>
              <w:rPr>
                <w:sz w:val="20"/>
                <w:szCs w:val="20"/>
                <w:color w:val="auto"/>
              </w:rPr>
            </w:pPr>
            <w:r>
              <w:rPr>
                <w:rFonts w:ascii="Arial" w:cs="Arial" w:eastAsia="Arial" w:hAnsi="Arial"/>
                <w:sz w:val="43"/>
                <w:szCs w:val="43"/>
                <w:b w:val="1"/>
                <w:bCs w:val="1"/>
                <w:color w:val="auto"/>
              </w:rPr>
              <w:t>FORTINET, INC.</w:t>
            </w:r>
          </w:p>
        </w:tc>
        <w:tc>
          <w:tcPr>
            <w:tcW w:w="1320" w:type="dxa"/>
            <w:vAlign w:val="bottom"/>
          </w:tcPr>
          <w:p>
            <w:pPr>
              <w:spacing w:after="0"/>
              <w:rPr>
                <w:sz w:val="24"/>
                <w:szCs w:val="24"/>
                <w:color w:val="auto"/>
              </w:rPr>
            </w:pPr>
          </w:p>
        </w:tc>
      </w:tr>
      <w:tr>
        <w:trPr>
          <w:trHeight w:val="228"/>
        </w:trPr>
        <w:tc>
          <w:tcPr>
            <w:tcW w:w="6160" w:type="dxa"/>
            <w:vAlign w:val="bottom"/>
            <w:gridSpan w:val="3"/>
          </w:tcPr>
          <w:p>
            <w:pPr>
              <w:jc w:val="center"/>
              <w:ind w:left="1707"/>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1320" w:type="dxa"/>
            <w:vAlign w:val="bottom"/>
          </w:tcPr>
          <w:p>
            <w:pPr>
              <w:spacing w:after="0"/>
              <w:rPr>
                <w:sz w:val="19"/>
                <w:szCs w:val="19"/>
                <w:color w:val="auto"/>
              </w:rPr>
            </w:pPr>
          </w:p>
        </w:tc>
      </w:tr>
      <w:tr>
        <w:trPr>
          <w:trHeight w:val="178"/>
        </w:trPr>
        <w:tc>
          <w:tcPr>
            <w:tcW w:w="278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05"/>
        </w:trPr>
        <w:tc>
          <w:tcPr>
            <w:tcW w:w="616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88"/>
              </w:rPr>
              <w:t>Delaware</w:t>
            </w:r>
          </w:p>
        </w:tc>
        <w:tc>
          <w:tcPr>
            <w:tcW w:w="1320" w:type="dxa"/>
            <w:vAlign w:val="bottom"/>
          </w:tcPr>
          <w:p>
            <w:pPr>
              <w:jc w:val="right"/>
              <w:ind w:right="44"/>
              <w:spacing w:after="0"/>
              <w:rPr>
                <w:sz w:val="20"/>
                <w:szCs w:val="20"/>
                <w:color w:val="auto"/>
              </w:rPr>
            </w:pPr>
            <w:r>
              <w:rPr>
                <w:rFonts w:ascii="Arial" w:cs="Arial" w:eastAsia="Arial" w:hAnsi="Arial"/>
                <w:sz w:val="18"/>
                <w:szCs w:val="18"/>
                <w:b w:val="1"/>
                <w:bCs w:val="1"/>
                <w:color w:val="auto"/>
              </w:rPr>
              <w:t>77-0560389</w:t>
            </w:r>
          </w:p>
        </w:tc>
      </w:tr>
      <w:tr>
        <w:trPr>
          <w:trHeight w:val="149"/>
        </w:trPr>
        <w:tc>
          <w:tcPr>
            <w:tcW w:w="6160" w:type="dxa"/>
            <w:vAlign w:val="bottom"/>
            <w:gridSpan w:val="3"/>
          </w:tcPr>
          <w:p>
            <w:pPr>
              <w:jc w:val="center"/>
              <w:ind w:right="39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60" w:type="dxa"/>
            <w:vAlign w:val="bottom"/>
            <w:gridSpan w:val="3"/>
          </w:tcPr>
          <w:p>
            <w:pPr>
              <w:jc w:val="center"/>
              <w:ind w:right="3920"/>
              <w:spacing w:after="0"/>
              <w:rPr>
                <w:sz w:val="20"/>
                <w:szCs w:val="20"/>
                <w:color w:val="auto"/>
              </w:rPr>
            </w:pPr>
            <w:r>
              <w:rPr>
                <w:rFonts w:ascii="Arial" w:cs="Arial" w:eastAsia="Arial" w:hAnsi="Arial"/>
                <w:sz w:val="14"/>
                <w:szCs w:val="14"/>
                <w:b w:val="1"/>
                <w:bCs w:val="1"/>
                <w:color w:val="auto"/>
                <w:w w:val="88"/>
              </w:rPr>
              <w:t>incorporation or organization)</w:t>
            </w:r>
          </w:p>
        </w:tc>
        <w:tc>
          <w:tcPr>
            <w:tcW w:w="1320" w:type="dxa"/>
            <w:vAlign w:val="bottom"/>
          </w:tcPr>
          <w:p>
            <w:pPr>
              <w:jc w:val="center"/>
              <w:ind w:left="1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16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91"/>
              </w:rPr>
              <w:t>1090 Kifer Road</w:t>
            </w:r>
          </w:p>
        </w:tc>
        <w:tc>
          <w:tcPr>
            <w:tcW w:w="1320" w:type="dxa"/>
            <w:vAlign w:val="bottom"/>
          </w:tcPr>
          <w:p>
            <w:pPr>
              <w:spacing w:after="0"/>
              <w:rPr>
                <w:sz w:val="24"/>
                <w:szCs w:val="24"/>
                <w:color w:val="auto"/>
              </w:rPr>
            </w:pPr>
          </w:p>
        </w:tc>
      </w:tr>
      <w:tr>
        <w:trPr>
          <w:trHeight w:val="231"/>
        </w:trPr>
        <w:tc>
          <w:tcPr>
            <w:tcW w:w="616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89"/>
              </w:rPr>
              <w:t>Sunnyvale, California</w:t>
            </w:r>
          </w:p>
        </w:tc>
        <w:tc>
          <w:tcPr>
            <w:tcW w:w="1320" w:type="dxa"/>
            <w:vAlign w:val="bottom"/>
          </w:tcPr>
          <w:p>
            <w:pPr>
              <w:jc w:val="right"/>
              <w:ind w:right="244"/>
              <w:spacing w:after="0"/>
              <w:rPr>
                <w:sz w:val="20"/>
                <w:szCs w:val="20"/>
                <w:color w:val="auto"/>
              </w:rPr>
            </w:pPr>
            <w:r>
              <w:rPr>
                <w:rFonts w:ascii="Arial" w:cs="Arial" w:eastAsia="Arial" w:hAnsi="Arial"/>
                <w:sz w:val="18"/>
                <w:szCs w:val="18"/>
                <w:b w:val="1"/>
                <w:bCs w:val="1"/>
                <w:color w:val="auto"/>
              </w:rPr>
              <w:t>94086</w:t>
            </w:r>
          </w:p>
        </w:tc>
      </w:tr>
      <w:tr>
        <w:trPr>
          <w:trHeight w:val="174"/>
        </w:trPr>
        <w:tc>
          <w:tcPr>
            <w:tcW w:w="6160" w:type="dxa"/>
            <w:vAlign w:val="bottom"/>
            <w:gridSpan w:val="3"/>
          </w:tcPr>
          <w:p>
            <w:pPr>
              <w:jc w:val="center"/>
              <w:ind w:right="392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320" w:type="dxa"/>
            <w:vAlign w:val="bottom"/>
          </w:tcPr>
          <w:p>
            <w:pPr>
              <w:jc w:val="center"/>
              <w:ind w:left="1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5160" w:type="dxa"/>
            <w:vAlign w:val="bottom"/>
            <w:gridSpan w:val="2"/>
          </w:tcPr>
          <w:p>
            <w:pPr>
              <w:jc w:val="center"/>
              <w:ind w:left="2687"/>
              <w:spacing w:after="0"/>
              <w:rPr>
                <w:sz w:val="20"/>
                <w:szCs w:val="20"/>
                <w:color w:val="auto"/>
              </w:rPr>
            </w:pPr>
            <w:r>
              <w:rPr>
                <w:rFonts w:ascii="Arial" w:cs="Arial" w:eastAsia="Arial" w:hAnsi="Arial"/>
                <w:sz w:val="18"/>
                <w:szCs w:val="18"/>
                <w:b w:val="1"/>
                <w:bCs w:val="1"/>
                <w:color w:val="auto"/>
                <w:w w:val="89"/>
              </w:rPr>
              <w:t>(408) 235-7700</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4"/>
        </w:trPr>
        <w:tc>
          <w:tcPr>
            <w:tcW w:w="6160" w:type="dxa"/>
            <w:vAlign w:val="bottom"/>
            <w:gridSpan w:val="3"/>
          </w:tcPr>
          <w:p>
            <w:pPr>
              <w:jc w:val="center"/>
              <w:ind w:left="168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As of April 30, 2010, there were 67,447,019 shares of the registrant’s common stock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67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5400" w:type="dxa"/>
            <w:vAlign w:val="bottom"/>
            <w:gridSpan w:val="4"/>
            <w:vMerge w:val="restart"/>
          </w:tcPr>
          <w:p>
            <w:pPr>
              <w:jc w:val="center"/>
              <w:ind w:right="4960"/>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40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3140" w:type="dxa"/>
            <w:vAlign w:val="bottom"/>
            <w:gridSpan w:val="5"/>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9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2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6"/>
          </w:tcPr>
          <w:p>
            <w:pPr>
              <w:spacing w:after="0"/>
              <w:rPr>
                <w:sz w:val="17"/>
                <w:szCs w:val="17"/>
                <w:color w:val="auto"/>
              </w:rPr>
            </w:pPr>
          </w:p>
        </w:tc>
        <w:tc>
          <w:tcPr>
            <w:tcW w:w="3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49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Legal Proceedings</w:t>
              </w:r>
            </w:hyperlink>
          </w:p>
        </w:tc>
        <w:tc>
          <w:tcPr>
            <w:tcW w:w="87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91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Unregistered Sales of Equity Securities and Use of Proceeds</w:t>
              </w:r>
            </w:hyperlink>
          </w:p>
        </w:tc>
        <w:tc>
          <w:tcPr>
            <w:tcW w:w="57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Exhibits</w:t>
              </w:r>
            </w:hyperlink>
          </w:p>
        </w:tc>
        <w:tc>
          <w:tcPr>
            <w:tcW w:w="94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Signatures</w:t>
              </w:r>
            </w:hyperlink>
          </w:p>
        </w:tc>
        <w:tc>
          <w:tcPr>
            <w:tcW w:w="92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jc w:val="center"/>
              <w:ind w:left="1532"/>
              <w:spacing w:after="0"/>
              <w:rPr>
                <w:sz w:val="20"/>
                <w:szCs w:val="20"/>
                <w:color w:val="auto"/>
              </w:rPr>
            </w:pPr>
            <w:r>
              <w:rPr>
                <w:rFonts w:ascii="Arial" w:cs="Arial" w:eastAsia="Arial" w:hAnsi="Arial"/>
                <w:sz w:val="18"/>
                <w:szCs w:val="18"/>
                <w:b w:val="1"/>
                <w:bCs w:val="1"/>
                <w:color w:val="auto"/>
                <w:w w:val="97"/>
              </w:rPr>
              <w:t>Part I</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0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tcPr>
          <w:p>
            <w:pPr>
              <w:jc w:val="center"/>
              <w:ind w:left="1512"/>
              <w:spacing w:after="0"/>
              <w:rPr>
                <w:sz w:val="20"/>
                <w:szCs w:val="20"/>
                <w:color w:val="auto"/>
              </w:rPr>
            </w:pPr>
            <w:r>
              <w:rPr>
                <w:rFonts w:ascii="Arial" w:cs="Arial" w:eastAsia="Arial" w:hAnsi="Arial"/>
                <w:sz w:val="18"/>
                <w:szCs w:val="18"/>
                <w:b w:val="1"/>
                <w:bCs w:val="1"/>
                <w:color w:val="auto"/>
                <w:w w:val="97"/>
              </w:rPr>
              <w:t>FORTINET, INC. AND SUBSIDIARIES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tcPr>
          <w:p>
            <w:pPr>
              <w:jc w:val="center"/>
              <w:ind w:left="151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jc w:val="center"/>
              <w:ind w:left="1512"/>
              <w:spacing w:after="0"/>
              <w:rPr>
                <w:sz w:val="20"/>
                <w:szCs w:val="20"/>
                <w:color w:val="auto"/>
              </w:rPr>
            </w:pPr>
            <w:r>
              <w:rPr>
                <w:rFonts w:ascii="Arial" w:cs="Arial" w:eastAsia="Arial" w:hAnsi="Arial"/>
                <w:sz w:val="18"/>
                <w:szCs w:val="18"/>
                <w:b w:val="1"/>
                <w:bCs w:val="1"/>
                <w:color w:val="auto"/>
                <w:w w:val="85"/>
              </w:rPr>
              <w:t>(in thousands)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47,856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Accounts receivable, net of allowance for doubtful accounts of $303 and $367 at March 31, 2010 and December 31,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2009, respectively</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asset—Current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cost of revenues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326,553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342,217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COST OF REVENUES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ASSET—Non-current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404,209</w:t>
            </w:r>
          </w:p>
        </w:tc>
        <w:tc>
          <w:tcPr>
            <w:tcW w:w="240" w:type="dxa"/>
            <w:vAlign w:val="bottom"/>
          </w:tcPr>
          <w:p>
            <w:pPr>
              <w:spacing w:after="0"/>
              <w:rPr>
                <w:sz w:val="19"/>
                <w:szCs w:val="19"/>
                <w:color w:val="auto"/>
              </w:rPr>
            </w:pP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387,213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payroll and compensation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revenue—Current</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180,565</w:t>
            </w:r>
          </w:p>
        </w:tc>
        <w:tc>
          <w:tcPr>
            <w:tcW w:w="0" w:type="dxa"/>
            <w:vAlign w:val="bottom"/>
          </w:tcPr>
          <w:p>
            <w:pPr>
              <w:spacing w:after="0"/>
              <w:rPr>
                <w:sz w:val="1"/>
                <w:szCs w:val="1"/>
                <w:color w:val="auto"/>
              </w:rPr>
            </w:pPr>
          </w:p>
        </w:tc>
      </w:tr>
      <w:tr>
        <w:trPr>
          <w:trHeight w:val="322"/>
        </w:trPr>
        <w:tc>
          <w:tcPr>
            <w:tcW w:w="9160" w:type="dxa"/>
            <w:vAlign w:val="bottom"/>
            <w:gridSpan w:val="3"/>
          </w:tcPr>
          <w:p>
            <w:pPr>
              <w:spacing w:after="0"/>
              <w:rPr>
                <w:sz w:val="20"/>
                <w:szCs w:val="20"/>
                <w:color w:val="auto"/>
              </w:rPr>
            </w:pPr>
            <w:r>
              <w:rPr>
                <w:rFonts w:ascii="Arial" w:cs="Arial" w:eastAsia="Arial" w:hAnsi="Arial"/>
                <w:sz w:val="18"/>
                <w:szCs w:val="18"/>
                <w:color w:val="auto"/>
              </w:rPr>
              <w:t>DEFERRED REVENUE—Non-current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66,397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61,393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253,103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244,761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 300,000 shares authorized; 68,082 and 67,517 shares issued and 67,377 and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66,813 shares outstanding at March 31, 2010 and December 31, 2009 respectively</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208,596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404,209</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100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9"/>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27,110</w:t>
            </w:r>
          </w:p>
        </w:tc>
        <w:tc>
          <w:tcPr>
            <w:tcW w:w="240" w:type="dxa"/>
            <w:vAlign w:val="bottom"/>
          </w:tcPr>
          <w:p>
            <w:pPr>
              <w:spacing w:after="0"/>
              <w:rPr>
                <w:sz w:val="18"/>
                <w:szCs w:val="18"/>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54,194</w:t>
            </w: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Services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Ratable product and services</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gross profit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39,540</w:t>
            </w: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322"/>
        </w:trPr>
        <w:tc>
          <w:tcPr>
            <w:tcW w:w="93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(EXPENSE)—Net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240" w:type="dxa"/>
            <w:vAlign w:val="bottom"/>
          </w:tcPr>
          <w:p>
            <w:pPr>
              <w:spacing w:after="0"/>
              <w:rPr>
                <w:sz w:val="19"/>
                <w:szCs w:val="19"/>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 (Note 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9"/>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4,218</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investment premiums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employee stock option plans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28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cost of revenues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2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payroll and compensation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21,816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(73,903)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and sales of investments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(60,972)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(15,068)</w:t>
            </w:r>
          </w:p>
        </w:tc>
        <w:tc>
          <w:tcPr>
            <w:tcW w:w="0" w:type="dxa"/>
            <w:vAlign w:val="bottom"/>
          </w:tcPr>
          <w:p>
            <w:pPr>
              <w:spacing w:after="0"/>
              <w:rPr>
                <w:sz w:val="1"/>
                <w:szCs w:val="1"/>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Offering costs paid in connection with Initial Public Offering</w:t>
            </w: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convertible preferred shares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Repurchase of common shares</w:t>
            </w:r>
          </w:p>
        </w:tc>
        <w:tc>
          <w:tcPr>
            <w:tcW w:w="10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employee stock option plans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(38,203)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56,571</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EQUIVALENTS—End of period</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174,255</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Cash paid for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Purchase of property and equipment not yet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October 2000 and is a leading provider of network security appliances and Unified</w:t>
      </w:r>
      <w:r>
        <w:rPr>
          <w:rFonts w:ascii="Arial" w:cs="Arial" w:eastAsia="Arial" w:hAnsi="Arial"/>
          <w:sz w:val="18"/>
          <w:szCs w:val="18"/>
          <w:b w:val="1"/>
          <w:bCs w:val="1"/>
          <w:color w:val="auto"/>
        </w:rPr>
        <w:t xml:space="preserve"> </w:t>
      </w:r>
      <w:r>
        <w:rPr>
          <w:rFonts w:ascii="Arial" w:cs="Arial" w:eastAsia="Arial" w:hAnsi="Arial"/>
          <w:sz w:val="18"/>
          <w:szCs w:val="18"/>
          <w:color w:val="auto"/>
        </w:rPr>
        <w:t>Threat Management (UTM) network security solutions to enterprises, service providers and government entities worldwide. Fortinet’s solutions are designed to integrate multiple levels of security protection, including firewall, virtual private networking, antivirus, intrusion prevention, web filtering, antispam and WAN acceleration.</w:t>
      </w:r>
    </w:p>
    <w:p>
      <w:pPr>
        <w:spacing w:after="0" w:line="13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Basis of Presentation and Preparation</w:t>
      </w:r>
      <w:r>
        <w:rPr>
          <w:rFonts w:ascii="Arial" w:cs="Arial" w:eastAsia="Arial" w:hAnsi="Arial"/>
          <w:sz w:val="16"/>
          <w:szCs w:val="16"/>
          <w:color w:val="auto"/>
        </w:rPr>
        <w:t>—The condensed consolidated financial statements include the accounts of Fortinet and its wholly owned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(collectively, the “Company,” “we,” “us” or “our”). All intercompany transactions and balances have been eliminated in consolidation. The accompanying condensed consolidated balance sheet as of March 31, 2010, the condensed consolidated statements of operations for the three months ended March 31, 2010 and March 29, 2009, and the condensed consolidated statements of cash flows for the three months ended March 31, 2010 and March 29, 2009 are unaudited. The condensed consolidated balance sheet data as of December 31, 2009 was derived from the audited condensed consolidated financial statements which are included in our Annual Report on Form 10-K (“Form 10-K”). The accompanying statements should be read in conjunction with the audited condensed consolidated financial statements and related notes contained in our Form 10-K.</w:t>
      </w:r>
    </w:p>
    <w:p>
      <w:pPr>
        <w:spacing w:after="0" w:line="11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unaudited interim condensed consolidated financial statements for the three months ended and as of March 31, 2010 and March 29, 2009 have been prepared on the same basis as the audited condensed consolidated statements and reflect all adjustments, consisting of normal recurring adjustments which are, in the opinion of management, necessary for a fair presentation of our financial position, results of operations, and cash flows for the interim period presented. The statements have been prepared in accordance with accounting principles generally accepted in the United States of America (“U.S. GAAP” or “GAAP”) pursuant to the rules and regulations of the Securities and Exchange Commission (“SEC”). Accordingly, certain information and footnote disclosures normally included in financial statements prepared in accordance with U.S. GAAP have been condensed or omitted pursuant to such rules and regulations. The results of operations for the three months ended March 31, 2010 are not necessarily indicative of the operating results for any subsequent quarter, for the full fiscal year or any future periods.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Until the second quarter of fiscal 2009, we had a 52- to 53-week year ending on the Sunday closest to December 31 of each year. Commencing in the third quarter of fiscal 2009, we began operating and reporting financial results on a calendar quarter and year basis. Our first quarter of fiscal 2009 ended on March 29, 2009. The first quarters of 2010 and 2009 comprised of 90 days and 91 days, respectively.</w:t>
      </w:r>
    </w:p>
    <w:p>
      <w:pPr>
        <w:spacing w:after="0" w:line="13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at the date of the condensed consolidated financial statements and the reported amounts of revenues and expenses during the reporting period. Such management estimates include implicit service periods for revenue recognition, litigation and settlement costs and other loss contingencies, sales returns and allowances, reserve for bad debt, inventory write-offs, reserve for warranty costs, valuation of deferred tax assets, and tangible and intangible assets. We base our estimates on historical experience and also on assumptions that we believe are reasonable. Actual results could differ from those estimates.</w:t>
      </w:r>
    </w:p>
    <w:p>
      <w:pPr>
        <w:spacing w:after="0" w:line="111" w:lineRule="exact"/>
        <w:rPr>
          <w:sz w:val="20"/>
          <w:szCs w:val="20"/>
          <w:color w:val="auto"/>
        </w:rPr>
      </w:pPr>
    </w:p>
    <w:p>
      <w:pPr>
        <w:ind w:right="40" w:firstLine="456"/>
        <w:spacing w:after="0" w:line="313" w:lineRule="auto"/>
        <w:rPr>
          <w:sz w:val="20"/>
          <w:szCs w:val="20"/>
          <w:color w:val="auto"/>
        </w:rPr>
      </w:pPr>
      <w:r>
        <w:rPr>
          <w:rFonts w:ascii="Arial" w:cs="Arial" w:eastAsia="Arial" w:hAnsi="Arial"/>
          <w:sz w:val="15"/>
          <w:szCs w:val="15"/>
          <w:b w:val="1"/>
          <w:bCs w:val="1"/>
          <w:color w:val="auto"/>
        </w:rPr>
        <w:t>Certain Significant Risks and Uncertainties</w:t>
      </w:r>
      <w:r>
        <w:rPr>
          <w:rFonts w:ascii="Arial" w:cs="Arial" w:eastAsia="Arial" w:hAnsi="Arial"/>
          <w:sz w:val="15"/>
          <w:szCs w:val="15"/>
          <w:color w:val="auto"/>
        </w:rPr>
        <w:t>—We are subject to certain risks and uncertainties that could have a material adverse effect on our future</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position or results of operations, such as the following: changes in level of demand for our products and services, seasonality, the timing of new product introductions, price and sales competition and our ability to adapt to changing market conditions and dynamics, changes in the expenses caused, for example, by fluctuations in foreign currency exchange rates, management of inventory, internal control over financial reporting, market acceptance of our new products and services, demand for UTM products and services in general, failure of our channel partners to perform, the quality of our products and services, general economic conditions, challenges in doing business outside of the United States of America, changes in customer relationships, litigation, or claims against us based on intellectual property, patent, product regulatory or other factors (Note 7), product obsolescence, and our ability to attract and retain qualified employees.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rely on sole suppliers and independent contract manufacturers for certain of our components and one third-party logistics company for distribution of some of our products. The inability of any of these parties to fulfill our supply and logistics requirements could negatively impact our future operating results.</w:t>
      </w:r>
    </w:p>
    <w:p>
      <w:pPr>
        <w:spacing w:after="0" w:line="7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concentrations of credit risk consist primarily of cash,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and accounts receivable. We maintain our cash and cash equivalents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142"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2010 and December 31, 2009, one distributor customer accounted for 11% and 15%, respectively, of net accounts receivable.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quarters ended March 31, 2010 and March 29, 2009, one distributor customer accounted for 11% and 12%, respectively, of total net revenues.</w:t>
      </w:r>
    </w:p>
    <w:p>
      <w:pPr>
        <w:spacing w:after="0" w:line="188"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Fair Value of Financial Instruments</w:t>
      </w:r>
      <w:r>
        <w:rPr>
          <w:rFonts w:ascii="Arial" w:cs="Arial" w:eastAsia="Arial" w:hAnsi="Arial"/>
          <w:sz w:val="16"/>
          <w:szCs w:val="16"/>
          <w:color w:val="auto"/>
        </w:rPr>
        <w:t>—Accounting Standards Codification (ASC) 825 (formerly referred to as Financial Accounting Standards Board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Statement No. 107, </w:t>
      </w:r>
      <w:r>
        <w:rPr>
          <w:rFonts w:ascii="Arial" w:cs="Arial" w:eastAsia="Arial" w:hAnsi="Arial"/>
          <w:sz w:val="16"/>
          <w:szCs w:val="16"/>
          <w:i w:val="1"/>
          <w:iCs w:val="1"/>
          <w:color w:val="auto"/>
        </w:rPr>
        <w:t>Disclosures about Fair Value of Financial Instruments</w:t>
      </w:r>
      <w:r>
        <w:rPr>
          <w:rFonts w:ascii="Arial" w:cs="Arial" w:eastAsia="Arial" w:hAnsi="Arial"/>
          <w:sz w:val="16"/>
          <w:szCs w:val="16"/>
          <w:color w:val="auto"/>
        </w:rPr>
        <w:t>) requires disclosure of fair value information about financial instruments, whether or not recognized in the balance sheet, for which it is practicable to estimate that value. Due to their short-term nature, the carrying amounts reported in the condensed consolidated financial statements approximate the fair value for cash and cash equivalents, accounts receivable, and accounts payable.</w:t>
      </w:r>
    </w:p>
    <w:p>
      <w:pPr>
        <w:spacing w:after="0" w:line="103" w:lineRule="exact"/>
        <w:rPr>
          <w:sz w:val="20"/>
          <w:szCs w:val="20"/>
          <w:color w:val="auto"/>
        </w:rPr>
      </w:pPr>
    </w:p>
    <w:p>
      <w:pPr>
        <w:ind w:right="180" w:firstLine="456"/>
        <w:spacing w:after="0" w:line="326" w:lineRule="auto"/>
        <w:rPr>
          <w:sz w:val="20"/>
          <w:szCs w:val="20"/>
          <w:color w:val="auto"/>
        </w:rPr>
      </w:pPr>
      <w:r>
        <w:rPr>
          <w:rFonts w:ascii="Arial" w:cs="Arial" w:eastAsia="Arial" w:hAnsi="Arial"/>
          <w:sz w:val="15"/>
          <w:szCs w:val="15"/>
          <w:b w:val="1"/>
          <w:bCs w:val="1"/>
          <w:color w:val="auto"/>
        </w:rPr>
        <w:t>Comprehensive Income</w:t>
      </w:r>
      <w:r>
        <w:rPr>
          <w:rFonts w:ascii="Arial" w:cs="Arial" w:eastAsia="Arial" w:hAnsi="Arial"/>
          <w:sz w:val="15"/>
          <w:szCs w:val="15"/>
          <w:color w:val="auto"/>
        </w:rPr>
        <w:t>—ASC 220 (formerly referred to as FASB Statement No. 130,</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Reporting Comprehensive Income</w:t>
      </w:r>
      <w:r>
        <w:rPr>
          <w:rFonts w:ascii="Arial" w:cs="Arial" w:eastAsia="Arial" w:hAnsi="Arial"/>
          <w:sz w:val="15"/>
          <w:szCs w:val="15"/>
          <w:color w:val="auto"/>
        </w:rPr>
        <w:t>) establishes standards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reporting and displaying of comprehensive income and its components. Comprehensive income includes certain changes in equity from non-owner sources that are excluded from net income. Specifically, cumulative foreign currency translation adjustments and unrealized gains and losses are included in comprehensive income. Comprehensive income has been reflected in the condensed consolidated statements of stockholders’ equity and comprehensive income.</w:t>
      </w:r>
    </w:p>
    <w:p>
      <w:pPr>
        <w:spacing w:after="0" w:line="89"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—Assets and liabilities of foreign subsidiaries are translated into U.S. dollars using the exchange rates in effect at the</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 dates and revenue and expenses are translated using average exchange rates during the period. The resulting foreign translation adjustments are recorded in accumulated other comprehensive income (loss). Foreign currency transaction gains and (losses) of $(0.3) million and $0.5 million, are included in other income (expense), net for the quarter ended March 31, 2010 and March 29, 2009, respectively.</w:t>
      </w:r>
    </w:p>
    <w:p>
      <w:pPr>
        <w:spacing w:after="0" w:line="103"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Cash, Cash Equivalents and Investments</w:t>
      </w:r>
      <w:r>
        <w:rPr>
          <w:rFonts w:ascii="Arial" w:cs="Arial" w:eastAsia="Arial" w:hAnsi="Arial"/>
          <w:sz w:val="18"/>
          <w:szCs w:val="18"/>
          <w:color w:val="auto"/>
        </w:rPr>
        <w:t>—We consider all highly liquid investments, purchased with original maturities of three months or less,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Cash and cash equivalents consist of cash on-hand, balances with banks, and highly liquid investments in money market funds, commercial paper, government securities, certificates of deposit, and corporate debt securities.</w:t>
      </w:r>
    </w:p>
    <w:p>
      <w:pPr>
        <w:spacing w:after="0" w:line="13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classify our investments as available-for-sale at the time of purchase since it is our intent that these investments are available for current operations, and include these investments on our balance sheet as either short-term or long-term investments depending on their maturity at the time of purchase. Investments with original maturities greater than three months that mature less than one year from the condensed consolidated balance sheet date are classified as short-term investments. Investments with maturities greater than one year from the condensed consolidated balance sheet date are classified as long-term investments.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6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(using the first-in, first-out method) or market, after we give appropriate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71" w:lineRule="exact"/>
        <w:rPr>
          <w:sz w:val="20"/>
          <w:szCs w:val="20"/>
          <w:color w:val="auto"/>
        </w:rPr>
      </w:pPr>
    </w:p>
    <w:p>
      <w:pPr>
        <w:jc w:val="both"/>
        <w:ind w:right="80" w:firstLine="456"/>
        <w:spacing w:after="0" w:line="339" w:lineRule="auto"/>
        <w:rPr>
          <w:sz w:val="20"/>
          <w:szCs w:val="20"/>
          <w:color w:val="auto"/>
        </w:rPr>
      </w:pPr>
      <w:r>
        <w:rPr>
          <w:rFonts w:ascii="Arial" w:cs="Arial" w:eastAsia="Arial" w:hAnsi="Arial"/>
          <w:sz w:val="15"/>
          <w:szCs w:val="15"/>
          <w:b w:val="1"/>
          <w:bCs w:val="1"/>
          <w:color w:val="auto"/>
        </w:rPr>
        <w:t>Deferred Cost of Revenues</w:t>
      </w:r>
      <w:r>
        <w:rPr>
          <w:rFonts w:ascii="Arial" w:cs="Arial" w:eastAsia="Arial" w:hAnsi="Arial"/>
          <w:sz w:val="15"/>
          <w:szCs w:val="15"/>
          <w:color w:val="auto"/>
        </w:rPr>
        <w:t>—Deferred cost of revenues represent the unamortized cost of products associated with ratable products and services revenue,</w:t>
      </w:r>
      <w:r>
        <w:rPr>
          <w:rFonts w:ascii="Arial" w:cs="Arial" w:eastAsia="Arial" w:hAnsi="Arial"/>
          <w:sz w:val="15"/>
          <w:szCs w:val="15"/>
          <w:b w:val="1"/>
          <w:bCs w:val="1"/>
          <w:color w:val="auto"/>
        </w:rPr>
        <w:t xml:space="preserve"> </w:t>
      </w:r>
      <w:r>
        <w:rPr>
          <w:rFonts w:ascii="Arial" w:cs="Arial" w:eastAsia="Arial" w:hAnsi="Arial"/>
          <w:sz w:val="15"/>
          <w:szCs w:val="15"/>
          <w:color w:val="auto"/>
        </w:rPr>
        <w:t>which is based upon the actual cost of the hardware sold and is recognized over the service periods of the arrangements. Deferred cost of revenue associated with short-term deferred revenue is classified as short-term and deferred cost of revenue associated with long-term deferred revenue is classified as long-term.</w:t>
      </w:r>
    </w:p>
    <w:p>
      <w:pPr>
        <w:spacing w:after="0" w:line="12" w:lineRule="exact"/>
        <w:rPr>
          <w:sz w:val="20"/>
          <w:szCs w:val="20"/>
          <w:color w:val="auto"/>
        </w:rPr>
      </w:pPr>
    </w:p>
    <w:p>
      <w:pPr>
        <w:jc w:val="both"/>
        <w:ind w:right="160" w:firstLine="456"/>
        <w:spacing w:after="0" w:line="310"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—Property and equipment are stated at cost. Depreciation is computed using the straight-line method over the estimated useful</w:t>
      </w:r>
      <w:r>
        <w:rPr>
          <w:rFonts w:ascii="Arial" w:cs="Arial" w:eastAsia="Arial" w:hAnsi="Arial"/>
          <w:sz w:val="16"/>
          <w:szCs w:val="16"/>
          <w:b w:val="1"/>
          <w:bCs w:val="1"/>
          <w:color w:val="auto"/>
        </w:rPr>
        <w:t xml:space="preserve"> </w:t>
      </w:r>
      <w:r>
        <w:rPr>
          <w:rFonts w:ascii="Arial" w:cs="Arial" w:eastAsia="Arial" w:hAnsi="Arial"/>
          <w:sz w:val="16"/>
          <w:szCs w:val="16"/>
          <w:color w:val="auto"/>
        </w:rPr>
        <w:t>lives of the assets, generally one to three years. Evaluation units are transferred from inventory at cost and are amortized over one year from the date of transfer. Leasehold improvements are amortized over the shorter of the estimated useful lives of the improvements or the lease term.</w:t>
      </w:r>
    </w:p>
    <w:p>
      <w:pPr>
        <w:spacing w:after="0" w:line="30"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Impairment of Long-Lived Assets</w:t>
      </w:r>
      <w:r>
        <w:rPr>
          <w:rFonts w:ascii="Arial" w:cs="Arial" w:eastAsia="Arial" w:hAnsi="Arial"/>
          <w:sz w:val="15"/>
          <w:szCs w:val="15"/>
          <w:color w:val="auto"/>
        </w:rPr>
        <w:t>—We evaluate events and changes in circumstances that could indicate carrying amounts of long-lived assets,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—Deferred revenue consists of amounts that have been invoiced but that have not yet been recognized as revenue.</w:t>
      </w:r>
    </w:p>
    <w:p>
      <w:pPr>
        <w:spacing w:after="0" w:line="104"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b w:val="1"/>
          <w:bCs w:val="1"/>
          <w:color w:val="auto"/>
        </w:rPr>
        <w:t>Income Taxes</w:t>
      </w:r>
      <w:r>
        <w:rPr>
          <w:rFonts w:ascii="Arial" w:cs="Arial" w:eastAsia="Arial" w:hAnsi="Arial"/>
          <w:sz w:val="15"/>
          <w:szCs w:val="15"/>
          <w:color w:val="auto"/>
        </w:rPr>
        <w:t>—We record income taxes using the asset and liability method, which requires the recognition of deferred tax assets and liabilities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expected future tax consequences of events that have been 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 We consider many factors when evaluating and estimating our tax positions and tax benefits, which may require periodic adjustments and which may not accurately anticipate actual outcomes.</w:t>
      </w:r>
    </w:p>
    <w:p>
      <w:pPr>
        <w:spacing w:after="0" w:line="3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7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are included in operating expenses in the accompanying condensed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operations. Our advertising expenses were not significant for any periods presented.</w:t>
      </w:r>
    </w:p>
    <w:p>
      <w:pPr>
        <w:spacing w:after="0" w:line="52"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—Effective January 2, 2006, we adopted ASC 718 (formerly referred to as SFAS 123R). For our stock option grants made</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 to January 2, 2006, we have accounted for such stock-based awards to employees in accordance with ASC 718, which requires compensation expense related to share-based transactions, including employee stock options, to be measured and recognized in the financial statements based on fair value. Under ASC 718, the fair value of each option award is estimated on the grant date using the Black-Scholes option pricing model.</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171"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have not been capitalized as we believe our current software development process is</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essentially completed concurrent with the establishment of technological feasibility.</w:t>
      </w:r>
    </w:p>
    <w:p>
      <w:pPr>
        <w:spacing w:after="0" w:line="120"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—We derive revenue from sales of products, including appliances and software, and services, including subscription, support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services. Our appliances include operating system software that is integrated into the appliance hardware and is deemed essential to its functionality. As a result, we account for revenue in accordance with ASC 985-605 (formerly referred to as Statement of Position 97-2 (SOP 97-2)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and all related interpretations.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revenue can be recognized until all of the following criteria have been met:</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Persuasive evidence of an arrangement exists. Binding contracts or purchase orders are generally used to determine the existence of an arrangement.</w:t>
      </w:r>
    </w:p>
    <w:p>
      <w:pPr>
        <w:spacing w:after="0" w:line="124" w:lineRule="exact"/>
        <w:rPr>
          <w:rFonts w:ascii="Arial" w:cs="Arial" w:eastAsia="Arial" w:hAnsi="Arial"/>
          <w:sz w:val="15"/>
          <w:szCs w:val="15"/>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50"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25"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arrangements which include customer acceptance criteria, no revenue is recognized prior to acceptance. We recognize product revenue on sales to distributors that have no right of return and end-customers upon shipment of the appliance, once all other revenue recognition criteria have been met. We also make sales through distributors under agreements that allow for rights of returns. We recognize product revenue on sales made through such distributors upon sale by the distributor to the end-customer, at which time the rights of return lapse.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commence our subscription and support services on the date the customer registers the appliance. The customer is then entitled to service for the stated contractual period beginning on the registration date.</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use the residual method to recognize revenue when an arrangement includes one or more elements to be delivered at a future date and vendor-specific objective evidence (“VSOE”) of the fair value of all undelivered elements exists. Under the residual method, the fair value of the undelivered elements is deferred and the remaining portion of the contract fee is recognized as product revenue. In cases where VSOE of fair value of the undelivered elements does not exist, it is typically due to a lack of VSOE on the subscription and support services for that specific arrangement; revenue for the entire arrangement is recognized ratably over the performance period of the undelivered elements. Revenue related to these arrangements is included in ratable product and services revenue in the accompanying condensed consolidated statements of operations. VSOE of fair value for elements of an arrangement is based upon the pricing for those services when sold separately. Revenue for professional services and training is recognized upon completion of the related services.</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—Trade accounts receivable are recorded at the invoiced amount, net of allowances for doubtful accounts and sales returns and</w:t>
      </w:r>
      <w:r>
        <w:rPr>
          <w:rFonts w:ascii="Arial" w:cs="Arial" w:eastAsia="Arial" w:hAnsi="Arial"/>
          <w:sz w:val="16"/>
          <w:szCs w:val="16"/>
          <w:b w:val="1"/>
          <w:bCs w:val="1"/>
          <w:color w:val="auto"/>
        </w:rPr>
        <w:t xml:space="preserve"> </w:t>
      </w:r>
      <w:r>
        <w:rPr>
          <w:rFonts w:ascii="Arial" w:cs="Arial" w:eastAsia="Arial" w:hAnsi="Arial"/>
          <w:sz w:val="16"/>
          <w:szCs w:val="16"/>
          <w:color w:val="auto"/>
        </w:rPr>
        <w:t>allowances. The allowance for doubtful accounts is 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 factors known at the time, as well as estimates of the amount of goods shipped that will be returned. To determine the adequacy of the sales returns and allowances, we analyze historical experience of actual rebates and returns as well as current product return information.</w:t>
      </w:r>
    </w:p>
    <w:p>
      <w:pPr>
        <w:spacing w:after="0" w:line="111"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one-year warranty on hardware products and a 90-day warranty on software. A provision for estimated future costs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warranty activities is recorded as a component of 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activities are summarized as follows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For The 3 Months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For The Year</w:t>
            </w:r>
          </w:p>
        </w:tc>
      </w:tr>
      <w:tr>
        <w:trPr>
          <w:trHeight w:val="149"/>
        </w:trPr>
        <w:tc>
          <w:tcPr>
            <w:tcW w:w="6420" w:type="dxa"/>
            <w:vAlign w:val="bottom"/>
          </w:tcPr>
          <w:p>
            <w:pPr>
              <w:spacing w:after="0"/>
              <w:rPr>
                <w:sz w:val="12"/>
                <w:szCs w:val="12"/>
                <w:color w:val="auto"/>
              </w:rPr>
            </w:pP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And As Of</w:t>
            </w:r>
          </w:p>
        </w:tc>
        <w:tc>
          <w:tcPr>
            <w:tcW w:w="420" w:type="dxa"/>
            <w:vAlign w:val="bottom"/>
          </w:tcPr>
          <w:p>
            <w:pPr>
              <w:spacing w:after="0"/>
              <w:rPr>
                <w:sz w:val="12"/>
                <w:szCs w:val="12"/>
                <w:color w:val="auto"/>
              </w:rPr>
            </w:pP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Ended And As Of</w:t>
            </w:r>
          </w:p>
        </w:tc>
      </w:tr>
      <w:tr>
        <w:trPr>
          <w:trHeight w:val="161"/>
        </w:trPr>
        <w:tc>
          <w:tcPr>
            <w:tcW w:w="6420" w:type="dxa"/>
            <w:vAlign w:val="bottom"/>
          </w:tcPr>
          <w:p>
            <w:pPr>
              <w:spacing w:after="0"/>
              <w:rPr>
                <w:sz w:val="14"/>
                <w:szCs w:val="1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March 31, 2010</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balance—beginning of the period</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2,257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Warranty costs incurred</w:t>
            </w:r>
          </w:p>
        </w:tc>
        <w:tc>
          <w:tcPr>
            <w:tcW w:w="3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(334)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(1,502)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warranty</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Adjustments to previous estimates</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r>
      <w:tr>
        <w:trPr>
          <w:trHeight w:val="27"/>
        </w:trPr>
        <w:tc>
          <w:tcPr>
            <w:tcW w:w="6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balance—end of the period</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r>
      <w:tr>
        <w:trPr>
          <w:trHeight w:val="20"/>
        </w:trPr>
        <w:tc>
          <w:tcPr>
            <w:tcW w:w="6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January 2010, the FASB issued revised guidance on disclosures related to fair value measurements. This guidance requires new disclosures about significant transfers in and out of Level 1 and Level 2 and separate disclosures about purchases, sales, issuances, and settlements with respect to Level 3 measurements. The guidance also clarifies existing fair value disclosures about valuation techniques and inputs used to measure fair value. The new disclosures and clarifications of existing disclosures are effective for us beginning in the first quarter of 2010, except for the disclosures about purchases, sales, issuances, and settlements relating to Level 3 measurements, which will be effective for us in the first quarter of 2011. We do not expect the adoption to have a material impact on our financial statements.</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In September 2009, the EITF reached a consensus on ASC 605-25 (formerly referred to as EITF 08-1,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ASC 605-25 eliminates the criterion for objective and reliable evidence of fair value for the undelivered products or services. Instead, revenue arrangements with multiple deliverables should be divided into separate units of accounting if the deliverables meet both of the following criteria:</w:t>
      </w:r>
    </w:p>
    <w:p>
      <w:pPr>
        <w:spacing w:after="0" w:line="2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delivered items have value to the customer on a stand-alone basis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items, delivery or performance of the undelivered items is considered probable and substantially in the control of the vendor.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ASC 605-25 eliminates the use of the residual method of allocation and requires, instead, that arrangement consideration be allocated, at the inception of the arrangement, to all deliverables based on their relative selling price (i.e., the relative selling price method). When applying the relative selling price method, a hierarchy is used for estimating the selling price for each of the deliverables. The hierarchy establishes that the method for determining estimated selling price should be chosen in the following order of priority:</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VSOE of the selling price;</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evidence (TPE) of the selling price – prices of the vendor’s or any competitor’s largely interchangeable products or services, in standalone sales to similarly situated customers;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Best estimate of the selling price.</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September 2009, the FASB reached a consensus on ASC 985-605 (formerly referred to as EITF 09-3, </w:t>
      </w:r>
      <w:r>
        <w:rPr>
          <w:rFonts w:ascii="Arial" w:cs="Arial" w:eastAsia="Arial" w:hAnsi="Arial"/>
          <w:sz w:val="16"/>
          <w:szCs w:val="16"/>
          <w:i w:val="1"/>
          <w:iCs w:val="1"/>
          <w:color w:val="auto"/>
        </w:rPr>
        <w:t>Certain Revenue Arrangements That Include</w:t>
      </w:r>
      <w:r>
        <w:rPr>
          <w:rFonts w:ascii="Arial" w:cs="Arial" w:eastAsia="Arial" w:hAnsi="Arial"/>
          <w:sz w:val="16"/>
          <w:szCs w:val="16"/>
          <w:color w:val="auto"/>
        </w:rPr>
        <w:t xml:space="preserve"> </w:t>
      </w:r>
      <w:r>
        <w:rPr>
          <w:rFonts w:ascii="Arial" w:cs="Arial" w:eastAsia="Arial" w:hAnsi="Arial"/>
          <w:sz w:val="16"/>
          <w:szCs w:val="16"/>
          <w:i w:val="1"/>
          <w:iCs w:val="1"/>
          <w:color w:val="auto"/>
        </w:rPr>
        <w:t>Software Elements</w:t>
      </w:r>
      <w:r>
        <w:rPr>
          <w:rFonts w:ascii="Arial" w:cs="Arial" w:eastAsia="Arial" w:hAnsi="Arial"/>
          <w:sz w:val="16"/>
          <w:szCs w:val="16"/>
          <w:color w:val="auto"/>
        </w:rPr>
        <w:t>). Arrangements to sell joint hardware and software products where the software and non-software components function together to deliver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essential functionality will no longer be scoped into software accounting rules, but will be subject to non-software multiple element accounting guidance (ASC 605-25). ASC 985-605 and ASC 605-25 provide a list of items to consider when determining whether the software and non-software components function together to deliver a product’s essential functionality. ASC 985-605 must be adopted for arrangements entered into beginning January 1, 2011, and may be early-adopted. We plan to adopt ASC 985-605 and ASC 605-25 in the first quarter of 2011, and are currently evaluating the impact of adoption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AND FAIR VALUE MEASUREMENTS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investments in available-for-sale securities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March 31, 2010</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7"/>
              </w:rPr>
              <w:t>Amortized</w:t>
            </w:r>
          </w:p>
        </w:tc>
        <w:tc>
          <w:tcPr>
            <w:tcW w:w="240" w:type="dxa"/>
            <w:vAlign w:val="bottom"/>
          </w:tcPr>
          <w:p>
            <w:pPr>
              <w:spacing w:after="0"/>
              <w:rPr>
                <w:sz w:val="11"/>
                <w:szCs w:val="11"/>
                <w:color w:val="auto"/>
              </w:rPr>
            </w:pPr>
          </w:p>
        </w:tc>
        <w:tc>
          <w:tcPr>
            <w:tcW w:w="10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1"/>
                <w:szCs w:val="11"/>
                <w:color w:val="auto"/>
              </w:rPr>
            </w:pPr>
          </w:p>
        </w:tc>
        <w:tc>
          <w:tcPr>
            <w:tcW w:w="7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93"/>
              </w:rPr>
              <w:t>Unrealized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Estimated 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Loss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440"/>
              <w:spacing w:after="0"/>
              <w:rPr>
                <w:sz w:val="20"/>
                <w:szCs w:val="20"/>
                <w:color w:val="auto"/>
              </w:rPr>
            </w:pPr>
            <w:r>
              <w:rPr>
                <w:rFonts w:ascii="Arial" w:cs="Arial" w:eastAsia="Arial" w:hAnsi="Arial"/>
                <w:sz w:val="18"/>
                <w:szCs w:val="18"/>
                <w:color w:val="auto"/>
              </w:rPr>
              <w:t>U.S. government and agency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14,286</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88,408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44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3,997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106,691</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0"/>
              </w:rPr>
              <w:t>December 31, 2009</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440"/>
              <w:spacing w:after="0"/>
              <w:rPr>
                <w:sz w:val="20"/>
                <w:szCs w:val="20"/>
                <w:color w:val="auto"/>
              </w:rPr>
            </w:pPr>
            <w:r>
              <w:rPr>
                <w:rFonts w:ascii="Arial" w:cs="Arial" w:eastAsia="Arial" w:hAnsi="Arial"/>
                <w:sz w:val="18"/>
                <w:szCs w:val="18"/>
                <w:color w:val="auto"/>
              </w:rPr>
              <w:t>U.S. government and agency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44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3,983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47,823</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w w:val="99"/>
              </w:rPr>
              <w:t>The contractual maturities of our investments are as follows (in thousands):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47,856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Due within one to two years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32,777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47,856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income in our condensed consolidated statements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Realized gains or losses from the sale of available-for-sale securities were not significant in any period presented.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b w:val="1"/>
          <w:bCs w:val="1"/>
          <w:color w:val="auto"/>
        </w:rPr>
        <w:t>Fair Value Accounting</w:t>
      </w:r>
      <w:r>
        <w:rPr>
          <w:rFonts w:ascii="Arial" w:cs="Arial" w:eastAsia="Arial" w:hAnsi="Arial"/>
          <w:sz w:val="18"/>
          <w:szCs w:val="18"/>
          <w:color w:val="auto"/>
        </w:rPr>
        <w:t>—We adopted ASC 820 (formerly referred to as FASB Statement No. 157,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effective January 1, 2008.</w:t>
      </w:r>
      <w:r>
        <w:rPr>
          <w:rFonts w:ascii="Arial" w:cs="Arial" w:eastAsia="Arial" w:hAnsi="Arial"/>
          <w:sz w:val="18"/>
          <w:szCs w:val="18"/>
          <w:b w:val="1"/>
          <w:bCs w:val="1"/>
          <w:color w:val="auto"/>
        </w:rPr>
        <w:t xml:space="preserve"> </w:t>
      </w:r>
      <w:r>
        <w:rPr>
          <w:rFonts w:ascii="Arial" w:cs="Arial" w:eastAsia="Arial" w:hAnsi="Arial"/>
          <w:sz w:val="18"/>
          <w:szCs w:val="18"/>
          <w:color w:val="auto"/>
        </w:rPr>
        <w:t>ASC 820 establishes a valuation hierarchy for disclosure of the inputs to fair value measurement. This hierarchy prioritizes the inputs into three broad levels as follows: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Level 3—Inputs are unobservable inputs based on our own assumptions used to measure assets and liabilities at fair value. The inputs require significant management judgment or estimation.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our financial assets as of March 31, 2010 and December 31, 2009 using the ASC 820 input categories: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December 31, 2009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3"/>
              <w:spacing w:after="0" w:line="129" w:lineRule="exact"/>
              <w:rPr>
                <w:sz w:val="20"/>
                <w:szCs w:val="20"/>
                <w:color w:val="auto"/>
              </w:rPr>
            </w:pPr>
            <w:r>
              <w:rPr>
                <w:rFonts w:ascii="Arial" w:cs="Arial" w:eastAsia="Arial" w:hAnsi="Arial"/>
                <w:sz w:val="14"/>
                <w:szCs w:val="14"/>
                <w:b w:val="1"/>
                <w:bCs w:val="1"/>
                <w:color w:val="auto"/>
                <w:w w:val="89"/>
              </w:rPr>
              <w:t>Quoted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85"/>
              </w:rPr>
              <w:t>Prices in</w:t>
            </w:r>
          </w:p>
        </w:tc>
        <w:tc>
          <w:tcPr>
            <w:tcW w:w="22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Prices in</w:t>
            </w:r>
          </w:p>
        </w:tc>
        <w:tc>
          <w:tcPr>
            <w:tcW w:w="8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5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Active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5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3"/>
              </w:rPr>
              <w:t>Aggregate</w:t>
            </w:r>
          </w:p>
        </w:tc>
        <w:tc>
          <w:tcPr>
            <w:tcW w:w="2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22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6"/>
              </w:rPr>
              <w:t>Aggregate</w:t>
            </w:r>
          </w:p>
        </w:tc>
        <w:tc>
          <w:tcPr>
            <w:tcW w:w="22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Markets For</w:t>
            </w:r>
          </w:p>
        </w:tc>
        <w:tc>
          <w:tcPr>
            <w:tcW w:w="8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r>
      <w:tr>
        <w:trPr>
          <w:trHeight w:val="149"/>
        </w:trPr>
        <w:tc>
          <w:tcPr>
            <w:tcW w:w="5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Identical</w:t>
            </w:r>
          </w:p>
        </w:tc>
        <w:tc>
          <w:tcPr>
            <w:tcW w:w="22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Fair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w:t>
            </w:r>
          </w:p>
        </w:tc>
        <w:tc>
          <w:tcPr>
            <w:tcW w:w="8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61"/>
        </w:trPr>
        <w:tc>
          <w:tcPr>
            <w:tcW w:w="5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3"/>
              <w:spacing w:after="0"/>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Assets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Inputs</w:t>
            </w:r>
          </w:p>
        </w:tc>
      </w:tr>
      <w:tr>
        <w:trPr>
          <w:trHeight w:val="142"/>
        </w:trPr>
        <w:tc>
          <w:tcPr>
            <w:tcW w:w="5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43"/>
              <w:spacing w:after="0" w:line="142" w:lineRule="exact"/>
              <w:rPr>
                <w:sz w:val="20"/>
                <w:szCs w:val="20"/>
                <w:color w:val="auto"/>
              </w:rPr>
            </w:pPr>
            <w:r>
              <w:rPr>
                <w:rFonts w:ascii="Arial" w:cs="Arial" w:eastAsia="Arial" w:hAnsi="Arial"/>
                <w:sz w:val="14"/>
                <w:szCs w:val="14"/>
                <w:b w:val="1"/>
                <w:bCs w:val="1"/>
                <w:color w:val="auto"/>
                <w:w w:val="91"/>
              </w:rPr>
              <w:t>(Level 1)</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3"/>
              <w:spacing w:after="0" w:line="142" w:lineRule="exact"/>
              <w:rPr>
                <w:sz w:val="20"/>
                <w:szCs w:val="20"/>
                <w:color w:val="auto"/>
              </w:rPr>
            </w:pPr>
            <w:r>
              <w:rPr>
                <w:rFonts w:ascii="Arial" w:cs="Arial" w:eastAsia="Arial" w:hAnsi="Arial"/>
                <w:sz w:val="14"/>
                <w:szCs w:val="14"/>
                <w:b w:val="1"/>
                <w:bCs w:val="1"/>
                <w:color w:val="auto"/>
                <w:w w:val="87"/>
              </w:rPr>
              <w:t>(Level 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available-for-sale securities: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U.S. government and agency securities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14,290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1,998</w:t>
            </w:r>
          </w:p>
        </w:tc>
        <w:tc>
          <w:tcPr>
            <w:tcW w:w="2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3,983</w:t>
            </w:r>
          </w:p>
        </w:tc>
        <w:tc>
          <w:tcPr>
            <w:tcW w:w="2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120,056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120,056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Cash equivalents and available-for-sale securities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226,738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208,451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227,300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221,319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5,981</w:t>
            </w:r>
          </w:p>
        </w:tc>
      </w:tr>
      <w:tr>
        <w:trPr>
          <w:trHeight w:val="20"/>
        </w:trPr>
        <w:tc>
          <w:tcPr>
            <w:tcW w:w="5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w w:val="95"/>
              </w:rPr>
              <w:t>Total cash, cash equivalents and available-for-sale securities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280,937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260,314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Reported as: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174,255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212,458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investments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080" w:type="dxa"/>
            <w:vAlign w:val="bottom"/>
          </w:tcPr>
          <w:p>
            <w:pPr>
              <w:ind w:left="440"/>
              <w:spacing w:after="0"/>
              <w:rPr>
                <w:sz w:val="20"/>
                <w:szCs w:val="20"/>
                <w:color w:val="auto"/>
              </w:rPr>
            </w:pPr>
            <w:r>
              <w:rPr>
                <w:rFonts w:ascii="Arial" w:cs="Arial" w:eastAsia="Arial" w:hAnsi="Arial"/>
                <w:sz w:val="18"/>
                <w:szCs w:val="18"/>
                <w:color w:val="auto"/>
              </w:rPr>
              <w:t>Long-term investments</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Total cash, cash equivalents and available-for-sale securities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classify investments within Level 1 if quoted prices are available in active markets.</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classify items in Level 2 if the investments are valued using observable inputs to quoted market prices, benchmark yields, reported trades, broker/dealer quotes or alternative pricing sources with reasonable levels of price transparency.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hold financial assets or liabilities which were recorded at fair value using inputs in the Level 3 category as of March 31, 2010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consisted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March 31,</w:t>
            </w:r>
          </w:p>
        </w:tc>
        <w:tc>
          <w:tcPr>
            <w:tcW w:w="340" w:type="dxa"/>
            <w:vAlign w:val="bottom"/>
          </w:tcPr>
          <w:p>
            <w:pPr>
              <w:spacing w:after="0"/>
              <w:rPr>
                <w:sz w:val="14"/>
                <w:szCs w:val="1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Finished goods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7,466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5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0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consisted of the following (in thousands):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March 31,</w:t>
            </w:r>
          </w:p>
        </w:tc>
        <w:tc>
          <w:tcPr>
            <w:tcW w:w="1240" w:type="dxa"/>
            <w:vAlign w:val="bottom"/>
            <w:gridSpan w:val="5"/>
          </w:tcPr>
          <w:p>
            <w:pPr>
              <w:ind w:lef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left="14"/>
              <w:spacing w:after="0"/>
              <w:rPr>
                <w:sz w:val="20"/>
                <w:szCs w:val="20"/>
                <w:color w:val="auto"/>
              </w:rPr>
            </w:pPr>
            <w:r>
              <w:rPr>
                <w:rFonts w:ascii="Arial" w:cs="Arial" w:eastAsia="Arial" w:hAnsi="Arial"/>
                <w:sz w:val="14"/>
                <w:szCs w:val="14"/>
                <w:b w:val="1"/>
                <w:bCs w:val="1"/>
                <w:color w:val="auto"/>
                <w:w w:val="83"/>
              </w:rPr>
              <w:t>2010</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9,102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Leasehold improvements and tooling</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3,978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23,505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w w:val="89"/>
              </w:rPr>
              <w:t>(16,842)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(16,214)</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$1.4 million and $1.2 million during the three months ended March 31, 2010 and March 29, 2009,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(LOSS) PER SHARE</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Basic net income (loss) per share is computed by dividing net income attributable to common stockholders by the weighted-average number of common shares outstanding during the period. Diluted net income (loss) per share is computed by dividing net income attributable to common stockholders by the weighted-average number of common shares outstanding, plus the dilutive effects of stock options and warrants.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2009, all of our outstanding convertible preferred stock converted into common stock in connection with our initial public offering. For periods that ended prior to such conversion, net income per share information is computed using the two-class method. The convertible preferred shares were entitled to receive annual non-cumulative dividends of $0.02, $0.05, $0.12, $0.12 and $0.30 per share for Series A, B, C, D, and E, respectively, payable prior and in preference to holders of common stock. After the payment of such dividends, convertible preferred shares were further entitled to receive a proportionate amount of any dividends paid on common stock on an if-converted basis. As a result of such dividend rights, the convertible preferred shares are considered to be participating securities. Under the two-class method of computing earnings per share, net income attributable to common stockholders is computed by an adjustment to subtract from net income the portion of current year earnings that the preferred shareholders would have been entitled to receive pursuant to their dividend rights had all of the year’s earnings been distributed. No such adjustment to earnings is made during periods with a net loss, as the holders of the convertible preferred shares had no obligation to fund losses. Accordingly, in the first quarter of 2009, we did not apply the two-class method. Basic net income (loss) per share is computed by dividing net income attributable to common stockholders by the weighted-average number of common shares outstanding during the period. Diluted net income (loss) per share is computed by using the weighted-average number of common shares outstanding, plus, for periods with net income attributable to common stock, the dilutive effects of stock options.</w:t>
      </w:r>
    </w:p>
    <w:p>
      <w:pPr>
        <w:spacing w:after="0" w:line="12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Net income per share information for the quarter ended March 29, 2009 gives effect to the repurchase of convertible preferred shares (Note 8). The excess of the fair value of the consideration paid for such preferred stock over the carrying value of the preferred stock represents a return to the preferred stockholders and is treated in a manner similar to the treatment of dividends paid to the holders of preferred stock in the computation of earnings per share. As a result, the premium paid is subtracted to derive net income attributable to common stockholders in determining earnings per share.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numerator and denominator used in the calculation of basic and diluted net income (loss) per share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29"/>
        </w:trPr>
        <w:tc>
          <w:tcPr>
            <w:tcW w:w="782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4,218</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Premium paid on repurchase of convertible preferred shares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(5,231)</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Net income (loss) attributable to common stockholders-basic and diluted</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4,218</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(1,457)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Basic shares: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common shares outstanding-basic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67,181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20,960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common shares outstanding-basic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67,181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20,960</w:t>
            </w:r>
          </w:p>
        </w:tc>
        <w:tc>
          <w:tcPr>
            <w:tcW w:w="0" w:type="dxa"/>
            <w:vAlign w:val="bottom"/>
          </w:tcPr>
          <w:p>
            <w:pPr>
              <w:spacing w:after="0"/>
              <w:rPr>
                <w:sz w:val="1"/>
                <w:szCs w:val="1"/>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Effect of potentially dilutive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Employee stock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Pr>
          <w:p>
            <w:pPr>
              <w:ind w:left="880"/>
              <w:spacing w:after="0"/>
              <w:rPr>
                <w:sz w:val="20"/>
                <w:szCs w:val="20"/>
                <w:color w:val="auto"/>
              </w:rPr>
            </w:pPr>
            <w:r>
              <w:rPr>
                <w:rFonts w:ascii="Arial" w:cs="Arial" w:eastAsia="Arial" w:hAnsi="Arial"/>
                <w:sz w:val="18"/>
                <w:szCs w:val="18"/>
                <w:color w:val="auto"/>
              </w:rPr>
              <w:t>Warrants to purchase common stock</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to compute diluted net income (loss)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74,878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20,960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outstanding options and convertible preferred stock were excluded from the computation of diluted net income (loss) per common share applicable to common stockholders for the periods presented as their effect would have been antidilutive (in thousands):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0" w:type="dxa"/>
            <w:vAlign w:val="bottom"/>
          </w:tcPr>
          <w:p>
            <w:pPr>
              <w:spacing w:after="0"/>
              <w:rPr>
                <w:sz w:val="1"/>
                <w:szCs w:val="1"/>
                <w:color w:val="auto"/>
              </w:rPr>
            </w:pPr>
          </w:p>
        </w:tc>
      </w:tr>
      <w:tr>
        <w:trPr>
          <w:trHeight w:val="161"/>
        </w:trPr>
        <w:tc>
          <w:tcPr>
            <w:tcW w:w="784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723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Convertible preferred stock (on an as-converted to common stock basis)</w:t>
            </w: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723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47,826</w:t>
            </w:r>
          </w:p>
        </w:tc>
        <w:tc>
          <w:tcPr>
            <w:tcW w:w="0" w:type="dxa"/>
            <w:vAlign w:val="bottom"/>
          </w:tcPr>
          <w:p>
            <w:pPr>
              <w:spacing w:after="0"/>
              <w:rPr>
                <w:sz w:val="1"/>
                <w:szCs w:val="1"/>
                <w:color w:val="auto"/>
              </w:rPr>
            </w:pPr>
          </w:p>
        </w:tc>
      </w:tr>
      <w:tr>
        <w:trPr>
          <w:trHeight w:val="20"/>
        </w:trPr>
        <w:tc>
          <w:tcPr>
            <w:tcW w:w="7840" w:type="dxa"/>
            <w:vAlign w:val="bottom"/>
            <w:vMerge w:val="restart"/>
          </w:tcPr>
          <w:p>
            <w:pPr>
              <w:jc w:val="right"/>
              <w:ind w:right="2872"/>
              <w:spacing w:after="0"/>
              <w:rPr>
                <w:sz w:val="20"/>
                <w:szCs w:val="20"/>
                <w:color w:val="auto"/>
              </w:rPr>
            </w:pPr>
            <w:r>
              <w:rPr>
                <w:rFonts w:ascii="Arial" w:cs="Arial" w:eastAsia="Arial" w:hAnsi="Arial"/>
                <w:sz w:val="18"/>
                <w:szCs w:val="18"/>
                <w:color w:val="auto"/>
              </w:rPr>
              <w:t>14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revenues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2009</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177,553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168,314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Ratable products and services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29,305</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29,475</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Total deferred revenues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211,537</w:t>
            </w: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201,930</w:t>
            </w: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Reported As: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Short-term</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145,140</w:t>
            </w: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140,537</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66,397</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61,393</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Total deferred revenues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211,537</w:t>
            </w: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201,930</w:t>
            </w: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90"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Leases and Minimum Royalties</w:t>
      </w:r>
      <w:r>
        <w:rPr>
          <w:rFonts w:ascii="Arial" w:cs="Arial" w:eastAsia="Arial" w:hAnsi="Arial"/>
          <w:sz w:val="18"/>
          <w:szCs w:val="18"/>
          <w:color w:val="auto"/>
        </w:rPr>
        <w:t>—We lease our facilities under various noncancelable operating leases, which expire through 2014. Rent expense was</w:t>
      </w:r>
      <w:r>
        <w:rPr>
          <w:rFonts w:ascii="Arial" w:cs="Arial" w:eastAsia="Arial" w:hAnsi="Arial"/>
          <w:sz w:val="18"/>
          <w:szCs w:val="18"/>
          <w:b w:val="1"/>
          <w:bCs w:val="1"/>
          <w:color w:val="auto"/>
        </w:rPr>
        <w:t xml:space="preserve"> </w:t>
      </w:r>
      <w:r>
        <w:rPr>
          <w:rFonts w:ascii="Arial" w:cs="Arial" w:eastAsia="Arial" w:hAnsi="Arial"/>
          <w:sz w:val="18"/>
          <w:szCs w:val="18"/>
          <w:color w:val="auto"/>
        </w:rPr>
        <w:t>$1.7 million and $1.4 million for the three months ended March 31, 2010 and March 29, 2009, respectively. Rent expense is recognized using the straight-line method over the term of the lease.</w:t>
      </w:r>
    </w:p>
    <w:p>
      <w:pPr>
        <w:spacing w:after="0" w:line="13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entered into a Settlement and Patent License Agreement with Trend Micro in January 2006 (see Litigation section below). The aggregate future noncancelable minimum rental payments on operating leases and minimum royalties payable if we continued paying under the Trend Micro Settlement and License Agreement as of March 31, 2010 are as follows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Rental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Payment</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6"/>
              </w:rPr>
              <w:t>Royalty</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Fiscal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2010 (remainder)</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4,977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19,351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firstLine="456"/>
        <w:spacing w:after="0" w:line="296" w:lineRule="auto"/>
        <w:rPr>
          <w:sz w:val="20"/>
          <w:szCs w:val="20"/>
          <w:color w:val="auto"/>
        </w:rPr>
      </w:pPr>
      <w:r>
        <w:rPr>
          <w:rFonts w:ascii="Arial" w:cs="Arial" w:eastAsia="Arial" w:hAnsi="Arial"/>
          <w:sz w:val="16"/>
          <w:szCs w:val="16"/>
          <w:b w:val="1"/>
          <w:bCs w:val="1"/>
          <w:color w:val="auto"/>
        </w:rPr>
        <w:t>Contract Manufacturer Commitments</w:t>
      </w:r>
      <w:r>
        <w:rPr>
          <w:rFonts w:ascii="Arial" w:cs="Arial" w:eastAsia="Arial" w:hAnsi="Arial"/>
          <w:sz w:val="16"/>
          <w:szCs w:val="16"/>
          <w:color w:val="auto"/>
        </w:rPr>
        <w:t>—Our independent contract manufacturers procure components and build our products based on our forecasts.</w:t>
      </w:r>
      <w:r>
        <w:rPr>
          <w:rFonts w:ascii="Arial" w:cs="Arial" w:eastAsia="Arial" w:hAnsi="Arial"/>
          <w:sz w:val="16"/>
          <w:szCs w:val="16"/>
          <w:b w:val="1"/>
          <w:bCs w:val="1"/>
          <w:color w:val="auto"/>
        </w:rPr>
        <w:t xml:space="preserve"> </w:t>
      </w:r>
      <w:r>
        <w:rPr>
          <w:rFonts w:ascii="Arial" w:cs="Arial" w:eastAsia="Arial" w:hAnsi="Arial"/>
          <w:sz w:val="16"/>
          <w:szCs w:val="16"/>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March 31, 2010, we had $19.1 million of open purchase orders with our independent contract manufacturers that may not be cancelable.</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—In May 2004, Trend Micro Incorporated filed a complaint against us alleging that we infringed a Trend Micro patent related to antivirus</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In January 2006, we settled the lawsuit with Trend Micro.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Trend Micro moved to dismiss the case, and, in June 2009, the court dismissed the case without prejudice on procedural grounds, and we appealed the dismissal in July 2009. Based on the dispute, we have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royalties. We have continued to accrue expense based on the quarterly royalties provided for in the settlement and license agreement.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On May 3, 2010, the state court denied Trend Micro’s demurrer in its entirety. On May 12, 2010, the United States District Court for the Northern District of California denied Trend Micro’s motion to dismiss without prejudice and stayed the action before that court pending the conclusion of the state court action.</w:t>
      </w:r>
    </w:p>
    <w:p>
      <w:pPr>
        <w:spacing w:after="0" w:line="12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January 2009, we filed a complaint against Palo Alto Networks, Inc., in the United States District Court for the Northern District of California alleging, among other claims, patent infringement. In September 2009, Palo Alto Networks filed a counterclaim against us alleging patent infringement. In May 2009, Enhanced Security Research, LLC (“ESR”) a non-practicing entity, filed a complaint in the United States District Court for the District of Delaware alleging patent infringement by us and other defendants. In August 2009, ESR filed a substantially similar complaint against us in the same court alleging infringement of the same patents. In September 2009, Deep Nines, Inc. filed, but did not serve us with, a complaint against us in the United States District Court for the Eastern District of Texas alleging that our products infringe certain of their patents. The Palo Alto Networks and ESR cases are currently at an early stage of the litigation process. The Deep Nines case has not yet been served.</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April 2010, an individual, a former stockholder of Fortinet, filed a class action lawsuit against us in the Superior Court of the State of California for the County of Los Angeles alleging violation of various California Corporate Code sections and related tort claims alleging misrepresentation and breach of fiduciary duty regarding the 2009 repurchase by Fortinet of shares of its stock while we were a privately-held company as discussed in Note 8 immediately below, “Stockholders’ Equity—Stock Repurchase”.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above matters, we are subject to other litigation in the course of business. Although no assurance may be given, we believe that we are not presently a party to any litigation the outcome of which will individually or in the aggregate be reasonably expected to have a material adverse effect on our business, operating results, cash flows, or financial condition.</w:t>
      </w:r>
    </w:p>
    <w:p>
      <w:pPr>
        <w:spacing w:after="0" w:line="13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—Under the indemnification provisions of our standard sales contracts, we agree to defend our customers against third-party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Common Shares Reserved for Issuance</w:t>
      </w:r>
      <w:r>
        <w:rPr>
          <w:rFonts w:ascii="Arial" w:cs="Arial" w:eastAsia="Arial" w:hAnsi="Arial"/>
          <w:sz w:val="16"/>
          <w:szCs w:val="16"/>
          <w:color w:val="auto"/>
        </w:rPr>
        <w:t>—At March 31, 2010, we had reserved shares of common stock for issuance as follows (in thousands):</w:t>
      </w:r>
    </w:p>
    <w:p>
      <w:pPr>
        <w:spacing w:after="0" w:line="24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Reserved under stock option plans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40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20" w:type="dxa"/>
            <w:vAlign w:val="bottom"/>
            <w:vMerge w:val="restart"/>
          </w:tcPr>
          <w:p>
            <w:pPr>
              <w:jc w:val="right"/>
              <w:ind w:right="3132"/>
              <w:spacing w:after="0"/>
              <w:rPr>
                <w:sz w:val="20"/>
                <w:szCs w:val="20"/>
                <w:color w:val="auto"/>
              </w:rPr>
            </w:pPr>
            <w:r>
              <w:rPr>
                <w:rFonts w:ascii="Arial" w:cs="Arial" w:eastAsia="Arial" w:hAnsi="Arial"/>
                <w:sz w:val="18"/>
                <w:szCs w:val="18"/>
                <w:color w:val="auto"/>
              </w:rPr>
              <w:t>16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Stock Repurchase</w:t>
      </w:r>
      <w:r>
        <w:rPr>
          <w:rFonts w:ascii="Arial" w:cs="Arial" w:eastAsia="Arial" w:hAnsi="Arial"/>
          <w:sz w:val="16"/>
          <w:szCs w:val="16"/>
          <w:color w:val="auto"/>
        </w:rPr>
        <w:t>—While we were a privately-held company, during the first six months of fiscal 2009, our board of directors approved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authorization. This repurchase authorization allowed us to repurchase up to $20.0 million of our convertible preferred and common stock at $4.25 per share through June 17, 2009. This repurchase authorization expressly excluded our board members and senior management. We repurchased 704,632 shares of common stock and 3,004,165 shares of convertible preferred stock for a total consideration of $15.7 million, out of which 416,177 shares of common stock and 1,476,000 shares of convertible preferred stock were repurchased in the first quarter of 2009 for total consideration of $8.0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PLANS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2000 Stock Plan</w:t>
      </w:r>
      <w:r>
        <w:rPr>
          <w:rFonts w:ascii="Arial" w:cs="Arial" w:eastAsia="Arial" w:hAnsi="Arial"/>
          <w:sz w:val="18"/>
          <w:szCs w:val="18"/>
          <w:color w:val="auto"/>
        </w:rPr>
        <w:t>—During 2000, we adopted the 2000 Stock Option Plan, which was amended and restated in April 2006 and further amended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2008 (the “Amended and Restated 2000 Stock Plan”). The Amended and Restated 2000 Stock Plan includes both incentive and non-statutory stock options. Under the Amended and Restated 2000 Stock Plan, we may grant options to purchase up to 21,500,000 shares of common stock to employees, directors and other service providers at prices not less than the fair market value at date of grant for incentive stock options and not less than 85% of fair market value for non-statutory options. Options granted to a person who, at the time of the grant, owns more than 10% of the voting power of all classes of stock shall be at no less than 110% of the fair market value and expire five years from the date of grant. All other options generally have a contractual term of 10 years. Options generally vest over four years.</w:t>
      </w:r>
    </w:p>
    <w:p>
      <w:pPr>
        <w:spacing w:after="0" w:line="14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color w:val="auto"/>
        </w:rPr>
        <w:t>2008 Stock Plan</w:t>
      </w:r>
      <w:r>
        <w:rPr>
          <w:rFonts w:ascii="Arial" w:cs="Arial" w:eastAsia="Arial" w:hAnsi="Arial"/>
          <w:sz w:val="18"/>
          <w:szCs w:val="18"/>
          <w:color w:val="auto"/>
        </w:rPr>
        <w:t>—On January 28, 2008, our board of directors approved the 2008 Stock Plan (the 2008 Plan) and French Sub-Plan, which includes both</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and non-statutory stock options. The maximum aggregate number of shares which may be subject to options and sold under the 2008 Plan and the French Sub-Plan is 5,000,000 shares, plus any shares that, as of the date of stockholder approval of the 2008 Plan, have been reserved but not issued under the 2000 Plan or shares subject to stock options or similar awards granted under the 2000 Plan that expire or otherwise terminate without having been exercised in full or that are forfeited to or repurchased by us.</w:t>
      </w:r>
    </w:p>
    <w:p>
      <w:pPr>
        <w:spacing w:after="0" w:line="14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2008 Plan and the French Sub-Plan, we may grant options to employees, directors and other service providers. In the case of an incentive stock option granted to an employee, who at the time of grant, owns stock representing more than 10% of the total combined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38"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b w:val="1"/>
          <w:bCs w:val="1"/>
          <w:color w:val="auto"/>
        </w:rPr>
        <w:t>2009 Equity Incentive Plan</w:t>
      </w:r>
      <w:r>
        <w:rPr>
          <w:rFonts w:ascii="Arial" w:cs="Arial" w:eastAsia="Arial" w:hAnsi="Arial"/>
          <w:sz w:val="15"/>
          <w:szCs w:val="15"/>
          <w:color w:val="auto"/>
        </w:rPr>
        <w:t>—On November 17, 2009, our board of directors approved the 2009 Equity Incentive Plan (the 2009 Plan) and French Sub-Plan, which includes awards of stock options, stock appreciation rights, restricted stock, restricted stock units, and performance units or performance shares. The maximum aggregate number of shares that may be issued under the 2009 Plan is 9,000,000 shares, plus any shares subject to stock options or similar awards granted under the 2008 Stock Plan and the Amended and Restated 2000 Stock Plan that expire or otherwise terminate without having been exercised in full and shares issued pursuant to awards granted under the 2008 Stock Plan and the Amended and Restated 2000 Stock Plan that are forfeited to or repurchased by the Company, with the maximum number of shares to be added to the 2009 Plan pursuant to such terminations, forfeitures and repurchases not to exceed 21,000,000 shares. The shares may be authorized, but unissued or reacquired common stock. The number of shares available for issuance under the 2009 Plan will be increased on the first day of each fiscal year beginning with the 2011 fiscal year, in an amount equal to the lesser of (i) 7,000,000 shares, (ii) five percent (5%) of the outstanding shares on the last day of the immediately preceding fiscal year, or (iii) such number of shares determined by the board of directors.</w:t>
      </w:r>
    </w:p>
    <w:p>
      <w:pPr>
        <w:spacing w:after="0" w:line="10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2009 Plan and the French Sub-Plan,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 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Stock-based compensation under ASC 718</w:t>
      </w:r>
      <w:r>
        <w:rPr>
          <w:rFonts w:ascii="Arial" w:cs="Arial" w:eastAsia="Arial" w:hAnsi="Arial"/>
          <w:sz w:val="16"/>
          <w:szCs w:val="16"/>
          <w:color w:val="auto"/>
        </w:rPr>
        <w:t>—Effective January 1, 2006, we adopted ASC 718, which requires compensation costs related to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including employee stock options, to be recognized in the financial statements based on fair value. Under ASC 718, the fair value of each option award is estimated on the grant date using the Black-Scholes option pricing model. We determined weighted-average valuation assumptions as follows: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method</w:t>
      </w:r>
      <w:r>
        <w:rPr>
          <w:rFonts w:ascii="Arial" w:cs="Arial" w:eastAsia="Arial" w:hAnsi="Arial"/>
          <w:sz w:val="18"/>
          <w:szCs w:val="18"/>
          <w:color w:val="auto"/>
        </w:rPr>
        <w:t>—We estimate the fair value of stock options granted using the Black-Scholes valuation model.</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for determining the expected term of the stock option awards granted, we have based our expected term on the simplified method available under ASC 718-10 (formerly referred to as Staff Accounting Bulletin 110).</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computation of expected volatility for the periods presented is based on the historical and implied stock volatility of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from a representative peer group selected based on industry and market capitalization data as we did not have sufficient trading history to calculate it directly.</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shares of common stock that underlie the stock options we have granted has historically been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Because there has been no public market for our common stock, prior to our initial public offering in November 2009, our board has determined the fair value of our common stock at the time of grant of the option by considering a number of objective and subjective factors, our sales of preferred stock to unrelated third parties, our operating and financial performance, the lack of liquidity of our capital stock and trends in the broader network security and computer networking market.</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used in the Black-Scholes valuation model on the implied yield available 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zero-coupon issues with an equivalent remaining term.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expected dividend weighted-average assumption is based on our current expectations about our anticipated dividend policy.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weighted-average assumptions relating to our stock options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w w:val="96"/>
              </w:rPr>
              <w:t>Three Months Ended</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6"/>
              </w:rPr>
              <w:t>March 31,</w:t>
            </w:r>
          </w:p>
        </w:tc>
        <w:tc>
          <w:tcPr>
            <w:tcW w:w="420" w:type="dxa"/>
            <w:vAlign w:val="bottom"/>
          </w:tcPr>
          <w:p>
            <w:pPr>
              <w:spacing w:after="0"/>
              <w:rPr>
                <w:sz w:val="11"/>
                <w:szCs w:val="11"/>
                <w:color w:val="auto"/>
              </w:rPr>
            </w:pPr>
          </w:p>
        </w:tc>
        <w:tc>
          <w:tcPr>
            <w:tcW w:w="90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Volatility</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40.5%</w:t>
            </w:r>
          </w:p>
        </w:tc>
        <w:tc>
          <w:tcPr>
            <w:tcW w:w="420" w:type="dxa"/>
            <w:vAlign w:val="bottom"/>
          </w:tcPr>
          <w:p>
            <w:pPr>
              <w:spacing w:after="0"/>
              <w:rPr>
                <w:sz w:val="19"/>
                <w:szCs w:val="19"/>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370"/>
        </w:trPr>
        <w:tc>
          <w:tcPr>
            <w:tcW w:w="7020" w:type="dxa"/>
            <w:vAlign w:val="bottom"/>
            <w:gridSpan w:val="2"/>
          </w:tcPr>
          <w:p>
            <w:pPr>
              <w:jc w:val="right"/>
              <w:ind w:right="232"/>
              <w:spacing w:after="0"/>
              <w:rPr>
                <w:sz w:val="20"/>
                <w:szCs w:val="20"/>
                <w:color w:val="auto"/>
              </w:rPr>
            </w:pPr>
            <w:r>
              <w:rPr>
                <w:rFonts w:ascii="Arial" w:cs="Arial" w:eastAsia="Arial" w:hAnsi="Arial"/>
                <w:sz w:val="18"/>
                <w:szCs w:val="18"/>
                <w:color w:val="auto"/>
                <w:w w:val="86"/>
              </w:rPr>
              <w:t>Stock-based compensation expense is included in costs and expenses as follows (in thousands):</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300" w:type="dxa"/>
            <w:vAlign w:val="bottom"/>
          </w:tcPr>
          <w:p>
            <w:pPr>
              <w:spacing w:after="0"/>
              <w:rPr>
                <w:sz w:val="11"/>
                <w:szCs w:val="11"/>
                <w:color w:val="auto"/>
              </w:rPr>
            </w:pPr>
          </w:p>
        </w:tc>
        <w:tc>
          <w:tcPr>
            <w:tcW w:w="800" w:type="dxa"/>
            <w:vAlign w:val="bottom"/>
            <w:gridSpan w:val="4"/>
          </w:tcPr>
          <w:p>
            <w:pPr>
              <w:ind w:left="200"/>
              <w:spacing w:after="0" w:line="129" w:lineRule="exact"/>
              <w:rPr>
                <w:sz w:val="20"/>
                <w:szCs w:val="20"/>
                <w:color w:val="auto"/>
              </w:rPr>
            </w:pPr>
            <w:r>
              <w:rPr>
                <w:rFonts w:ascii="Arial" w:cs="Arial" w:eastAsia="Arial" w:hAnsi="Arial"/>
                <w:sz w:val="14"/>
                <w:szCs w:val="14"/>
                <w:b w:val="1"/>
                <w:bCs w:val="1"/>
                <w:color w:val="auto"/>
                <w:w w:val="89"/>
              </w:rPr>
              <w:t>March 29,</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80" w:type="dxa"/>
            <w:vAlign w:val="bottom"/>
            <w:gridSpan w:val="2"/>
          </w:tcPr>
          <w:p>
            <w:pPr>
              <w:spacing w:after="0"/>
              <w:rPr>
                <w:sz w:val="14"/>
                <w:szCs w:val="14"/>
                <w:color w:val="auto"/>
              </w:rPr>
            </w:pPr>
          </w:p>
        </w:tc>
        <w:tc>
          <w:tcPr>
            <w:tcW w:w="60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2009</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06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services revenue</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060" w:type="dxa"/>
            <w:vAlign w:val="bottom"/>
            <w:gridSpan w:val="4"/>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2,148</w:t>
            </w: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jc w:val="right"/>
              <w:ind w:right="1592"/>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summary of the option activity under our stock plans and changes during the reporting periods are presented below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Available</w:t>
            </w: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2"/>
                <w:szCs w:val="12"/>
                <w:color w:val="auto"/>
              </w:rPr>
            </w:pPr>
          </w:p>
        </w:tc>
        <w:tc>
          <w:tcPr>
            <w:tcW w:w="5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6"/>
              </w:rPr>
              <w:t>Exercise</w:t>
            </w:r>
          </w:p>
        </w:tc>
        <w:tc>
          <w:tcPr>
            <w:tcW w:w="3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Grant</w:t>
            </w:r>
          </w:p>
        </w:tc>
        <w:tc>
          <w:tcPr>
            <w:tcW w:w="4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2009</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9,049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(1,306)</w:t>
            </w:r>
          </w:p>
        </w:tc>
        <w:tc>
          <w:tcPr>
            <w:tcW w:w="580" w:type="dxa"/>
            <w:vAlign w:val="bottom"/>
          </w:tcPr>
          <w:p>
            <w:pPr>
              <w:jc w:val="right"/>
              <w:spacing w:after="0"/>
              <w:rPr>
                <w:sz w:val="20"/>
                <w:szCs w:val="20"/>
                <w:color w:val="auto"/>
              </w:rPr>
            </w:pPr>
            <w:r>
              <w:rPr>
                <w:rFonts w:ascii="Arial" w:cs="Arial" w:eastAsia="Arial" w:hAnsi="Arial"/>
                <w:sz w:val="18"/>
                <w:szCs w:val="18"/>
                <w:color w:val="auto"/>
              </w:rPr>
              <w:t>1,306</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16.86</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Exercised (aggregate intrinsic value of $8,948)</w:t>
            </w:r>
          </w:p>
        </w:tc>
        <w:tc>
          <w:tcPr>
            <w:tcW w:w="6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2010</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vest—March 31, 2010</w:t>
            </w: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5.86</w:t>
            </w:r>
          </w:p>
        </w:tc>
        <w:tc>
          <w:tcPr>
            <w:tcW w:w="132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5.15</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ind w:left="160"/>
              <w:spacing w:after="0"/>
              <w:rPr>
                <w:sz w:val="20"/>
                <w:szCs w:val="20"/>
                <w:color w:val="auto"/>
              </w:rPr>
            </w:pPr>
            <w:r>
              <w:rPr>
                <w:rFonts w:ascii="Arial" w:cs="Arial" w:eastAsia="Arial" w:hAnsi="Arial"/>
                <w:sz w:val="18"/>
                <w:szCs w:val="18"/>
                <w:color w:val="auto"/>
                <w:w w:val="86"/>
              </w:rPr>
              <w:t>202,970</w:t>
            </w:r>
          </w:p>
        </w:tc>
        <w:tc>
          <w:tcPr>
            <w:tcW w:w="0" w:type="dxa"/>
            <w:vAlign w:val="bottom"/>
          </w:tcPr>
          <w:p>
            <w:pPr>
              <w:spacing w:after="0" w:line="20" w:lineRule="exact"/>
              <w:rPr>
                <w:sz w:val="1"/>
                <w:szCs w:val="1"/>
                <w:color w:val="auto"/>
              </w:rPr>
            </w:pPr>
          </w:p>
        </w:tc>
      </w:tr>
      <w:tr>
        <w:trPr>
          <w:trHeight w:val="208"/>
        </w:trPr>
        <w:tc>
          <w:tcPr>
            <w:tcW w:w="65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17,311</w:t>
            </w:r>
          </w:p>
        </w:tc>
        <w:tc>
          <w:tcPr>
            <w:tcW w:w="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exercisable—March 31, 2010</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151,245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March 31, 2010, total compensation cost related to unvested stock-based awards granted to employees under our stock plans but not yet recognized was $22.5 million, net of estimated forfeitures. This cost is expected to be amortized on a straight-line basis over a weighted-average period of 2.66 years. Future option grants will increase the amount of compensation expense to be recorded in these periods.</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total fair value of awards vested under our stock plans was $3.3 million and $0.8 million for the three months ended March 31, 2010 and March 29, 2009, respectively. The weighted-average fair value of options granted during the first quarter of 2010 was $6.28 per share.</w:t>
      </w:r>
    </w:p>
    <w:p>
      <w:pPr>
        <w:spacing w:after="0" w:line="79" w:lineRule="exact"/>
        <w:rPr>
          <w:sz w:val="20"/>
          <w:szCs w:val="20"/>
          <w:color w:val="auto"/>
        </w:rPr>
      </w:pPr>
    </w:p>
    <w:p>
      <w:pPr>
        <w:ind w:right="160" w:firstLine="456"/>
        <w:spacing w:after="0" w:line="320" w:lineRule="auto"/>
        <w:rPr>
          <w:sz w:val="20"/>
          <w:szCs w:val="20"/>
          <w:color w:val="auto"/>
        </w:rPr>
      </w:pPr>
      <w:r>
        <w:rPr>
          <w:rFonts w:ascii="Arial" w:cs="Arial" w:eastAsia="Arial" w:hAnsi="Arial"/>
          <w:sz w:val="15"/>
          <w:szCs w:val="15"/>
          <w:b w:val="1"/>
          <w:bCs w:val="1"/>
          <w:color w:val="auto"/>
        </w:rPr>
        <w:t>Non-employees</w:t>
      </w:r>
      <w:r>
        <w:rPr>
          <w:rFonts w:ascii="Arial" w:cs="Arial" w:eastAsia="Arial" w:hAnsi="Arial"/>
          <w:sz w:val="15"/>
          <w:szCs w:val="15"/>
          <w:color w:val="auto"/>
        </w:rPr>
        <w:t>—During the quarter ended March 31, 2010, we issued options to purchase 9,400 of common stock, at an exercise price of $16.86 per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share, to non-employees in exchange for services. No options were granted to nonemployees in exchange for services during the quarter ended March 29, 2009. These options vest over periods of up to 48 months, and in accordance with ASC 505-50 (formerly referred to as Emerging Issues Task Force Issue No. 96-18, </w:t>
      </w:r>
      <w:r>
        <w:rPr>
          <w:rFonts w:ascii="Arial" w:cs="Arial" w:eastAsia="Arial" w:hAnsi="Arial"/>
          <w:sz w:val="15"/>
          <w:szCs w:val="15"/>
          <w:i w:val="1"/>
          <w:iCs w:val="1"/>
          <w:color w:val="auto"/>
        </w:rPr>
        <w:t>Accounting for Equity Instruments that are Issued to Other Than Employees for Acquiring, or in Conjunction with Selling Goods or Services</w:t>
      </w:r>
      <w:r>
        <w:rPr>
          <w:rFonts w:ascii="Arial" w:cs="Arial" w:eastAsia="Arial" w:hAnsi="Arial"/>
          <w:sz w:val="15"/>
          <w:szCs w:val="15"/>
          <w:color w:val="auto"/>
        </w:rPr>
        <w:t>), we accounted for</w:t>
      </w:r>
      <w:r>
        <w:rPr>
          <w:rFonts w:ascii="Arial" w:cs="Arial" w:eastAsia="Arial" w:hAnsi="Arial"/>
          <w:sz w:val="15"/>
          <w:szCs w:val="15"/>
          <w:i w:val="1"/>
          <w:iCs w:val="1"/>
          <w:color w:val="auto"/>
        </w:rPr>
        <w:t xml:space="preserve"> </w:t>
      </w:r>
      <w:r>
        <w:rPr>
          <w:rFonts w:ascii="Arial" w:cs="Arial" w:eastAsia="Arial" w:hAnsi="Arial"/>
          <w:sz w:val="15"/>
          <w:szCs w:val="15"/>
          <w:color w:val="auto"/>
        </w:rPr>
        <w:t>these options as variable awards. The options were valued using the Black-Scholes option pricing model with the following weighted-average assumptions:</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43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1040" w:type="dxa"/>
            <w:vAlign w:val="bottom"/>
            <w:gridSpan w:val="2"/>
          </w:tcPr>
          <w:p>
            <w:pPr>
              <w:ind w:left="440"/>
              <w:spacing w:after="0" w:line="129" w:lineRule="exact"/>
              <w:rPr>
                <w:sz w:val="20"/>
                <w:szCs w:val="20"/>
                <w:color w:val="auto"/>
              </w:rPr>
            </w:pPr>
            <w:r>
              <w:rPr>
                <w:rFonts w:ascii="Arial" w:cs="Arial" w:eastAsia="Arial" w:hAnsi="Arial"/>
                <w:sz w:val="14"/>
                <w:szCs w:val="14"/>
                <w:b w:val="1"/>
                <w:bCs w:val="1"/>
                <w:color w:val="auto"/>
                <w:w w:val="89"/>
              </w:rPr>
              <w:t>March 29,</w:t>
            </w:r>
          </w:p>
        </w:tc>
      </w:tr>
      <w:tr>
        <w:trPr>
          <w:trHeight w:val="161"/>
        </w:trPr>
        <w:tc>
          <w:tcPr>
            <w:tcW w:w="4340" w:type="dxa"/>
            <w:vAlign w:val="bottom"/>
          </w:tcPr>
          <w:p>
            <w:pPr>
              <w:spacing w:after="0"/>
              <w:rPr>
                <w:sz w:val="14"/>
                <w:szCs w:val="14"/>
                <w:color w:val="auto"/>
              </w:rPr>
            </w:pPr>
          </w:p>
        </w:tc>
        <w:tc>
          <w:tcPr>
            <w:tcW w:w="3300" w:type="dxa"/>
            <w:vAlign w:val="bottom"/>
            <w:gridSpan w:val="2"/>
          </w:tcPr>
          <w:p>
            <w:pPr>
              <w:jc w:val="center"/>
              <w:ind w:left="2637"/>
              <w:spacing w:after="0"/>
              <w:rPr>
                <w:sz w:val="20"/>
                <w:szCs w:val="20"/>
                <w:color w:val="auto"/>
              </w:rPr>
            </w:pPr>
            <w:r>
              <w:rPr>
                <w:rFonts w:ascii="Arial" w:cs="Arial" w:eastAsia="Arial" w:hAnsi="Arial"/>
                <w:sz w:val="14"/>
                <w:szCs w:val="14"/>
                <w:b w:val="1"/>
                <w:bCs w:val="1"/>
                <w:color w:val="auto"/>
                <w:w w:val="83"/>
              </w:rPr>
              <w:t>2010</w:t>
            </w:r>
          </w:p>
        </w:tc>
        <w:tc>
          <w:tcPr>
            <w:tcW w:w="1040" w:type="dxa"/>
            <w:vAlign w:val="bottom"/>
            <w:gridSpan w:val="2"/>
          </w:tcPr>
          <w:p>
            <w:pPr>
              <w:jc w:val="center"/>
              <w:ind w:left="340"/>
              <w:spacing w:after="0"/>
              <w:rPr>
                <w:sz w:val="20"/>
                <w:szCs w:val="20"/>
                <w:color w:val="auto"/>
              </w:rPr>
            </w:pPr>
            <w:r>
              <w:rPr>
                <w:rFonts w:ascii="Arial" w:cs="Arial" w:eastAsia="Arial" w:hAnsi="Arial"/>
                <w:sz w:val="14"/>
                <w:szCs w:val="14"/>
                <w:b w:val="1"/>
                <w:bCs w:val="1"/>
                <w:color w:val="auto"/>
                <w:w w:val="83"/>
              </w:rPr>
              <w:t>2009</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7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00" w:type="dxa"/>
            <w:vAlign w:val="bottom"/>
            <w:gridSpan w:val="2"/>
          </w:tcPr>
          <w:p>
            <w:pPr>
              <w:jc w:val="center"/>
              <w:ind w:left="2617"/>
              <w:spacing w:after="0"/>
              <w:rPr>
                <w:sz w:val="20"/>
                <w:szCs w:val="20"/>
                <w:color w:val="auto"/>
              </w:rPr>
            </w:pPr>
            <w:r>
              <w:rPr>
                <w:rFonts w:ascii="Arial" w:cs="Arial" w:eastAsia="Arial" w:hAnsi="Arial"/>
                <w:sz w:val="18"/>
                <w:szCs w:val="18"/>
                <w:color w:val="auto"/>
                <w:w w:val="87"/>
              </w:rPr>
              <w:t>2.4%</w:t>
            </w:r>
          </w:p>
        </w:tc>
        <w:tc>
          <w:tcPr>
            <w:tcW w:w="1040" w:type="dxa"/>
            <w:vAlign w:val="bottom"/>
            <w:gridSpan w:val="2"/>
          </w:tcPr>
          <w:p>
            <w:pPr>
              <w:jc w:val="center"/>
              <w:ind w:left="340"/>
              <w:spacing w:after="0"/>
              <w:rPr>
                <w:sz w:val="20"/>
                <w:szCs w:val="20"/>
                <w:color w:val="auto"/>
              </w:rPr>
            </w:pPr>
            <w:r>
              <w:rPr>
                <w:rFonts w:ascii="Arial" w:cs="Arial" w:eastAsia="Arial" w:hAnsi="Arial"/>
                <w:sz w:val="18"/>
                <w:szCs w:val="18"/>
                <w:color w:val="auto"/>
                <w:w w:val="92"/>
              </w:rPr>
              <w:t>1.3%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300" w:type="dxa"/>
            <w:vAlign w:val="bottom"/>
            <w:gridSpan w:val="2"/>
            <w:shd w:val="clear" w:color="auto" w:fill="CCEEFF"/>
          </w:tcPr>
          <w:p>
            <w:pPr>
              <w:jc w:val="center"/>
              <w:ind w:left="2637"/>
              <w:spacing w:after="0"/>
              <w:rPr>
                <w:sz w:val="20"/>
                <w:szCs w:val="20"/>
                <w:color w:val="auto"/>
              </w:rPr>
            </w:pPr>
            <w:r>
              <w:rPr>
                <w:rFonts w:ascii="Arial" w:cs="Arial" w:eastAsia="Arial" w:hAnsi="Arial"/>
                <w:sz w:val="18"/>
                <w:szCs w:val="18"/>
                <w:color w:val="auto"/>
                <w:w w:val="87"/>
              </w:rPr>
              <w:t>5.1 - 6.8</w:t>
            </w:r>
          </w:p>
        </w:tc>
        <w:tc>
          <w:tcPr>
            <w:tcW w:w="1040" w:type="dxa"/>
            <w:vAlign w:val="bottom"/>
            <w:gridSpan w:val="2"/>
            <w:shd w:val="clear" w:color="auto" w:fill="CCEEFF"/>
          </w:tcPr>
          <w:p>
            <w:pPr>
              <w:jc w:val="center"/>
              <w:ind w:left="340"/>
              <w:spacing w:after="0"/>
              <w:rPr>
                <w:sz w:val="20"/>
                <w:szCs w:val="20"/>
                <w:color w:val="auto"/>
              </w:rPr>
            </w:pPr>
            <w:r>
              <w:rPr>
                <w:rFonts w:ascii="Arial" w:cs="Arial" w:eastAsia="Arial" w:hAnsi="Arial"/>
                <w:sz w:val="18"/>
                <w:szCs w:val="18"/>
                <w:color w:val="auto"/>
                <w:w w:val="87"/>
              </w:rPr>
              <w:t>6.1 - 7.5</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Volatility</w:t>
            </w:r>
          </w:p>
        </w:tc>
        <w:tc>
          <w:tcPr>
            <w:tcW w:w="3300" w:type="dxa"/>
            <w:vAlign w:val="bottom"/>
            <w:gridSpan w:val="2"/>
          </w:tcPr>
          <w:p>
            <w:pPr>
              <w:jc w:val="center"/>
              <w:ind w:left="2637"/>
              <w:spacing w:after="0"/>
              <w:rPr>
                <w:sz w:val="20"/>
                <w:szCs w:val="20"/>
                <w:color w:val="auto"/>
              </w:rPr>
            </w:pPr>
            <w:r>
              <w:rPr>
                <w:rFonts w:ascii="Arial" w:cs="Arial" w:eastAsia="Arial" w:hAnsi="Arial"/>
                <w:sz w:val="18"/>
                <w:szCs w:val="18"/>
                <w:color w:val="auto"/>
                <w:w w:val="90"/>
              </w:rPr>
              <w:t>40.5%</w:t>
            </w:r>
          </w:p>
        </w:tc>
        <w:tc>
          <w:tcPr>
            <w:tcW w:w="1040" w:type="dxa"/>
            <w:vAlign w:val="bottom"/>
            <w:gridSpan w:val="2"/>
          </w:tcPr>
          <w:p>
            <w:pPr>
              <w:jc w:val="center"/>
              <w:ind w:left="340"/>
              <w:spacing w:after="0"/>
              <w:rPr>
                <w:sz w:val="20"/>
                <w:szCs w:val="20"/>
                <w:color w:val="auto"/>
              </w:rPr>
            </w:pPr>
            <w:r>
              <w:rPr>
                <w:rFonts w:ascii="Arial" w:cs="Arial" w:eastAsia="Arial" w:hAnsi="Arial"/>
                <w:sz w:val="18"/>
                <w:szCs w:val="18"/>
                <w:color w:val="auto"/>
                <w:w w:val="90"/>
              </w:rPr>
              <w:t>51.8%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effective tax rate was 37.3% for the three months ended March 31, 2010, compared with an effective tax rate of 14.9% for the three months ended March 29, 2009. The provision for income taxes for March 31, 2010 is comprised of foreign income taxes, U.S. federal and state taxes, and withholding tax. The provision for income taxes for March 29, 2009 is comprised primarily of foreign income taxes, U.S. federal alternative minimum tax and state income taxes, and withholding tax.</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of March 31, 2010 and December 31, 2009, unrecognized tax benefits determined in accordance with authoritative guidance on accounting for uncertainty in income taxes, approximated $3.4 million for both periods. There were no significant changes in the unrecognized tax benefits for this period. The total amount of unrecognized tax benefits, if recognized, would favorably affect the effective tax rate.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For the three months ended March 31, 2010, interest and penalties related to unrecognized tax benefits were immaterial. We do not expect any material unrecognized tax benefits to expire within the next twelve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established a 401(k) tax-deferred savings plan (the “401(k) Plan”) which permits participants to make contributions by salary deduction pursuant to Section 401(k) of the Internal Revenue Code. We are responsible for administrative costs of the 401(k) Plan and have made no contributions to the 401(k) Plan since inception.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CERTAIN RELATIONSHIPS AND 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29, 2009, we paid compensation of $44,000 to two employees who are directly related to a former board member.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individual ceased being a board member as of October 2009.</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February 2008, we entered into a 23-month non-cancelable facility lease agreement with an entity affiliated with one of our board members. Under the terms of the agreement, in 2008, we paid approximately $284,000 for tenant improvements and $316,000 for a refundable deposit. For the quarter ended March 29, 2009 we paid $249,000 for office rent and operating expenses. The lease expired on December 31,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ASC 280 (formerly referred to as 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are considered to be in a single reportable segment and operating unit structure.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interest income and property and equipment by geographic region (in thousands):</w:t>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9"/>
              </w:rPr>
              <w:t>March 29,</w:t>
            </w:r>
          </w:p>
        </w:tc>
        <w:tc>
          <w:tcPr>
            <w:tcW w:w="0" w:type="dxa"/>
            <w:vAlign w:val="bottom"/>
          </w:tcPr>
          <w:p>
            <w:pPr>
              <w:spacing w:after="0"/>
              <w:rPr>
                <w:sz w:val="1"/>
                <w:szCs w:val="1"/>
                <w:color w:val="auto"/>
              </w:rPr>
            </w:pPr>
          </w:p>
        </w:tc>
      </w:tr>
      <w:tr>
        <w:trPr>
          <w:trHeight w:val="161"/>
        </w:trPr>
        <w:tc>
          <w:tcPr>
            <w:tcW w:w="3580" w:type="dxa"/>
            <w:vAlign w:val="bottom"/>
            <w:gridSpan w:val="5"/>
          </w:tcPr>
          <w:p>
            <w:pPr>
              <w:spacing w:after="0"/>
              <w:rPr>
                <w:sz w:val="20"/>
                <w:szCs w:val="20"/>
                <w:color w:val="auto"/>
              </w:rPr>
            </w:pPr>
            <w:r>
              <w:rPr>
                <w:rFonts w:ascii="Arial" w:cs="Arial" w:eastAsia="Arial" w:hAnsi="Arial"/>
                <w:sz w:val="14"/>
                <w:szCs w:val="14"/>
                <w:b w:val="1"/>
                <w:bCs w:val="1"/>
                <w:color w:val="auto"/>
              </w:rPr>
              <w:t>Revenue</w:t>
            </w: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4"/>
          </w:tcPr>
          <w:p>
            <w:pPr>
              <w:spacing w:after="0"/>
              <w:rPr>
                <w:sz w:val="20"/>
                <w:szCs w:val="20"/>
                <w:color w:val="auto"/>
              </w:rPr>
            </w:pPr>
            <w:r>
              <w:rPr>
                <w:rFonts w:ascii="Arial" w:cs="Arial" w:eastAsia="Arial" w:hAnsi="Arial"/>
                <w:sz w:val="18"/>
                <w:szCs w:val="18"/>
                <w:color w:val="auto"/>
              </w:rPr>
              <w:t>Europe, Middle East and Africa (EMEA)</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27,074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Asia Pacific and Japan (APAC)</w:t>
            </w:r>
          </w:p>
        </w:tc>
        <w:tc>
          <w:tcPr>
            <w:tcW w:w="3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4"/>
          </w:tcPr>
          <w:p>
            <w:pPr>
              <w:ind w:left="420"/>
              <w:spacing w:after="0"/>
              <w:rPr>
                <w:sz w:val="20"/>
                <w:szCs w:val="20"/>
                <w:color w:val="auto"/>
              </w:rPr>
            </w:pPr>
            <w:r>
              <w:rPr>
                <w:rFonts w:ascii="Arial" w:cs="Arial" w:eastAsia="Arial" w:hAnsi="Arial"/>
                <w:sz w:val="18"/>
                <w:szCs w:val="18"/>
                <w:color w:val="auto"/>
              </w:rPr>
              <w:t>Total revenue</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69,795</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9"/>
              </w:rPr>
              <w:t>March 29,</w:t>
            </w:r>
          </w:p>
        </w:tc>
        <w:tc>
          <w:tcPr>
            <w:tcW w:w="0" w:type="dxa"/>
            <w:vAlign w:val="bottom"/>
          </w:tcPr>
          <w:p>
            <w:pPr>
              <w:spacing w:after="0"/>
              <w:rPr>
                <w:sz w:val="1"/>
                <w:szCs w:val="1"/>
                <w:color w:val="auto"/>
              </w:rPr>
            </w:pPr>
          </w:p>
        </w:tc>
      </w:tr>
      <w:tr>
        <w:trPr>
          <w:trHeight w:val="161"/>
        </w:trPr>
        <w:tc>
          <w:tcPr>
            <w:tcW w:w="3580" w:type="dxa"/>
            <w:vAlign w:val="bottom"/>
            <w:gridSpan w:val="5"/>
          </w:tcPr>
          <w:p>
            <w:pPr>
              <w:spacing w:after="0"/>
              <w:rPr>
                <w:sz w:val="20"/>
                <w:szCs w:val="20"/>
                <w:color w:val="auto"/>
              </w:rPr>
            </w:pPr>
            <w:r>
              <w:rPr>
                <w:rFonts w:ascii="Arial" w:cs="Arial" w:eastAsia="Arial" w:hAnsi="Arial"/>
                <w:sz w:val="14"/>
                <w:szCs w:val="14"/>
                <w:b w:val="1"/>
                <w:bCs w:val="1"/>
                <w:color w:val="auto"/>
              </w:rPr>
              <w:t>Interest Income</w:t>
            </w: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2620" w:type="dxa"/>
            <w:vAlign w:val="bottom"/>
            <w:gridSpan w:val="2"/>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8"/>
                <w:szCs w:val="18"/>
                <w:color w:val="auto"/>
              </w:rPr>
              <w:t>EMEA</w:t>
            </w:r>
          </w:p>
        </w:tc>
        <w:tc>
          <w:tcPr>
            <w:tcW w:w="3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APAC</w:t>
            </w:r>
          </w:p>
        </w:tc>
        <w:tc>
          <w:tcPr>
            <w:tcW w:w="3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4"/>
          </w:tcPr>
          <w:p>
            <w:pPr>
              <w:ind w:left="420"/>
              <w:spacing w:after="0"/>
              <w:rPr>
                <w:sz w:val="20"/>
                <w:szCs w:val="20"/>
                <w:color w:val="auto"/>
              </w:rPr>
            </w:pPr>
            <w:r>
              <w:rPr>
                <w:rFonts w:ascii="Arial" w:cs="Arial" w:eastAsia="Arial" w:hAnsi="Arial"/>
                <w:sz w:val="18"/>
                <w:szCs w:val="18"/>
                <w:color w:val="auto"/>
              </w:rPr>
              <w:t>Total interest income</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268</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240" w:type="dxa"/>
            <w:vAlign w:val="bottom"/>
            <w:gridSpan w:val="3"/>
          </w:tcPr>
          <w:p>
            <w:pPr>
              <w:ind w:left="4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3580" w:type="dxa"/>
            <w:vAlign w:val="bottom"/>
            <w:gridSpan w:val="5"/>
          </w:tcPr>
          <w:p>
            <w:pPr>
              <w:spacing w:after="0"/>
              <w:rPr>
                <w:sz w:val="20"/>
                <w:szCs w:val="20"/>
                <w:color w:val="auto"/>
              </w:rPr>
            </w:pPr>
            <w:r>
              <w:rPr>
                <w:rFonts w:ascii="Arial" w:cs="Arial" w:eastAsia="Arial" w:hAnsi="Arial"/>
                <w:sz w:val="14"/>
                <w:szCs w:val="14"/>
                <w:b w:val="1"/>
                <w:bCs w:val="1"/>
                <w:color w:val="auto"/>
              </w:rPr>
              <w:t>Property and Equipment</w:t>
            </w: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20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8"/>
                <w:szCs w:val="18"/>
                <w:color w:val="auto"/>
              </w:rPr>
              <w:t>EMEA</w:t>
            </w:r>
          </w:p>
        </w:tc>
        <w:tc>
          <w:tcPr>
            <w:tcW w:w="3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APAC</w:t>
            </w:r>
          </w:p>
        </w:tc>
        <w:tc>
          <w:tcPr>
            <w:tcW w:w="3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60" w:type="dxa"/>
            <w:vAlign w:val="bottom"/>
            <w:gridSpan w:val="4"/>
          </w:tcPr>
          <w:p>
            <w:pPr>
              <w:ind w:left="420"/>
              <w:spacing w:after="0"/>
              <w:rPr>
                <w:sz w:val="20"/>
                <w:szCs w:val="20"/>
                <w:color w:val="auto"/>
              </w:rPr>
            </w:pPr>
            <w:r>
              <w:rPr>
                <w:rFonts w:ascii="Arial" w:cs="Arial" w:eastAsia="Arial" w:hAnsi="Arial"/>
                <w:sz w:val="18"/>
                <w:szCs w:val="18"/>
                <w:color w:val="auto"/>
              </w:rPr>
              <w:t>Total property and equipment—net</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6,663</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120" w:type="dxa"/>
            <w:vAlign w:val="bottom"/>
            <w:vMerge w:val="restart"/>
          </w:tcPr>
          <w:p>
            <w:pPr>
              <w:jc w:val="right"/>
              <w:ind w:right="2192"/>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and Section 21E of the Securities Exchange Act of 1934.These statements include, among other things, statements concerning our expectations:</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regarding the significance of stock compensation as an expense;</w:t>
      </w:r>
    </w:p>
    <w:p>
      <w:pPr>
        <w:spacing w:after="0" w:line="90" w:lineRule="exact"/>
        <w:rPr>
          <w:rFonts w:ascii="Arial" w:cs="Arial" w:eastAsia="Arial" w:hAnsi="Arial"/>
          <w:sz w:val="18"/>
          <w:szCs w:val="18"/>
          <w:i w:val="1"/>
          <w:iCs w:val="1"/>
          <w:color w:val="auto"/>
        </w:rPr>
      </w:pPr>
    </w:p>
    <w:p>
      <w:pPr>
        <w:ind w:left="900" w:hanging="325"/>
        <w:spacing w:after="0" w:line="268" w:lineRule="auto"/>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that our service revenues may become a larger portion of our total revenue and may increase as we renew existing services contracts and expand our customer base;</w:t>
      </w:r>
    </w:p>
    <w:p>
      <w:pPr>
        <w:spacing w:after="0" w:line="50"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regarding the percentage of our revenue attributable to ratable product and services revenue;</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regarding our royalty payments to Trend Micro;</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regarding trends in our costs of revenues, services gross margin and overall gross margin;</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regarding increases in our operating expenses;</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regarding our investment in our support infrastructure; and</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regarding the hiring of new employees;</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regarding the sufficiency of our existing cash and cash equivalents to meet our cash needs for at least the next 12 months; and</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regarding the impact of inflation;</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elsewhere in this Quarterly Report on Form 10-Q and in our other Securities and Exchange Commission filings, including our Annual Report on Form 10-K for the year ended December 31, 2009, which was filed on March 5, 2010.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a leading provider of network security appliances and the market leader in UTM network security solutions. We provide broad, integrated and high performance protection against dynamic security threats while simplifying the IT security infrastructure for enterprises, service providers and government entities worldwide. As of March 31, 2010, we had shipped over 550,000 appliances to more than 5,000 channel partners and to more than 90,000 end-customers worldwide, including a majority of the 2009 Fortune Global 100.</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core UTM product line of FortiGate appliances ships with a set of security and networking capabilities, including firewall, VPN, antivirus, intrusion prevention, Web filtering, antispam and WAN acceleration functionality. We derive a substantial majority of product sales from our FortiGate appliances, which range from the FortiGate-30, designed for small businesses and branch offices, to the FortiGate-5000 series for large enterprises and service providers. On an annual basis for each of the last three fiscal years, sales of FortiGate products have generally been balanced across entry-level (FortiGate-30 to -100 series), mid-range (FortiGate-200 to -800 series) and high-end (FortiGate-1000 to -5000 series) models with each product category representing approximately one-third of FortiGate sales. For the first quarter of 2010 the percentage of our FortiGate related billings from the high-end category was 27% versus 21% for the first quarter of 2009, while the mid-range category decreased from 38% to 33% over the same period, and entry-level remained flat. Our UTM solution also includes our FortiGuard security subscription services, which end-customers can subscribe to in order to obtain access to dynamic updates to the antivirus, intrusion prevention, Web filtering and antispam functionality included in our appliances. End-customers can also choose to purchase FortiCare technical support services for our products. We complement our core FortiGate product line with other appliances and software that offer additional protection from security threats to other critical areas of the enterprise, such as messaging, Web-based traffic and databases, and employee computers or handheld devices. During the current quarter, we extended and enhanced our FortiGate, FortiWeb, FortiMail, and FortiManager appliance families, and also introduced a new family of FortiAP secure access point appliances that address the demand for secure mobility in the enterprise.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are a global, geographically diversified business, with more than 60% of our total revenue generated outside of the Americas region. For the first quarter of 2010, $23.8 million, or 34%, of our total revenue was generated from the Americas, representing an increase of 24% over the first quarter of 2009. EMEA generated $27.1 million, or 39%, of our total revenue during the current quarter, representing an increase of 30% over the same period of the prior year. APAC generated $18.9 million or 27% of our total revenue during the current quarter, representing an increase of 32% compared to the same period of the prior year. We sell globally in U.S. dollars, while our international expenses are denominated in local currencies.</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Total revenue was $69.8 million for the first quarter of 2010, an increase of 29% compared to the first quarter of 2009. Product revenue was $27.1 million, an increase of 40% compared to the first quarter of 2009. Services revenue was $38.6 million, an increase of 22% compared to the first quarter of 2009. Services revenue provides a source of recurring revenue for us, representing about 55% and 58% of total revenue for the first quarter of 2010 and 2009, respectively, and is important to our future revenue and profitability. Ratable product and services revenue was $4.1 million, an increase of 23% compared to the first quarter of 2009.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appliances. We invoice at the time of our sale for the total price of the products and subscription and support services, and the invoice generally becomes payable within 30 to 90 days. We generally recognize product revenue up-front but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first be used by the customer). As a result, our sales of new and renewal services increase our deferred revenue balance, which contributes significantly to our positive cash flow from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monitor the key financial metrics set forth below to help us evaluate growth trends, establish budgets, measure the effectiveness of our sales and marketing efforts and assess operational efficiencies. Our total deferred revenue increased by $9.6 million from $201.9 million at December 31, 2009 to $211.5 million at March 31, 2010. Revenue recognized plus the change in deferred revenue from the beginning to the end of the period is a useful metric that management identifies as billings. Billings for services drive deferred revenue, which is an important indicator of the health and visibility of our business, and has historically represented a majority of the quarterly revenue that we recognize. We also ended the first quarter of 2010 with $280.9 million in cash, cash equivalents and investments and have had positive cash flow from operations every fiscal year since 2005. We discuss revenue, gross margin, and the components of operating income and margin below under “—Components of Operating Results,” and we discuss our cash, cash equivalents, and investments under “— Liquidity and Capital Resources.” Deferred revenue and cash flow from operations are discussed immediately below the table.</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4"/>
              </w:rPr>
              <w:t>For The Three Months Ended Or As Of</w:t>
            </w:r>
          </w:p>
        </w:tc>
      </w:tr>
      <w:tr>
        <w:trPr>
          <w:trHeight w:val="142"/>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March 31, 2010</w:t>
            </w: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March 29, 2009</w:t>
            </w:r>
          </w:p>
        </w:tc>
        <w:tc>
          <w:tcPr>
            <w:tcW w:w="44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54,194</w:t>
            </w:r>
          </w:p>
        </w:tc>
        <w:tc>
          <w:tcPr>
            <w:tcW w:w="44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Gross margin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72.2%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73.0%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11"/>
                <w:szCs w:val="11"/>
                <w:color w:val="auto"/>
              </w:rPr>
              <w:t>(1)</w:t>
            </w:r>
          </w:p>
        </w:tc>
        <w:tc>
          <w:tcPr>
            <w:tcW w:w="11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44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Operating margin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1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211,537</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177,611</w:t>
            </w:r>
          </w:p>
        </w:tc>
        <w:tc>
          <w:tcPr>
            <w:tcW w:w="44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Increase in total deferred revenue</w:t>
            </w:r>
            <w:r>
              <w:rPr>
                <w:rFonts w:ascii="Arial" w:cs="Arial" w:eastAsia="Arial" w:hAnsi="Arial"/>
                <w:sz w:val="11"/>
                <w:szCs w:val="11"/>
                <w:color w:val="auto"/>
              </w:rPr>
              <w:t>(2)</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9,607</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5,994</w:t>
            </w:r>
          </w:p>
        </w:tc>
        <w:tc>
          <w:tcPr>
            <w:tcW w:w="44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280,937</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128,916</w:t>
            </w:r>
          </w:p>
        </w:tc>
        <w:tc>
          <w:tcPr>
            <w:tcW w:w="44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Cash flow from operations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21,816</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15,571</w:t>
            </w:r>
          </w:p>
        </w:tc>
        <w:tc>
          <w:tcPr>
            <w:tcW w:w="44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1"/>
                <w:szCs w:val="11"/>
                <w:color w:val="auto"/>
              </w:rPr>
              <w:t>(3)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20,802</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440" w:type="dxa"/>
            <w:vAlign w:val="bottom"/>
            <w:shd w:val="clear" w:color="auto" w:fill="CCEEFF"/>
          </w:tcPr>
          <w:p>
            <w:pPr>
              <w:spacing w:after="0"/>
              <w:rPr>
                <w:sz w:val="18"/>
                <w:szCs w:val="18"/>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248"/>
        </w:trPr>
        <w:tc>
          <w:tcPr>
            <w:tcW w:w="4360" w:type="dxa"/>
            <w:vAlign w:val="bottom"/>
            <w:gridSpan w:val="2"/>
          </w:tcPr>
          <w:p>
            <w:pPr>
              <w:spacing w:after="0"/>
              <w:rPr>
                <w:sz w:val="20"/>
                <w:szCs w:val="20"/>
                <w:color w:val="auto"/>
              </w:rPr>
            </w:pPr>
            <w:r>
              <w:rPr>
                <w:rFonts w:ascii="Arial" w:cs="Arial" w:eastAsia="Arial" w:hAnsi="Arial"/>
                <w:sz w:val="18"/>
                <w:szCs w:val="18"/>
                <w:color w:val="auto"/>
              </w:rPr>
              <w:t>(1)  Includes stock-based compensation expense</w:t>
            </w: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2,148</w:t>
            </w:r>
          </w:p>
        </w:tc>
        <w:tc>
          <w:tcPr>
            <w:tcW w:w="560" w:type="dxa"/>
            <w:vAlign w:val="bottom"/>
          </w:tcPr>
          <w:p>
            <w:pPr>
              <w:spacing w:after="0"/>
              <w:rPr>
                <w:sz w:val="21"/>
                <w:szCs w:val="21"/>
                <w:color w:val="auto"/>
              </w:rPr>
            </w:pPr>
          </w:p>
        </w:tc>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1,550</w:t>
            </w:r>
          </w:p>
        </w:tc>
        <w:tc>
          <w:tcPr>
            <w:tcW w:w="440" w:type="dxa"/>
            <w:vAlign w:val="bottom"/>
          </w:tcPr>
          <w:p>
            <w:pPr>
              <w:spacing w:after="0"/>
              <w:rPr>
                <w:sz w:val="21"/>
                <w:szCs w:val="21"/>
                <w:color w:val="auto"/>
              </w:rPr>
            </w:pPr>
          </w:p>
        </w:tc>
      </w:tr>
    </w:tbl>
    <w:p>
      <w:pPr>
        <w:ind w:left="1760" w:hanging="381"/>
        <w:spacing w:after="0"/>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 in total deferred revenue is the change from the beginning of the period to the end of the period.</w:t>
      </w:r>
    </w:p>
    <w:p>
      <w:pPr>
        <w:spacing w:after="0" w:line="9" w:lineRule="exact"/>
        <w:rPr>
          <w:rFonts w:ascii="Arial" w:cs="Arial" w:eastAsia="Arial" w:hAnsi="Arial"/>
          <w:sz w:val="18"/>
          <w:szCs w:val="18"/>
          <w:color w:val="auto"/>
        </w:rPr>
      </w:pPr>
    </w:p>
    <w:p>
      <w:pPr>
        <w:ind w:left="1820" w:right="1880" w:hanging="441"/>
        <w:spacing w:after="0" w:line="261" w:lineRule="auto"/>
        <w:tabs>
          <w:tab w:leader="none" w:pos="1768"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is a non-GAAP financial measure, which we define as cash flow from operations minus capital expenditures, as further described below.</w:t>
      </w:r>
    </w:p>
    <w:p>
      <w:pPr>
        <w:spacing w:after="0" w:line="13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revenue balance consists of the unamortized portion of services revenue from subscription and support service contracts. We monitor our deferred revenue balance because it represents a significant portion of revenue to be recognized in future periods. We also assess the increase in our deferred revenue balance plus revenue we recognized in a particular period as a measure of our sales activity for that period.</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Cash flow from operations. </w:t>
      </w:r>
      <w:r>
        <w:rPr>
          <w:rFonts w:ascii="Arial" w:cs="Arial" w:eastAsia="Arial" w:hAnsi="Arial"/>
          <w:sz w:val="16"/>
          <w:szCs w:val="16"/>
          <w:color w:val="auto"/>
        </w:rPr>
        <w:t>We monitor cash flow from operations as a measure of our overall business performance. Our cash flow from operations is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in large part by advance payments for both new and renewal contracts for subscription and support services. Monitoring cash flow from operations enables us to analyze our financial performance without the non-cash effects of certain items such as depreciation, amortization and stock-based compensation expenses, thereby allowing us to better understand and manage the cash needs of our business. Our cash flow from operations was $21.8 million in the first quarter of 2010 and $15.6 million in the first quarter of 2009. In the first quarter of 2010, free cash flow (a non-GAAP measure, described in the “Non-GAAP Financial Measures” below) was $20.8 million, compared to $12.9 million in the first quarter of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To supplement our condensed consolidated financial statements presented in accordance with U.S. GAAP, we consider certain financial measures that are not prepared in accordance with GAAP, including non-GAAP gross margin, non-GAAP income from operations and operating margin, non-GAAP operating expenses, non-GAAP net income and free cash flow. These non-GAAP measures are not based on any standardized methodology prescribed by GAAP and are not necessarily comparable to similar measures presented by other companies. Non-GAAP gross margin is gross margin as reported on our condensed consolidated statements of operations, excluding the impact of stock-based compensation expense, which is a non-cash charge. Non-GAAP income from operations is operating income, as reported on our condensed consolidated statements of operations, excluding the impact of stock-based compensation expense. Non-GAAP operating margin is non-GAAP income from operations divided by revenue. Non-GAAP operating expenses exclude the impact of stock-based compensation expense. Non-GAAP net income is net income plus stock-based compensation expense, less the related tax effects. Free cash flow, an alternative non-GAAP measure of liquidity, is defined as net cash provided by operating activities less capital expenditures.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these non-GAAP financial measures are appropriate to enhance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believe that the expenses that we exclude in these non-GAAP financial measures are not reflective of these underlying business trends or useful measures for determining our operational performance and overall business strategy. By excluding these expenses, we believe that our management and investors can better compare our recurring core business operating results over multiple periods.</w:t>
      </w:r>
    </w:p>
    <w:p>
      <w:pPr>
        <w:spacing w:after="0" w:line="12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Stock-based compensation has been, and will continue to be for the foreseeable future, a significant recurring expense in our business and is an important part of our employees’ compensation that impacts their performance.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tables reconcile GAAP gross margin, income from operations, operating margin, certain operating expenses and net income as reported on our condensed consolidated statements of operations to non-GAAP gross margin, non-GAAP income from operations, non-GAAP operating margin, certain non-GAAP operating expenses and non-GAAP net income for the first fiscal quarters of 2010 and 2009.</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9"/>
              </w:rPr>
              <w:t>Three Months Ended</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right"/>
              <w:ind w:right="772"/>
              <w:spacing w:after="0" w:line="142" w:lineRule="exact"/>
              <w:rPr>
                <w:sz w:val="20"/>
                <w:szCs w:val="20"/>
                <w:color w:val="auto"/>
              </w:rPr>
            </w:pPr>
            <w:r>
              <w:rPr>
                <w:rFonts w:ascii="Arial" w:cs="Arial" w:eastAsia="Arial" w:hAnsi="Arial"/>
                <w:sz w:val="14"/>
                <w:szCs w:val="14"/>
                <w:b w:val="1"/>
                <w:bCs w:val="1"/>
                <w:color w:val="auto"/>
              </w:rPr>
              <w:t>March 31, 2010</w:t>
            </w:r>
          </w:p>
        </w:tc>
        <w:tc>
          <w:tcPr>
            <w:tcW w:w="80" w:type="dxa"/>
            <w:vAlign w:val="bottom"/>
          </w:tcPr>
          <w:p>
            <w:pPr>
              <w:spacing w:after="0"/>
              <w:rPr>
                <w:sz w:val="12"/>
                <w:szCs w:val="12"/>
                <w:color w:val="auto"/>
              </w:rPr>
            </w:pPr>
          </w:p>
        </w:tc>
        <w:tc>
          <w:tcPr>
            <w:tcW w:w="136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March 29, 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8"/>
              <w:spacing w:after="0" w:line="129" w:lineRule="exact"/>
              <w:rPr>
                <w:sz w:val="20"/>
                <w:szCs w:val="20"/>
                <w:color w:val="auto"/>
              </w:rPr>
            </w:pPr>
            <w:r>
              <w:rPr>
                <w:rFonts w:ascii="Arial" w:cs="Arial" w:eastAsia="Arial" w:hAnsi="Arial"/>
                <w:sz w:val="14"/>
                <w:szCs w:val="14"/>
                <w:b w:val="1"/>
                <w:bCs w:val="1"/>
                <w:color w:val="auto"/>
              </w:rPr>
              <w:t>% of</w:t>
            </w: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w w:val="82"/>
              </w:rPr>
              <w:t>Revenue</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Revenue</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(dollars</w:t>
            </w:r>
          </w:p>
        </w:tc>
        <w:tc>
          <w:tcPr>
            <w:tcW w:w="1160" w:type="dxa"/>
            <w:vAlign w:val="bottom"/>
            <w:gridSpan w:val="3"/>
          </w:tcPr>
          <w:p>
            <w:pPr>
              <w:jc w:val="right"/>
              <w:ind w:right="154"/>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69,795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54,194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GAAP gross profit and margin</w:t>
            </w: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vMerge w:val="restart"/>
          </w:tcPr>
          <w:p>
            <w:pPr>
              <w:jc w:val="right"/>
              <w:ind w:right="352"/>
              <w:spacing w:after="0"/>
              <w:rPr>
                <w:sz w:val="20"/>
                <w:szCs w:val="20"/>
                <w:color w:val="auto"/>
              </w:rPr>
            </w:pPr>
            <w:r>
              <w:rPr>
                <w:rFonts w:ascii="Arial" w:cs="Arial" w:eastAsia="Arial" w:hAnsi="Arial"/>
                <w:sz w:val="18"/>
                <w:szCs w:val="18"/>
                <w:color w:val="auto"/>
              </w:rPr>
              <w:t>72.2%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line="20" w:lineRule="exact"/>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50,420</w:t>
            </w:r>
          </w:p>
        </w:tc>
        <w:tc>
          <w:tcPr>
            <w:tcW w:w="10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39,540</w:t>
            </w:r>
          </w:p>
        </w:tc>
        <w:tc>
          <w:tcPr>
            <w:tcW w:w="1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Stock-based compensation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Non-GAAP gross profit and margin</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50,652</w:t>
            </w:r>
          </w:p>
        </w:tc>
        <w:tc>
          <w:tcPr>
            <w:tcW w:w="1080" w:type="dxa"/>
            <w:vAlign w:val="bottom"/>
            <w:gridSpan w:val="2"/>
          </w:tcPr>
          <w:p>
            <w:pPr>
              <w:jc w:val="right"/>
              <w:ind w:right="352"/>
              <w:spacing w:after="0"/>
              <w:rPr>
                <w:sz w:val="20"/>
                <w:szCs w:val="20"/>
                <w:color w:val="auto"/>
              </w:rPr>
            </w:pPr>
            <w:r>
              <w:rPr>
                <w:rFonts w:ascii="Arial" w:cs="Arial" w:eastAsia="Arial" w:hAnsi="Arial"/>
                <w:sz w:val="18"/>
                <w:szCs w:val="18"/>
                <w:color w:val="auto"/>
              </w:rPr>
              <w:t>72.6%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39,688</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 and margin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6,704</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448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Cost of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300"/>
              <w:spacing w:after="0"/>
              <w:rPr>
                <w:sz w:val="20"/>
                <w:szCs w:val="20"/>
                <w:color w:val="auto"/>
              </w:rPr>
            </w:pPr>
            <w:r>
              <w:rPr>
                <w:rFonts w:ascii="Arial" w:cs="Arial" w:eastAsia="Arial" w:hAnsi="Arial"/>
                <w:sz w:val="18"/>
                <w:szCs w:val="18"/>
                <w:color w:val="auto"/>
              </w:rPr>
              <w:t>Research and development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554</w:t>
            </w: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Sales and marketing</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300"/>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496</w:t>
            </w: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stock-based compensation</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2,148</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Non-GAAP income from operations and margin</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8,852</w:t>
            </w:r>
          </w:p>
        </w:tc>
        <w:tc>
          <w:tcPr>
            <w:tcW w:w="1080" w:type="dxa"/>
            <w:vAlign w:val="bottom"/>
            <w:gridSpan w:val="2"/>
          </w:tcPr>
          <w:p>
            <w:pPr>
              <w:jc w:val="right"/>
              <w:ind w:right="352"/>
              <w:spacing w:after="0"/>
              <w:rPr>
                <w:sz w:val="20"/>
                <w:szCs w:val="20"/>
                <w:color w:val="auto"/>
              </w:rPr>
            </w:pPr>
            <w:r>
              <w:rPr>
                <w:rFonts w:ascii="Arial" w:cs="Arial" w:eastAsia="Arial" w:hAnsi="Arial"/>
                <w:sz w:val="18"/>
                <w:szCs w:val="18"/>
                <w:color w:val="auto"/>
              </w:rPr>
              <w:t>12.7%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4,779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360" w:type="dxa"/>
            <w:vAlign w:val="bottom"/>
            <w:vMerge w:val="restart"/>
          </w:tcPr>
          <w:p>
            <w:pPr>
              <w:jc w:val="right"/>
              <w:ind w:right="1412"/>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9"/>
              </w:rPr>
              <w:t>Three Months Ended</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right"/>
              <w:ind w:right="772"/>
              <w:spacing w:after="0" w:line="142" w:lineRule="exact"/>
              <w:rPr>
                <w:sz w:val="20"/>
                <w:szCs w:val="20"/>
                <w:color w:val="auto"/>
              </w:rPr>
            </w:pPr>
            <w:r>
              <w:rPr>
                <w:rFonts w:ascii="Arial" w:cs="Arial" w:eastAsia="Arial" w:hAnsi="Arial"/>
                <w:sz w:val="14"/>
                <w:szCs w:val="14"/>
                <w:b w:val="1"/>
                <w:bCs w:val="1"/>
                <w:color w:val="auto"/>
              </w:rPr>
              <w:t>March 31, 2010</w:t>
            </w:r>
          </w:p>
        </w:tc>
        <w:tc>
          <w:tcPr>
            <w:tcW w:w="80" w:type="dxa"/>
            <w:vAlign w:val="bottom"/>
          </w:tcPr>
          <w:p>
            <w:pPr>
              <w:spacing w:after="0"/>
              <w:rPr>
                <w:sz w:val="12"/>
                <w:szCs w:val="12"/>
                <w:color w:val="auto"/>
              </w:rPr>
            </w:pPr>
          </w:p>
        </w:tc>
        <w:tc>
          <w:tcPr>
            <w:tcW w:w="136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March 29, 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rPr>
              <w:t>% of</w:t>
            </w: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w w:val="82"/>
              </w:rPr>
              <w:t>Revenue</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Revenue</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(dollars</w:t>
            </w:r>
          </w:p>
        </w:tc>
        <w:tc>
          <w:tcPr>
            <w:tcW w:w="1160" w:type="dxa"/>
            <w:vAlign w:val="bottom"/>
            <w:gridSpan w:val="3"/>
          </w:tcPr>
          <w:p>
            <w:pPr>
              <w:jc w:val="right"/>
              <w:ind w:right="154"/>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Research and development expenses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GAAP research and development expenses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11,934</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4740" w:type="dxa"/>
            <w:vAlign w:val="bottom"/>
          </w:tcPr>
          <w:p>
            <w:pPr>
              <w:ind w:left="880"/>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554</w:t>
            </w: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8"/>
              </w:rPr>
              <w:t>Non-GAAP research and development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11,380</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Sales and marketing expenses</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GAAP sales and marketing expenses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26,723</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21,763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4740" w:type="dxa"/>
            <w:vAlign w:val="bottom"/>
          </w:tcPr>
          <w:p>
            <w:pPr>
              <w:ind w:left="880"/>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866</w:t>
            </w: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Non-GAAP sales and marketing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25,857</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21,119</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General and administrative expenses</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GAAP general and administrative expenses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5,059</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740" w:type="dxa"/>
            <w:vAlign w:val="bottom"/>
          </w:tcPr>
          <w:p>
            <w:pPr>
              <w:ind w:left="880"/>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496</w:t>
            </w: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Non-GAAP general and administrative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4,563</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Total operating expenses</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GAAP operating expenses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43,716</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36,311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4740" w:type="dxa"/>
            <w:vAlign w:val="bottom"/>
          </w:tcPr>
          <w:p>
            <w:pPr>
              <w:ind w:left="880"/>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1,916</w:t>
            </w: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Non-GAAP 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41,800</w:t>
            </w:r>
          </w:p>
        </w:tc>
        <w:tc>
          <w:tcPr>
            <w:tcW w:w="10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34,909</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100" w:type="dxa"/>
            <w:vAlign w:val="bottom"/>
            <w:vMerge w:val="restart"/>
          </w:tcPr>
          <w:p>
            <w:pPr>
              <w:jc w:val="right"/>
              <w:ind w:right="1412"/>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9"/>
              </w:rPr>
              <w:t>Three Months Ended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March 31, 2010</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29, 2009</w:t>
            </w:r>
          </w:p>
        </w:tc>
        <w:tc>
          <w:tcPr>
            <w:tcW w:w="12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gridSpan w:val="4"/>
          </w:tcPr>
          <w:p>
            <w:pPr>
              <w:ind w:left="420"/>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GAAP net income</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4,218</w:t>
            </w:r>
          </w:p>
        </w:tc>
        <w:tc>
          <w:tcPr>
            <w:tcW w:w="44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3,774</w:t>
            </w: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1"/>
                <w:szCs w:val="11"/>
                <w:color w:val="auto"/>
              </w:rPr>
              <w:t>(1)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8"/>
                <w:szCs w:val="18"/>
                <w:color w:val="auto"/>
              </w:rPr>
            </w:pPr>
          </w:p>
        </w:tc>
      </w:tr>
      <w:tr>
        <w:trPr>
          <w:trHeight w:val="223"/>
        </w:trPr>
        <w:tc>
          <w:tcPr>
            <w:tcW w:w="5280" w:type="dxa"/>
            <w:vAlign w:val="bottom"/>
          </w:tcPr>
          <w:p>
            <w:pPr>
              <w:ind w:left="860"/>
              <w:spacing w:after="0"/>
              <w:rPr>
                <w:sz w:val="20"/>
                <w:szCs w:val="20"/>
                <w:color w:val="auto"/>
              </w:rPr>
            </w:pPr>
            <w:r>
              <w:rPr>
                <w:rFonts w:ascii="Arial" w:cs="Arial" w:eastAsia="Arial" w:hAnsi="Arial"/>
                <w:sz w:val="18"/>
                <w:szCs w:val="18"/>
                <w:color w:val="auto"/>
              </w:rPr>
              <w:t>Provision for income taxes</w:t>
            </w:r>
            <w:r>
              <w:rPr>
                <w:rFonts w:ascii="Arial" w:cs="Arial" w:eastAsia="Arial" w:hAnsi="Arial"/>
                <w:sz w:val="11"/>
                <w:szCs w:val="11"/>
                <w:color w:val="auto"/>
              </w:rPr>
              <w:t>(2)</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Non-GAAP income before provision for income taxes</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860"/>
              <w:spacing w:after="0"/>
              <w:rPr>
                <w:sz w:val="20"/>
                <w:szCs w:val="20"/>
                <w:color w:val="auto"/>
              </w:rPr>
            </w:pPr>
            <w:r>
              <w:rPr>
                <w:rFonts w:ascii="Arial" w:cs="Arial" w:eastAsia="Arial" w:hAnsi="Arial"/>
                <w:sz w:val="18"/>
                <w:szCs w:val="18"/>
                <w:color w:val="auto"/>
              </w:rPr>
              <w:t>Non-GAAP provision for income taxes</w:t>
            </w:r>
            <w:r>
              <w:rPr>
                <w:rFonts w:ascii="Arial" w:cs="Arial" w:eastAsia="Arial" w:hAnsi="Arial"/>
                <w:sz w:val="11"/>
                <w:szCs w:val="11"/>
                <w:color w:val="auto"/>
              </w:rPr>
              <w:t>(3)</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(3,105)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r>
      <w:tr>
        <w:trPr>
          <w:trHeight w:val="27"/>
        </w:trPr>
        <w:tc>
          <w:tcPr>
            <w:tcW w:w="5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Non-GAAP net income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20" w:type="dxa"/>
            <w:vAlign w:val="bottom"/>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expense is added back to GAAP net income to reconcile to non-GAAP income before taxes.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Provision for income taxes is our GAAP provision that must be added to GAAP net income to reconcile to non-GAAP income before taxes.</w:t>
      </w:r>
    </w:p>
    <w:p>
      <w:pPr>
        <w:spacing w:after="0" w:line="32"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provision for income taxes reflects a 35% and 10% non-GAAP effective tax rate in the first quarter of 2010 and 2009, respectively. Based on the annual estimate for geographic split of income, as well as various tax credits we expect to achieve in various locations, we plan to use a 35% tax rate for the year, subject to discrete items that may occur in a quarter.</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6760" w:type="dxa"/>
            <w:vAlign w:val="bottom"/>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w w:val="71"/>
              </w:rPr>
              <w:t>thousands)</w:t>
            </w:r>
          </w:p>
        </w:tc>
        <w:tc>
          <w:tcPr>
            <w:tcW w:w="6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Net cash provided by operation activities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21,816</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purchases of property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(1,014)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40"/>
              <w:spacing w:after="0"/>
              <w:rPr>
                <w:sz w:val="20"/>
                <w:szCs w:val="20"/>
                <w:color w:val="auto"/>
              </w:rPr>
            </w:pPr>
            <w:r>
              <w:rPr>
                <w:rFonts w:ascii="Arial" w:cs="Arial" w:eastAsia="Arial" w:hAnsi="Arial"/>
                <w:sz w:val="18"/>
                <w:szCs w:val="18"/>
                <w:color w:val="auto"/>
              </w:rPr>
              <w:t>Free cash flow (Non-GAAP)</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20,802</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w w:val="89"/>
              </w:rPr>
              <w:t>(60,972)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(15,068)</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Includes purchases of 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derive our revenue from sales of our products and subscription and support services. We recognize our revenue in accordance with the guidance in ASC 985-605-25 (formerly referred to as Statement of Position, or SOP 97-2,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xml:space="preserve"> and SOP 98-9, Modification of SOP 97-2, Software Revenue Recognition, With Respect to Certain Transactions) which is discussed in further detail in “—Critical Accounting Policies and Estimates—Revenue Recognition” below. According to ASC 985-605-25, revenue is recognized when persuasive evidence of an arrangement exists, delivery has occurred, the price is fixed or determinable and collectability is probable.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total revenue is comprised of the following:</w:t>
      </w:r>
    </w:p>
    <w:p>
      <w:pPr>
        <w:spacing w:after="0" w:line="90" w:lineRule="exact"/>
        <w:rPr>
          <w:sz w:val="20"/>
          <w:szCs w:val="20"/>
          <w:color w:val="auto"/>
        </w:rPr>
      </w:pPr>
    </w:p>
    <w:p>
      <w:pPr>
        <w:ind w:left="900" w:right="60" w:hanging="325"/>
        <w:spacing w:after="0" w:line="28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Product revenue</w:t>
      </w:r>
      <w:r>
        <w:rPr>
          <w:rFonts w:ascii="Arial" w:cs="Arial" w:eastAsia="Arial" w:hAnsi="Arial"/>
          <w:sz w:val="16"/>
          <w:szCs w:val="16"/>
          <w:color w:val="auto"/>
        </w:rPr>
        <w:t>. Product revenue is generated from sales of our appliances and software. The substantial majority of our product revenue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our FortiGate line of appliances, and we do not expect this to change in the foreseeable future. Product revenue also includes revenue derived from sales of FortiManager, FortiAnalyzer, FortiSwitch, FortiMail, FortiDB, FortiWeb, FortiAP and FortiScan appliances, and our FortiClient and virtual domain, or VDOM, software. We generally recognize revenue for products sold to distributors through the “sell-in” method upon shipment to the distributor and, for “sell-through” distributors, upon sale to their end-customer. As a percentage of total revenue, we expect our product revenue may vary from quarter-to-quarter based on seasonal and cyclical factors discussed below under “—Quarterly Results of Operations” but generally may remain at comparable levels or decline modestly, as services revenue becomes a larger portion of our business as we renew existing services contracts and expand our customer base.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Services revenue</w:t>
      </w:r>
      <w:r>
        <w:rPr>
          <w:rFonts w:ascii="Arial" w:cs="Arial" w:eastAsia="Arial" w:hAnsi="Arial"/>
          <w:sz w:val="16"/>
          <w:szCs w:val="16"/>
          <w:color w:val="auto"/>
        </w:rPr>
        <w:t>. Services revenue is generated primarily from FortiCare technical support services for software updates, maintenance releases and</w:t>
      </w:r>
      <w:r>
        <w:rPr>
          <w:rFonts w:ascii="Arial" w:cs="Arial" w:eastAsia="Arial" w:hAnsi="Arial"/>
          <w:sz w:val="16"/>
          <w:szCs w:val="16"/>
          <w:i w:val="1"/>
          <w:iCs w:val="1"/>
          <w:color w:val="auto"/>
        </w:rPr>
        <w:t xml:space="preserve"> </w:t>
      </w:r>
      <w:r>
        <w:rPr>
          <w:rFonts w:ascii="Arial" w:cs="Arial" w:eastAsia="Arial" w:hAnsi="Arial"/>
          <w:sz w:val="16"/>
          <w:szCs w:val="16"/>
          <w:color w:val="auto"/>
        </w:rPr>
        <w:t>patches, Internet access to technical content, telephone and Internet access to technical support personnel and hardware support and FortiGuard security subscription services related to antivirus, intrusion prevention, Web filtering and antispam updates. We recognize revenue from subscription and support services over the service performance period. Our typical contractual support and subscription term is one year from the date of registration. We also generate a small portion of our revenue from professional services and training services, and we recognize this revenue as service is provided. As a percentage of total revenue, we expect our services revenue to remain at comparable levels or increase as we renew existing services contracts and expand our customer base.</w:t>
      </w:r>
    </w:p>
    <w:p>
      <w:pPr>
        <w:spacing w:after="0" w:line="37" w:lineRule="exact"/>
        <w:rPr>
          <w:rFonts w:ascii="Arial" w:cs="Arial" w:eastAsia="Arial" w:hAnsi="Arial"/>
          <w:sz w:val="16"/>
          <w:szCs w:val="16"/>
          <w:color w:val="auto"/>
        </w:rPr>
      </w:pPr>
    </w:p>
    <w:p>
      <w:pPr>
        <w:jc w:val="both"/>
        <w:ind w:left="900" w:right="8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Ratable product and services revenue</w:t>
      </w:r>
      <w:r>
        <w:rPr>
          <w:rFonts w:ascii="Arial" w:cs="Arial" w:eastAsia="Arial" w:hAnsi="Arial"/>
          <w:sz w:val="16"/>
          <w:szCs w:val="16"/>
          <w:color w:val="auto"/>
        </w:rPr>
        <w:t>. Ratable product and services revenue is generated from sales of our products and services in cases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services being provided cannot be segregated from the value of the entire sale. In these cases, the value of the entire sale is deferred and recognized ratably over the life of the service performance period. See “—Critical Accounting Policies and Estimates—Revenue Recognition.” In fiscal 2008 and fiscal 2009, ratable product and service revenue represented approximately six percent of total revenue and we do not expect this percentage to change significantly in the near future.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90" w:lineRule="exact"/>
        <w:rPr>
          <w:sz w:val="20"/>
          <w:szCs w:val="20"/>
          <w:color w:val="auto"/>
        </w:rPr>
      </w:pPr>
    </w:p>
    <w:p>
      <w:pPr>
        <w:ind w:left="900" w:right="40" w:hanging="325"/>
        <w:spacing w:after="0" w:line="290"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Cost of product revenue. </w:t>
      </w:r>
      <w:r>
        <w:rPr>
          <w:rFonts w:ascii="Arial" w:cs="Arial" w:eastAsia="Arial" w:hAnsi="Arial"/>
          <w:sz w:val="16"/>
          <w:szCs w:val="16"/>
          <w:color w:val="auto"/>
        </w:rPr>
        <w:t>A substantial majority of the cost of product revenue consists of third-party manufacturing costs. Our cost of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also includes product testing costs, write-offs for excess and obsolete inventory, royalty payments, amortization and any impairment of applicable acquired intangible assets, warranty costs, shipping and allocated facilities costs, stock-based compensation costs, and personnel costs associated with logistics and quality control. Personnel costs include cash-based personnel costs such as salaries, benefits and bonuses. Royalties reflect amounts related to Trend Micro since 2006, which Trend Micro claims are owed through 2015, as discussed in “Item 1—Legal Proceedings.” For fiscal 2008 and fiscal 2009, this royalty represented approximately one percent of total revenue and we do not expect this percentage to increase substantially in the foreseeable future.</w:t>
      </w:r>
    </w:p>
    <w:p>
      <w:pPr>
        <w:spacing w:after="0" w:line="37" w:lineRule="exact"/>
        <w:rPr>
          <w:rFonts w:ascii="Arial" w:cs="Arial" w:eastAsia="Arial" w:hAnsi="Arial"/>
          <w:sz w:val="16"/>
          <w:szCs w:val="16"/>
          <w:color w:val="auto"/>
        </w:rPr>
      </w:pPr>
    </w:p>
    <w:p>
      <w:pPr>
        <w:ind w:left="900" w:right="16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is primarily comprised of cash-based personnel costs associated with our FortiGuard Labs team</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technical support, professional services and training teams, as well as depreciation, supplies, data center, data communications, facility-related costs and stock-based compensation costs. We expect our cost of services revenue will increase as we continue to invest in subscription and support services to meet the needs of our growing customer base.</w:t>
      </w:r>
    </w:p>
    <w:p>
      <w:pPr>
        <w:spacing w:after="0" w:line="62"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Cost of ratable product and services revenue</w:t>
      </w:r>
      <w:r>
        <w:rPr>
          <w:rFonts w:ascii="Arial" w:cs="Arial" w:eastAsia="Arial" w:hAnsi="Arial"/>
          <w:sz w:val="18"/>
          <w:szCs w:val="18"/>
          <w:color w:val="auto"/>
        </w:rPr>
        <w:t>. Cost of ratable product and services revenue is comprised primarily of deferred product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services-related costs.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as a percentage of revenue, or gross margin, has been and will continue to be affected by a variety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sales price of our products, any excess inventory write-offs, manufacturing costs, the mix of products sold and the mix of revenue between products and services. We believe our overall gross margin for the near term may decline modestly or be relatively flat compared to that achieved in fiscal 2009 as we do not anticipate in the near term any significant change in the factors positively influencing gross margin.</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Services revenue has increased as a percentage of total revenue since inception, and this trend has had a positive effect on our total gross margin given the higher services gross margins compared to product gross margins. Our services gross margins have been increasing, but we do not expect these margins to increase, in a meaningful way, in the future as we continue to invest in our support infrastructure.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Our operating expenses consist of research and development, sales and marketing and general and administrative expenses.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are the most significant component of operating expenses and consist of cash-based personnel costs such as salaries, benefits, bonuses and, with regard to the sales and marketing expense, sales commissions. They also include non-cash charges, specifically, stock-based compensation. We expect personnel costs to continue to increase in absolute dollars as we hire new employees.</w:t>
      </w:r>
    </w:p>
    <w:p>
      <w:pPr>
        <w:spacing w:after="0" w:line="62" w:lineRule="exact"/>
        <w:rPr>
          <w:sz w:val="20"/>
          <w:szCs w:val="20"/>
          <w:color w:val="auto"/>
        </w:rPr>
      </w:pPr>
    </w:p>
    <w:p>
      <w:pPr>
        <w:ind w:left="900" w:hanging="325"/>
        <w:spacing w:after="0" w:line="25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consists primarily of cash-based personnel costs. Additional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California. We expect our spending for research and development to increase in absolute dollars but intend for research and development expenses to remain comparable to recent periods as a percentage of total revenue.</w:t>
      </w:r>
    </w:p>
    <w:p>
      <w:pPr>
        <w:spacing w:after="0" w:line="66" w:lineRule="exact"/>
        <w:rPr>
          <w:rFonts w:ascii="Arial" w:cs="Arial" w:eastAsia="Arial" w:hAnsi="Arial"/>
          <w:sz w:val="18"/>
          <w:szCs w:val="18"/>
          <w:color w:val="auto"/>
        </w:rPr>
      </w:pPr>
    </w:p>
    <w:p>
      <w:pPr>
        <w:ind w:left="900" w:right="2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 is the largest component of our operating expenses and primarily consists of cash-based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Additional sales and marketing expenses include stock-based compensation, promotional and other marketing expenses, travel, depreciation of capital equipment and facility-related expenses. We intend to hire additional personnel focused on sales and marketing and expand our sales and marketing efforts worldwide in order to add new customers and increase penetration within our existing customer base. Accordingly, we expect sales and marketing expenses to increase in absolute dollars and to continue to be our largest operating expense.</w:t>
      </w:r>
    </w:p>
    <w:p>
      <w:pPr>
        <w:spacing w:after="0" w:line="34" w:lineRule="exact"/>
        <w:rPr>
          <w:rFonts w:ascii="Arial" w:cs="Arial" w:eastAsia="Arial" w:hAnsi="Arial"/>
          <w:sz w:val="16"/>
          <w:szCs w:val="16"/>
          <w:color w:val="auto"/>
        </w:rPr>
      </w:pPr>
    </w:p>
    <w:p>
      <w:pPr>
        <w:ind w:left="900" w:hanging="325"/>
        <w:spacing w:after="0" w:line="25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of cash-based personnel costs as well as professional fees,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 We expect that general and administrative expense will increase in absolute dollars as we hire additional personnel, make improvements to our information technology infrastructure and incur significant additional costs for the compliance requirements of operating as a public company, including the costs associated with SEC reporting, Sarbanes-Oxley Act compliance and insurance.</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income earned on our cash, cash equivalents and investments. We have historically invested our cash in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commercial paper, corporate debt securities and U.S. government debt securities.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Other income (expense),net</w:t>
      </w:r>
      <w:r>
        <w:rPr>
          <w:rFonts w:ascii="Arial" w:cs="Arial" w:eastAsia="Arial" w:hAnsi="Arial"/>
          <w:sz w:val="18"/>
          <w:szCs w:val="18"/>
          <w:color w:val="auto"/>
        </w:rPr>
        <w:t>. Other income (expense), net consists primarily of foreign exchange gains and losses. Foreign exchange gains and losses relate</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transactions denominated in currencies other than the functional currency of the associated entity.</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income tax provision is based on our worldwide estimated annualized effective tax rate. We are subject to tax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as well as other tax jurisdictions or countries in which we conduct business. Earnings from our non-U.S. activities are subject to local country income tax and may be subject to current U.S. income tax. Our effective tax rates differ from the statutory rate primarily due to foreign income subject to different tax rates than the U.S., research and development tax credits, withholding tax, and nondeductible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We believe the accounting policies and estimates discussed under Item 7, “Management’s Discussion and Analysis of Financial Condition and Results of Operations” in our Annual Report on Form 10-K for the fiscal year ended December 31, 2009 reflect our more significant judgments and estimates used in the preparation of the condensed consolidated financial statements. There have been no material changes to the critical accounting policies and estimates as filed in such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70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March 31, 2010</w:t>
            </w:r>
          </w:p>
        </w:tc>
        <w:tc>
          <w:tcPr>
            <w:tcW w:w="12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March 29, 2009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8"/>
              <w:spacing w:after="0" w:line="129"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Revenue</w:t>
            </w:r>
          </w:p>
        </w:tc>
        <w:tc>
          <w:tcPr>
            <w:tcW w:w="78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(dollars</w:t>
            </w:r>
          </w:p>
        </w:tc>
        <w:tc>
          <w:tcPr>
            <w:tcW w:w="200" w:type="dxa"/>
            <w:vAlign w:val="bottom"/>
          </w:tcPr>
          <w:p>
            <w:pPr>
              <w:jc w:val="center"/>
              <w:ind w:right="58"/>
              <w:spacing w:after="0"/>
              <w:rPr>
                <w:sz w:val="20"/>
                <w:szCs w:val="20"/>
                <w:color w:val="auto"/>
              </w:rPr>
            </w:pPr>
            <w:r>
              <w:rPr>
                <w:rFonts w:ascii="Arial" w:cs="Arial" w:eastAsia="Arial" w:hAnsi="Arial"/>
                <w:sz w:val="12"/>
                <w:szCs w:val="12"/>
                <w:b w:val="1"/>
                <w:bCs w:val="1"/>
                <w:color w:val="auto"/>
                <w:w w:val="74"/>
              </w:rPr>
              <w:t>in</w:t>
            </w: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77"/>
              </w:rPr>
              <w:t>thousands)</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Product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$27,110</w:t>
            </w: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780" w:type="dxa"/>
            <w:vAlign w:val="bottom"/>
            <w:gridSpan w:val="2"/>
          </w:tcPr>
          <w:p>
            <w:pPr>
              <w:jc w:val="right"/>
              <w:ind w:right="138"/>
              <w:spacing w:after="0"/>
              <w:rPr>
                <w:sz w:val="20"/>
                <w:szCs w:val="20"/>
                <w:color w:val="auto"/>
              </w:rPr>
            </w:pPr>
            <w:r>
              <w:rPr>
                <w:rFonts w:ascii="Arial" w:cs="Arial" w:eastAsia="Arial" w:hAnsi="Arial"/>
                <w:sz w:val="18"/>
                <w:szCs w:val="18"/>
                <w:color w:val="auto"/>
                <w:w w:val="86"/>
              </w:rPr>
              <w:t>$19,326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7,784</w:t>
            </w:r>
          </w:p>
        </w:tc>
        <w:tc>
          <w:tcPr>
            <w:tcW w:w="1040" w:type="dxa"/>
            <w:vAlign w:val="bottom"/>
            <w:gridSpan w:val="3"/>
          </w:tcPr>
          <w:p>
            <w:pPr>
              <w:ind w:left="540"/>
              <w:spacing w:after="0"/>
              <w:rPr>
                <w:sz w:val="20"/>
                <w:szCs w:val="20"/>
                <w:color w:val="auto"/>
              </w:rPr>
            </w:pPr>
            <w:r>
              <w:rPr>
                <w:rFonts w:ascii="Arial" w:cs="Arial" w:eastAsia="Arial" w:hAnsi="Arial"/>
                <w:sz w:val="18"/>
                <w:szCs w:val="18"/>
                <w:color w:val="auto"/>
                <w:w w:val="93"/>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31,573</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19"/>
                <w:szCs w:val="19"/>
                <w:color w:val="auto"/>
              </w:rPr>
            </w:pP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23.2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69,795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54,194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15,601</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3"/>
              </w:rPr>
              <w:t>28.8%</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Revenue by Geography</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Americas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$23,817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w:t>
            </w:r>
          </w:p>
        </w:tc>
        <w:tc>
          <w:tcPr>
            <w:tcW w:w="7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86"/>
              </w:rPr>
              <w:t>$19,135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3"/>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EMEA</w:t>
            </w:r>
          </w:p>
        </w:tc>
        <w:tc>
          <w:tcPr>
            <w:tcW w:w="580" w:type="dxa"/>
            <w:vAlign w:val="bottom"/>
          </w:tcPr>
          <w:p>
            <w:pPr>
              <w:jc w:val="right"/>
              <w:spacing w:after="0"/>
              <w:rPr>
                <w:sz w:val="20"/>
                <w:szCs w:val="20"/>
                <w:color w:val="auto"/>
              </w:rPr>
            </w:pPr>
            <w:r>
              <w:rPr>
                <w:rFonts w:ascii="Arial" w:cs="Arial" w:eastAsia="Arial" w:hAnsi="Arial"/>
                <w:sz w:val="18"/>
                <w:szCs w:val="18"/>
                <w:color w:val="auto"/>
              </w:rPr>
              <w:t>27,074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w:t>
            </w:r>
          </w:p>
        </w:tc>
        <w:tc>
          <w:tcPr>
            <w:tcW w:w="420" w:type="dxa"/>
            <w:vAlign w:val="bottom"/>
          </w:tcPr>
          <w:p>
            <w:pPr>
              <w:spacing w:after="0"/>
              <w:rPr>
                <w:sz w:val="18"/>
                <w:szCs w:val="18"/>
                <w:color w:val="auto"/>
              </w:rPr>
            </w:pPr>
          </w:p>
        </w:tc>
        <w:tc>
          <w:tcPr>
            <w:tcW w:w="780" w:type="dxa"/>
            <w:vAlign w:val="bottom"/>
            <w:gridSpan w:val="2"/>
          </w:tcPr>
          <w:p>
            <w:pPr>
              <w:jc w:val="right"/>
              <w:ind w:right="138"/>
              <w:spacing w:after="0"/>
              <w:rPr>
                <w:sz w:val="20"/>
                <w:szCs w:val="20"/>
                <w:color w:val="auto"/>
              </w:rPr>
            </w:pPr>
            <w:r>
              <w:rPr>
                <w:rFonts w:ascii="Arial" w:cs="Arial" w:eastAsia="Arial" w:hAnsi="Arial"/>
                <w:sz w:val="18"/>
                <w:szCs w:val="18"/>
                <w:color w:val="auto"/>
              </w:rPr>
              <w:t>20,782</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6,292</w:t>
            </w:r>
          </w:p>
        </w:tc>
        <w:tc>
          <w:tcPr>
            <w:tcW w:w="1040" w:type="dxa"/>
            <w:vAlign w:val="bottom"/>
            <w:gridSpan w:val="3"/>
          </w:tcPr>
          <w:p>
            <w:pPr>
              <w:ind w:left="5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APAC</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18,904</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32.4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69,795</w:t>
            </w: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780" w:type="dxa"/>
            <w:vAlign w:val="bottom"/>
            <w:gridSpan w:val="2"/>
          </w:tcPr>
          <w:p>
            <w:pPr>
              <w:jc w:val="right"/>
              <w:ind w:right="138"/>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54,194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15,601</w:t>
            </w:r>
          </w:p>
        </w:tc>
        <w:tc>
          <w:tcPr>
            <w:tcW w:w="1040" w:type="dxa"/>
            <w:vAlign w:val="bottom"/>
            <w:gridSpan w:val="3"/>
          </w:tcPr>
          <w:p>
            <w:pPr>
              <w:ind w:left="540"/>
              <w:spacing w:after="0"/>
              <w:rPr>
                <w:sz w:val="20"/>
                <w:szCs w:val="20"/>
                <w:color w:val="auto"/>
              </w:rPr>
            </w:pPr>
            <w:r>
              <w:rPr>
                <w:rFonts w:ascii="Arial" w:cs="Arial" w:eastAsia="Arial" w:hAnsi="Arial"/>
                <w:sz w:val="18"/>
                <w:szCs w:val="18"/>
                <w:color w:val="auto"/>
                <w:w w:val="93"/>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Total revenue increased $15.6 million, or 28.8%, in the first quarter of 2010 compared to the first quarter of 2009, partly due to growth in product revenue. The APAC and EMEA regions contributed the largest portion of this growth. Product revenue increased $7.8 million, or 40.3%, compared to the first quarter of 2009. The increase in product revenue was primarily driven by higher product sales volume across all regions with a comparable product mix and average sales price. Services revenue increased $7.1 million, or 22.3%, in the first quarter of 2010 compared to the first quarter of 2009 due to recognition of revenue from our growing deferred revenue balance consisting of subscription and support contracts sold to a larger customer base. The growth in ratable product and services revenue was due to a slight decrease in the weighted-average service period over which such revenue was recognized, due to a decrease in the average contractual term of support contracts for arrangements in which we recognized product and services revenue ratably over the performance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 Change</w:t>
            </w:r>
          </w:p>
        </w:tc>
        <w:tc>
          <w:tcPr>
            <w:tcW w:w="70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60" w:type="dxa"/>
            <w:vAlign w:val="bottom"/>
            <w:gridSpan w:val="4"/>
          </w:tcPr>
          <w:p>
            <w:pPr>
              <w:jc w:val="right"/>
              <w:ind w:right="9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Product</w:t>
            </w:r>
          </w:p>
        </w:tc>
        <w:tc>
          <w:tcPr>
            <w:tcW w:w="3040" w:type="dxa"/>
            <w:vAlign w:val="bottom"/>
            <w:gridSpan w:val="3"/>
          </w:tcPr>
          <w:p>
            <w:pPr>
              <w:jc w:val="right"/>
              <w:ind w:right="420"/>
              <w:spacing w:after="0"/>
              <w:rPr>
                <w:sz w:val="20"/>
                <w:szCs w:val="20"/>
                <w:color w:val="auto"/>
              </w:rPr>
            </w:pPr>
            <w:r>
              <w:rPr>
                <w:rFonts w:ascii="Arial" w:cs="Arial" w:eastAsia="Arial" w:hAnsi="Arial"/>
                <w:sz w:val="18"/>
                <w:szCs w:val="18"/>
                <w:color w:val="auto"/>
              </w:rPr>
              <w:t>$ 11,314</w:t>
            </w:r>
          </w:p>
        </w:tc>
        <w:tc>
          <w:tcPr>
            <w:tcW w:w="1560" w:type="dxa"/>
            <w:vAlign w:val="bottom"/>
            <w:gridSpan w:val="3"/>
          </w:tcPr>
          <w:p>
            <w:pPr>
              <w:jc w:val="right"/>
              <w:ind w:right="700"/>
              <w:spacing w:after="0"/>
              <w:rPr>
                <w:sz w:val="20"/>
                <w:szCs w:val="20"/>
                <w:color w:val="auto"/>
              </w:rPr>
            </w:pPr>
            <w:r>
              <w:rPr>
                <w:rFonts w:ascii="Arial" w:cs="Arial" w:eastAsia="Arial" w:hAnsi="Arial"/>
                <w:sz w:val="18"/>
                <w:szCs w:val="18"/>
                <w:color w:val="auto"/>
              </w:rPr>
              <w:t>$  8,305</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$ 3,009</w:t>
            </w:r>
          </w:p>
        </w:tc>
        <w:tc>
          <w:tcPr>
            <w:tcW w:w="7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w w:val="93"/>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3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6,468</w:t>
            </w: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5,048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Ratable product and services</w:t>
            </w:r>
          </w:p>
        </w:tc>
        <w:tc>
          <w:tcPr>
            <w:tcW w:w="20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7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700" w:type="dxa"/>
            <w:vAlign w:val="bottom"/>
          </w:tcPr>
          <w:p>
            <w:pPr>
              <w:spacing w:after="0"/>
              <w:rPr>
                <w:sz w:val="19"/>
                <w:szCs w:val="19"/>
                <w:color w:val="auto"/>
              </w:rPr>
            </w:pP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22.4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3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$ 19,375</w:t>
            </w: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$ 14,654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$ 4,721</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32.2%</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2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3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58.3%</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57.0%</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Services</w:t>
            </w:r>
          </w:p>
        </w:tc>
        <w:tc>
          <w:tcPr>
            <w:tcW w:w="3040" w:type="dxa"/>
            <w:vAlign w:val="bottom"/>
            <w:gridSpan w:val="3"/>
          </w:tcPr>
          <w:p>
            <w:pPr>
              <w:jc w:val="right"/>
              <w:ind w:right="420"/>
              <w:spacing w:after="0"/>
              <w:rPr>
                <w:sz w:val="20"/>
                <w:szCs w:val="20"/>
                <w:color w:val="auto"/>
              </w:rPr>
            </w:pPr>
            <w:r>
              <w:rPr>
                <w:rFonts w:ascii="Arial" w:cs="Arial" w:eastAsia="Arial" w:hAnsi="Arial"/>
                <w:sz w:val="18"/>
                <w:szCs w:val="18"/>
                <w:color w:val="auto"/>
              </w:rPr>
              <w:t>83.3</w:t>
            </w:r>
          </w:p>
        </w:tc>
        <w:tc>
          <w:tcPr>
            <w:tcW w:w="1560" w:type="dxa"/>
            <w:vAlign w:val="bottom"/>
            <w:gridSpan w:val="3"/>
          </w:tcPr>
          <w:p>
            <w:pPr>
              <w:jc w:val="right"/>
              <w:ind w:right="700"/>
              <w:spacing w:after="0"/>
              <w:rPr>
                <w:sz w:val="20"/>
                <w:szCs w:val="20"/>
                <w:color w:val="auto"/>
              </w:rPr>
            </w:pPr>
            <w:r>
              <w:rPr>
                <w:rFonts w:ascii="Arial" w:cs="Arial" w:eastAsia="Arial" w:hAnsi="Arial"/>
                <w:sz w:val="18"/>
                <w:szCs w:val="18"/>
                <w:color w:val="auto"/>
              </w:rPr>
              <w:t>84.0</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Ratable product and services</w:t>
            </w:r>
          </w:p>
        </w:tc>
        <w:tc>
          <w:tcPr>
            <w:tcW w:w="3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60.8</w:t>
            </w: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gross margin</w:t>
            </w:r>
          </w:p>
        </w:tc>
        <w:tc>
          <w:tcPr>
            <w:tcW w:w="3040" w:type="dxa"/>
            <w:vAlign w:val="bottom"/>
            <w:gridSpan w:val="3"/>
          </w:tcPr>
          <w:p>
            <w:pPr>
              <w:jc w:val="right"/>
              <w:ind w:right="420"/>
              <w:spacing w:after="0"/>
              <w:rPr>
                <w:sz w:val="20"/>
                <w:szCs w:val="20"/>
                <w:color w:val="auto"/>
              </w:rPr>
            </w:pPr>
            <w:r>
              <w:rPr>
                <w:rFonts w:ascii="Arial" w:cs="Arial" w:eastAsia="Arial" w:hAnsi="Arial"/>
                <w:sz w:val="18"/>
                <w:szCs w:val="18"/>
                <w:color w:val="auto"/>
              </w:rPr>
              <w:t>72.2</w:t>
            </w:r>
          </w:p>
        </w:tc>
        <w:tc>
          <w:tcPr>
            <w:tcW w:w="1560" w:type="dxa"/>
            <w:vAlign w:val="bottom"/>
            <w:gridSpan w:val="3"/>
          </w:tcPr>
          <w:p>
            <w:pPr>
              <w:jc w:val="right"/>
              <w:ind w:right="700"/>
              <w:spacing w:after="0"/>
              <w:rPr>
                <w:sz w:val="20"/>
                <w:szCs w:val="20"/>
                <w:color w:val="auto"/>
              </w:rPr>
            </w:pPr>
            <w:r>
              <w:rPr>
                <w:rFonts w:ascii="Arial" w:cs="Arial" w:eastAsia="Arial" w:hAnsi="Arial"/>
                <w:sz w:val="18"/>
                <w:szCs w:val="18"/>
                <w:color w:val="auto"/>
              </w:rPr>
              <w:t>73.0</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(0.8)</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20" w:type="dxa"/>
            <w:vAlign w:val="bottom"/>
          </w:tcPr>
          <w:p>
            <w:pPr>
              <w:jc w:val="right"/>
              <w:ind w:right="412"/>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Total gross margin decreased 0.8 percentage points in the first quarter of 2010 primarily due to a higher mix of product revenue compared to the first quarter of 2009. Product gross margin increased 1.3 percentage points in the first quarter of 2010 compared to 2009 primarily due to flat warranty-related return costs combined with higher product revenue. The 0.7 percentage point decrease in services gross margin was primarily due to investments in our support organization. Services cost increased by $1.4 million primarily due to $0.8 million of higher cash-based personnel costs, a significant portion of which related to headcount increases in our Americas support organization. Travel, depreciation, and occupancy-related costs increased a combined $0.4 million and stock-based compensation increased $0.1 million. Ratable product and services gross margin was comparable to the prior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56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March 31, 2010</w:t>
            </w:r>
          </w:p>
        </w:tc>
        <w:tc>
          <w:tcPr>
            <w:tcW w:w="140" w:type="dxa"/>
            <w:vAlign w:val="bottom"/>
          </w:tcPr>
          <w:p>
            <w:pPr>
              <w:spacing w:after="0"/>
              <w:rPr>
                <w:sz w:val="12"/>
                <w:szCs w:val="12"/>
                <w:color w:val="auto"/>
              </w:rPr>
            </w:pPr>
          </w:p>
        </w:tc>
        <w:tc>
          <w:tcPr>
            <w:tcW w:w="1280" w:type="dxa"/>
            <w:vAlign w:val="bottom"/>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March 29, 2009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Revenue</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Revenue</w:t>
            </w: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56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$11,934</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17.1%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$ 9,876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18.2%</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$ 2,058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26,723</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4,960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5,059</w:t>
            </w:r>
          </w:p>
        </w:tc>
        <w:tc>
          <w:tcPr>
            <w:tcW w:w="2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4,672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387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43,716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36,311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67.0%</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$ 7,405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Research and development expense increased $2.1 million, or 20.8%, in the first quarter of 2010 compared to the first quarter of 2009 primarily due to an increase of $1.6 million in cash-based personnel costs as a result of increased headcount to support continued enhancements of our products. We also had an increase of $0.2 million in stock-based compensation expense. An 18% increase in the Canadian dollar exchange rate against the US dollar significantly contributed to the increase in research and development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 expense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Sales and marketing expense increased $5.0 million, or 22.8%, in the first quarter of 2010 compared to the first quarter of 2009 primarily due to increased cash-based personnel costs of $4.1 million based on increased headcount primarily in the U.S., a $0.5 million increase in promotional and other marketing-related expenses and a $0.2 million increase in stock-based compensation expense. As a percentage of revenue, sales and marketing expenses decreased 1.9 percentage points.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the first quarter of 2010, general and administrative expense increased $0.4 million, or 8.3%, compared to the first quarter of 2009. The increase was primarily due to increased cash-based personnel costs of $0.3 million, and a $0.1 million increase in stock-based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0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9"/>
              </w:rPr>
              <w:t>March 31,</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4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62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268</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714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280" w:type="dxa"/>
            <w:vAlign w:val="bottom"/>
            <w:gridSpan w:val="3"/>
          </w:tcPr>
          <w:p>
            <w:pPr>
              <w:jc w:val="right"/>
              <w:ind w:right="560"/>
              <w:spacing w:after="0"/>
              <w:rPr>
                <w:sz w:val="20"/>
                <w:szCs w:val="20"/>
                <w:color w:val="auto"/>
              </w:rPr>
            </w:pPr>
            <w:r>
              <w:rPr>
                <w:rFonts w:ascii="Arial" w:cs="Arial" w:eastAsia="Arial" w:hAnsi="Arial"/>
                <w:sz w:val="18"/>
                <w:szCs w:val="18"/>
                <w:color w:val="auto"/>
              </w:rPr>
              <w:t>(250)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(744)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(150.6)</w:t>
            </w: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$0.4 million decrease in interest income in the first quarter of 2010 compared to the first quarter of 2009 was due to lower interest rates earned, despite higher balances of cash, cash equivalents and investments. The decrease in other income (expense), net for the first quarter of 2010 when compared to the first quarter of 2009 was the result of a foreign exchange gain in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0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6"/>
              </w:rPr>
              <w:t>March 31,</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29,</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 Change</w:t>
            </w:r>
          </w:p>
        </w:tc>
        <w:tc>
          <w:tcPr>
            <w:tcW w:w="5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gridSpan w:val="4"/>
          </w:tcPr>
          <w:p>
            <w:pPr>
              <w:jc w:val="right"/>
              <w:ind w:right="312"/>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2,504</w:t>
            </w: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663</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$ 1,841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Effective tax rate</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37.3%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tax rate was 37.3% for the quarter ended March 31, 2010, compared with an effective tax rate of 14.9% for the quarter ended March 31, 2009. The provision for income taxes for March 31, 2010 is comprised of foreign income taxes, U.S. federal and state taxes, and withholding tax. The provision for income taxes for the quarter ended March 31, 2009 is comprised primarily of foreign income taxes, U.S. federal alternative minimum tax and state income taxes, and withholding tax. The increase in the effective tax rate for the quarter ended March 31, 2010, compared with the same period in the prior year, is attributable to the use of net operating loss carryforwards to reduce our tax rate in 2009, prior to releasing our valuation allowance at the end of fiscal 2009, as well as the fact that the U.S. research and development tax credit expired on December 31, 2009 and has not yet been extended by the U.S. Congress. The valuation allowance was released at the end of fiscal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March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4"/>
          </w:tcPr>
          <w:p>
            <w:pPr>
              <w:jc w:val="right"/>
              <w:ind w:right="397"/>
              <w:spacing w:after="0" w:line="142" w:lineRule="exact"/>
              <w:rPr>
                <w:sz w:val="20"/>
                <w:szCs w:val="20"/>
                <w:color w:val="auto"/>
              </w:rPr>
            </w:pPr>
            <w:r>
              <w:rPr>
                <w:rFonts w:ascii="Arial" w:cs="Arial" w:eastAsia="Arial" w:hAnsi="Arial"/>
                <w:sz w:val="14"/>
                <w:szCs w:val="14"/>
                <w:b w:val="1"/>
                <w:bCs w:val="1"/>
                <w:color w:val="auto"/>
                <w:w w:val="79"/>
              </w:rPr>
              <w:t>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$174,255</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Investments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106,682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142,683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March 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4"/>
          </w:tcPr>
          <w:p>
            <w:pPr>
              <w:jc w:val="right"/>
              <w:ind w:right="397"/>
              <w:spacing w:after="0" w:line="142" w:lineRule="exact"/>
              <w:rPr>
                <w:sz w:val="20"/>
                <w:szCs w:val="20"/>
                <w:color w:val="auto"/>
              </w:rPr>
            </w:pPr>
            <w:r>
              <w:rPr>
                <w:rFonts w:ascii="Arial" w:cs="Arial" w:eastAsia="Arial" w:hAnsi="Arial"/>
                <w:sz w:val="14"/>
                <w:szCs w:val="14"/>
                <w:b w:val="1"/>
                <w:bCs w:val="1"/>
                <w:color w:val="auto"/>
                <w:w w:val="79"/>
              </w:rPr>
              <w:t>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$ 21,816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420" w:type="dxa"/>
            <w:vAlign w:val="bottom"/>
            <w:gridSpan w:val="3"/>
          </w:tcPr>
          <w:p>
            <w:pPr>
              <w:jc w:val="right"/>
              <w:ind w:right="112"/>
              <w:spacing w:after="0"/>
              <w:rPr>
                <w:sz w:val="20"/>
                <w:szCs w:val="20"/>
                <w:color w:val="auto"/>
              </w:rPr>
            </w:pPr>
            <w:r>
              <w:rPr>
                <w:rFonts w:ascii="Arial" w:cs="Arial" w:eastAsia="Arial" w:hAnsi="Arial"/>
                <w:sz w:val="18"/>
                <w:szCs w:val="18"/>
                <w:color w:val="auto"/>
              </w:rPr>
              <w:t>(60,972)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00" w:type="dxa"/>
            <w:vAlign w:val="bottom"/>
          </w:tcPr>
          <w:p>
            <w:pPr>
              <w:spacing w:after="0"/>
              <w:rPr>
                <w:sz w:val="18"/>
                <w:szCs w:val="18"/>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4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 (38,203)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At March 31, 2010, our cash, cash equivalents, and short-term investments of $248.2 million were held for working-capital purposes and were invested primarily in money market funds, commercial paper, corporate debt securities and U.S. government debt securities. We do not enter into investments for trading or speculative purposes. We believe that our cash from operations together with existing cash and cash equivalents will be sufficient to meet our anticipated cash needs for at least the next twelve months. Our future capital requirements will depend on many factors including our growth rate, the timing and extent of spending necessary to support development efforts, the expansion of sales and marketing activities, the introduction of new and enhanced products and services offerings, the costs to ensure access to adequate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first quarter of 2010, operating activities provided $21.8 million in cash as a result of net income of $4.2 million, reduced by non-cash items such as an excess tax benefit from employee stock option plans of $0.8 million, increased by stock-based compensation amounts of $2.1 million, depreciation and amortization amounts of $1.4 million, and amortization of investment premiums of $1.1 million. Changes in operating assets and liabilities provided $13.8 million in cash. Sources of cash totaled $15.4 million and were related to a $9.6 million increase in deferred revenue which was attributable primarily to increased sales of our subscription and support services, a $0.4 million decrease in deferred cost of revenue, a $3.2 million decrease in accounts receivable, a $0.8 million increase in accrued payroll and compensation primarily related to increased headcount, and a $1.4 million increase in taxes payable. Uses of cash totaled $1.6 million and were related to a $0.5 million increase in prepaid expenses and other assets, and a $1.1 million decrease in accounts payable and accrued liabilities, respectively, related to timing of payments.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first quarter of 2009, operating activities provided $15.6 million in cash as a result of net income of $3.8 million, increased by non-cash items such as depreciation and amortization amounts of $1.4 million and stock-based compensation amounts of $1.6 million. Changes in operating assets and liabilities provided $8.6 million in cash. Sources of cash totaled $12.0 million and were related to a $6.0 million increase in deferred revenue which was attributable to increased sales of our subscription and support services, a $5.5 decrease in accounts receivable, and a $0.3 million increase in accounts payable due to timing of payments. Uses of cash totaled $3.4 million and were related to a $2.2 million decrease in accrued liabilities and accrued payroll and compensation, $0.6 million increase in prepaid expenses and other assets, and $0.3 decrease in income tax payable, related to the timing of payments.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investing activities during the first quarter of 2010 consisted primarily of purchases and sales of investments and capital expenditures. The $61.0 million of cash used by investing activities was due primarily to net purchases of investments of $60.0 million. Additionally, we used cash of $1.0 million for capital expenditures.</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investing activities during the first quarter of 2009 consisted primarily of purchases and sales of investments and capital expenditures. The $15.1 million of cash used by investing activities was due primarily to net purchases of investments of $12.4 million. Additionally, we used cash of $2.6 million for capital expenditures.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Our financing activities in the first quarter of 2010 resulted in net cash provided of $1.3 million as a result of receiving proceeds of $1.4 million from the exercise of stock options to purchase our common stock and an excess tax benefit from employee stock option plans of $0.8 million, all partially offset by $0.9 million issuance cost paid in connection with our initial public offering, which had been accrued as of December 31, 2009.</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financing activities in the first quarter of 2009 resulted in net cash used of $7.3 million as a result of $8.0 million used to repurchase our preferred and common stock, partially offset by proceeds of $0.7 million, as a result of exercises of stock options to purchase our common stock.</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March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w:t>
            </w:r>
          </w:p>
        </w:tc>
        <w:tc>
          <w:tcPr>
            <w:tcW w:w="920" w:type="dxa"/>
            <w:vAlign w:val="bottom"/>
            <w:gridSpan w:val="2"/>
          </w:tcPr>
          <w:p>
            <w:pPr>
              <w:jc w:val="center"/>
              <w:ind w:left="225"/>
              <w:spacing w:after="0" w:line="129" w:lineRule="exact"/>
              <w:rPr>
                <w:sz w:val="20"/>
                <w:szCs w:val="20"/>
                <w:color w:val="auto"/>
              </w:rPr>
            </w:pPr>
            <w:r>
              <w:rPr>
                <w:rFonts w:ascii="Arial" w:cs="Arial" w:eastAsia="Arial" w:hAnsi="Arial"/>
                <w:sz w:val="14"/>
                <w:szCs w:val="14"/>
                <w:b w:val="1"/>
                <w:bCs w:val="1"/>
                <w:color w:val="auto"/>
                <w:w w:val="88"/>
              </w:rPr>
              <w:t>1-3</w:t>
            </w:r>
          </w:p>
        </w:tc>
        <w:tc>
          <w:tcPr>
            <w:tcW w:w="320" w:type="dxa"/>
            <w:vAlign w:val="bottom"/>
          </w:tcPr>
          <w:p>
            <w:pPr>
              <w:spacing w:after="0"/>
              <w:rPr>
                <w:sz w:val="11"/>
                <w:szCs w:val="11"/>
                <w:color w:val="auto"/>
              </w:rPr>
            </w:pPr>
          </w:p>
        </w:tc>
        <w:tc>
          <w:tcPr>
            <w:tcW w:w="50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4-5</w:t>
            </w:r>
          </w:p>
        </w:tc>
        <w:tc>
          <w:tcPr>
            <w:tcW w:w="3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w w:val="85"/>
              </w:rPr>
              <w:t>1 Year</w:t>
            </w:r>
          </w:p>
        </w:tc>
        <w:tc>
          <w:tcPr>
            <w:tcW w:w="320" w:type="dxa"/>
            <w:vAlign w:val="bottom"/>
            <w:vMerge w:val="restart"/>
          </w:tcPr>
          <w:p>
            <w:pPr>
              <w:ind w:left="200"/>
              <w:spacing w:after="0"/>
              <w:rPr>
                <w:sz w:val="20"/>
                <w:szCs w:val="20"/>
                <w:color w:val="auto"/>
              </w:rPr>
            </w:pPr>
            <w:r>
              <w:rPr>
                <w:rFonts w:ascii="Arial" w:cs="Arial" w:eastAsia="Arial" w:hAnsi="Arial"/>
                <w:sz w:val="11"/>
                <w:szCs w:val="11"/>
                <w:b w:val="1"/>
                <w:bCs w:val="1"/>
                <w:color w:val="auto"/>
                <w:w w:val="74"/>
              </w:rPr>
              <w:t>(in</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Years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vMerge w:val="continue"/>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thousands)</w:t>
            </w: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$19,351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$12,235</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11"/>
                <w:szCs w:val="11"/>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19,061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19,061</w:t>
            </w:r>
          </w:p>
        </w:tc>
        <w:tc>
          <w:tcPr>
            <w:tcW w:w="32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Royalty commitments</w:t>
            </w:r>
            <w:r>
              <w:rPr>
                <w:rFonts w:ascii="Arial" w:cs="Arial" w:eastAsia="Arial" w:hAnsi="Arial"/>
                <w:sz w:val="11"/>
                <w:szCs w:val="11"/>
                <w:color w:val="auto"/>
              </w:rPr>
              <w:t>(3)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45,412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27,038</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15,235</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3,139</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contractual obligations from non-cancelable office space under operating leases.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minimum purchase commitments with independent contract manufacturers.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minimum royalties claimed by Trend Micro to be owed, which are subject to dispute. See “Part II: Item 1—Legal Proceedings.”</w:t>
      </w:r>
    </w:p>
    <w:p>
      <w:pPr>
        <w:spacing w:after="0" w:line="9"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amounts related to ASC 740-10 (FIN 48) are included. As of March 2010, we had approximately $3.4 million of tax liabilities, including interest, related to uncertain tax positions. Because of the high degree of uncertainty regarding the settlement of these liabilities, we are unable to estimate the years in which future cash outflows may occur.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first quarter of 2010,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 of Notes to Condensed Consolidated Financial Statements for recent accounting pronouncements that could have an effect on us.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short- and long-term investments in a variety of securities, including commercial paper, money market funds, government and corporate debt securities and certificates of deposit. The risk associated with fluctuating interest rates is limited to our investment portfolio. A 10% decrease in interest rates during the first fiscal quarter of 2010 and 2009 would have resulted in a decrease in our interest income of approximately $27,000 and $71,000, respectively. As of March 31, 2010, our cash, cash equivalents and short- and long- term investments were in money market funds, commercial paper, corporate debt securities and U.S. government debt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risk. However, a substantial portion of our operating expenses incurred outside the U.S. are denominated in foreign currencies and are subject to fluctuations due to changes in foreign currency exchange rates, particularly changes in the Canadian dollar, Euro, and British Pound. Additionally, fluctuations in foreign currency exchange rates may cause us to recognize transaction gains and losses in our condensed consolidated statements of operations. We recognized other expense, net of $(0.3) million in the first quarter of 2010 due to foreign currency transaction losses.</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use foreign exchange forward contracts to partially mitigate the impact of fluctuations in foreign currency rates on certain balance sheet accounts. We do not use these contracts for speculative or trading purposes. These contracts typically have maturities between one and two months, and we record gains and losses from these instruments in other income (expense), 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March 31, 2010.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2010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our first fiscal quarter that have materially affected, or are reasonably likely to materially affect, our internal control over financial reporting.</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May 2004, Trend Micro Incorporated filed a complaint against us alleging that we infringed a Trend Micro patent related to antivirus software. In January 2006, we settled the lawsuit with Trend Micro.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have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royalties. We have continued to accrue expense based on the quarterly royalties provided for in the settlement and license agreement.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On May 3, 2010, the state court denied Trend Micro’s demurrer in its entirety. On May 12, 2010, the United States District Court for the Northern District of California denied Trend Micro’s motion to dismiss without prejudice and stayed the action before that court pending the conclusion of the state court action.</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January 2009, we filed a complaint against Palo Alto Networks, Inc., in the United States District Court for the Northern District of California alleging, among other claims, patent infringement. In September 2009, Palo Alto Networks filed a counterclaim against us alleging patent infringement. In May 2009, Enhanced Security Research, LLC, or ESR, a non-practicing entity, filed a complaint in the United States District Court for the District of Delaware alleging patent infringement by us and other defendants. In August 2009, ESR filed a substantially similar complaint against us in the same court alleging infringement of the same patents. In September 2009, Deep Nines, Inc. filed, but did not serve us with, a complaint against us in the United States District Court for the Eastern District of Texas alleging that our products infringe certain of their patents. The Palo Alto Networks and ESR cases are currently at an early stage of the litigation process. The Deep Nines case has not yet been served.</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April 2010, an individual and former stockholder of Fortinet filed a class action lawsuit against us in the Superior Court of the State of California for the County of Los Angeles alleging violation of various California Corporate Code sections and related tort claims alleging misrepresentation and breach of fiduciary duty regarding the 2009 repurchase by Fortinet of its stock while we were a privately-held company, as discussed in “Note 8—Stockholders’ Equity” above.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above matters, we are subject to other litigation in the ordinary course of business. The results of legal proceedings cannot be predicted with certainty. If we do not prevail in any of these legal matters, our operating results may be materially affected. At this time, we are unable to estimate the financial impact these actions will likely have on the company.</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other information contained in this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and the timing of channel partner and end-customer orders;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shipments, which may depend on many factors such as inventory levels and logistics, our ability to ship new products on schedule and accurately forecast inventory requirements, and possible increases in the time for the manufacture of products;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and timing of point of sale reporting by our sell-through distributors, which impacts our ability to recognize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deferral of orders from end-customers in anticipation of new products or product enhancements announced by us or our competitors;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length of services contracts sold;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disruption in our channel or termination of our relationship with important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our foreign markets;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Any one of the factors above or the cumulative effect of some of the factors referred to above may result in significant fluctuations in our quarterly operating results, including both financial statement results and other important metrics. This variability and unpredictability could result in our failing to meet our revenue and other expected metrics and our other operating results expectations or those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historically we have received a substantial portion of a quarter’s sales orders and generated a substantial portion of a quarter’s revenue during the last two weeks or last days of the quarter. If expected revenue at the end of any quarter is delayed for any reason, including the failure of anticipated purchase orders to materialize, our or our logistics partners’ inability to ship products prior to quarter-end to fulfill purchase orders received near the end of the quarter, our failure to manage inventory properly in a way to meet demand, or our inability to release new products on schedule, our revenue for that quarter could fall below our expectations or those of securities analysts and investors, resulting in a decline in our stock price.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maintain profitability, and our revenue growth may not continue.</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incurred net losses in most fiscal years since our inception, including net losses of $21.8 million in fiscal 2007, $5.3 million in fiscal 2006, $14.2 million in fiscal 2005 and $59.0 million in fiscal 2004. As a result, we had an accumulated deficit of $55.8 million at March 31, 2010. Although we were profitable in fiscal 2008, fiscal 2009, and the first quarter of fiscal 2010, we may not be able to sustain profitability in future periods if we fail to increase revenue or deferred revenue, manage our cost structure, or are subject to unanticipated liabilities. Revenue growth may slow or revenue may decline for a number of possible reasons, including slowing demand for our products or services, increasing competition, a decrease in the growth of our overall market, or if we fail for any reason to continue to capitalize on growth opportunities. Any failure by us to maintain profitability and continue our revenue growth could cause the price of our common stock to materially decline.</w:t>
      </w:r>
    </w:p>
    <w:p>
      <w:pPr>
        <w:spacing w:after="0" w:line="199"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We rely significantly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ind w:firstLine="456"/>
        <w:spacing w:after="0" w:line="286" w:lineRule="auto"/>
        <w:rPr>
          <w:sz w:val="20"/>
          <w:szCs w:val="20"/>
          <w:color w:val="auto"/>
        </w:rPr>
      </w:pPr>
      <w:r>
        <w:rPr>
          <w:rFonts w:ascii="Arial" w:cs="Arial" w:eastAsia="Arial" w:hAnsi="Arial"/>
          <w:sz w:val="16"/>
          <w:szCs w:val="16"/>
          <w:color w:val="auto"/>
        </w:rPr>
        <w:t>Our services revenue accounted for 55% and 58% of our total revenue for the first quarters of fiscal 2010 and 2009, respectively. Sales of new or renewal subscription and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services contracts decline, our revenue and revenue growth may decline and our business will suffer. In addition we recognize subscription and service revenue monthly over the term of the relevant service period, which is typically one year but has been as long as five years. As a result, much of the revenue we report each quarter is the recognition of deferred revenue from subscription and services contracts entered into during previous quarters. Consequently, a decline in new or renewed subscription or service contracts in any one quarter will not be fully reflected in revenue in that quarter, but will negatively affect our revenue in future quarters. Accordingly, the effect of significant downturns in new or renewed sales of our subscriptions or services is not reflected in full in our results of operations until future periods. Our subscription and service revenue also makes it difficult for us to rapidly increase our revenue through additional service sales in any period, as revenue from new and renewal service contracts must be recognized over the applicable service period. Furthermore increases in the average term of services contracts would result in revenue for services contracts being recognized over longer periods of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channel partners may increase orders during periods of product shortages, cancel orders if their inventory is too high, return product or take advantage of price protection (if any),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that we sell and the fact that we sell models that must meet regulatory requirements, such as the European Union’s Restriction of the Use of Certain Hazardous Substances in Electrical and Electronic Equipment Directive, or the EU RoHS.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For example, in the third and fourth quarters of fiscal 2007 we had excess inventory, resulting in significant inventory write-offs. Alternatively, insufficient inventory levels, may lead to shortages that result in delayed revenue or loss of sales opportunities altogether as potential end-customers turn to competitors’ products that are readily available. If we are unable to effectively manage our inventory and that of our distribution partners, our results of operations could be adversely affected.</w:t>
      </w:r>
    </w:p>
    <w:p>
      <w:pPr>
        <w:spacing w:after="0" w:line="19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important channel partner may also adversely impact our sales and operating results.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have incentives to promote our competitors’ products to the detriment of our own. They may cease selling our products altogether. We cannot assure you that we will retain these channel partners or that we will be able to secure additional or replacement partners. The loss of one or more of our significant channel partners or the failure to obtain and ship a number of large orders each quarter through them could harm our operating results. During fiscal 2007, 2008, and 2009, Alternative Technology, Inc., a subsidiary of Arrow Electronics, Inc., was our most significant channel partner, accounting for 12% of our total revenue in each of the periods. During the first quarter of 2010, Alternative Technology, Inc. accounted for 11% of our total revenue.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manage existing sales channels, our business will be seriously harmed.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 entities. Sales to enterprises, service providers and government entities involve risks that may not be present (or that are present to a lesser extent) with sales to small-to-mid-sized entities. These risks include:</w:t>
      </w:r>
    </w:p>
    <w:p>
      <w:pPr>
        <w:spacing w:after="0" w:line="59" w:lineRule="exact"/>
        <w:rPr>
          <w:sz w:val="20"/>
          <w:szCs w:val="20"/>
          <w:color w:val="auto"/>
        </w:rPr>
      </w:pPr>
    </w:p>
    <w:p>
      <w:pPr>
        <w:ind w:left="900" w:right="2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from larger competitors, such as Cisco Systems, Inc., Check Point Software Technologies Ltd., McAfee, Inc. and Juniper Networks, Inc., that traditionally target enterprises, service providers and government entities and that may already have purchase commitments from those end-customers;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 with us;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who elects not to purchase our products and services.</w:t>
      </w:r>
    </w:p>
    <w:p>
      <w:pPr>
        <w:spacing w:after="0" w:line="132"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Large enterprises, service providers and government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 entities are frequently subject to budget constraints, multiple approvals, and unplanned administrative, processing and other delays. Finally, enterprise, service providers and government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Defects or vulnerabilities in our products or services, the failure of our products or services to prevent a virus or security breach, or misuse of our products could harm our reputation and divert resources.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For example, one of our high-end product models has been experiencing a defect in limited deployments.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 actual or perceived security breach or infection of the network of one of our end-customers, regardless of whether the breach is attributable to the failure of our products or services to prevent the security breach, could adversely affect the market’s perception of our security products.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defects, errors or vulnerabilities in our products, or misuse of our products, could result in:</w:t>
      </w:r>
    </w:p>
    <w:p>
      <w:pPr>
        <w:spacing w:after="0" w:line="39" w:lineRule="exact"/>
        <w:rPr>
          <w:sz w:val="20"/>
          <w:szCs w:val="20"/>
          <w:color w:val="auto"/>
        </w:rPr>
      </w:pPr>
    </w:p>
    <w:p>
      <w:pPr>
        <w:ind w:left="900" w:right="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 high volume business that has grown over the last several years. We rely heavily on information technology systems to help manage critical functions such as order processing, revenue recognition, financial forecasts and inventory and supply chain management.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our Annual Report on Form 10-K for the fiscal year ended December 31, 2009,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valuation of inventory, warranty liabilities, and accounting for income taxes.</w:t>
      </w:r>
    </w:p>
    <w:p>
      <w:pPr>
        <w:spacing w:after="0" w:line="20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As of March 31, 2010, we estimated that approximately $1.8 million of our products in our distributors’ inventory were subject to price protection.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20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senior management, particularly Ken Xie, our Co-founder, President and Chief Executive Officer, Michael Xie, our Co-founder, Vice President of Engineering and Chief Technical Officer, and Ken Goldman, our Vice President and Chief Financial Officer,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If we are unable to establish fair value for any undelivered element of a customer order, revenue relating to the entire order will be deferred and recognized over future periods. A delay in the recognition of revenue for a significant portion of our sales in a particular quarter may adversely affect our results of operations.</w:t>
      </w:r>
    </w:p>
    <w:p>
      <w:pPr>
        <w:spacing w:after="0" w:line="5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the course of our selling efforts, we typically enter into arrangements that require us to deliver a combination of products and services. We refer to each individual product or service as an “element” of the overall arrangement. These arrangements typically require us to deliver particular elements in a future period. As we discuss further in “Note 1—Summary of Significant Accounting Policies—Revenue Recognition”, if we are unable to determine the fair value of any undelivered elements, we are required by generally accepted accounting principles, or GAAP, to defer revenue from the entire arrangement rather than just the undelivered elements. If we are required to defer revenue from the entire arrangement for a significant portion of our product sales, our revenue for that quarter could fall below our expectations or those of securities analysts and investors, adversely affecting our results of operations and resulting in a decline in our stock price.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 believe the global economic downturn may have adversely affected our total revenue in fiscal 2009.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w:t>
      </w:r>
    </w:p>
    <w:p>
      <w:pPr>
        <w:spacing w:after="0" w:line="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outsource the manufacturing of our security appliance products to a variety of contract manufacturing partners and original design manufacturing partners.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proprietary FortiASIC, which is the key to the performance of our appliances, is fabricated by contract manufacturers in foundries operated by UMC and Taiwan Semiconductor Manufacturing Corporation, or TSMC. Faraday (using UMC’s foundry) and K-Micro (using TSMC’s foundry) manufacture our ASICs on a purchase order basis, and these foundries do not guarantee any capacity and could reject orders from either Faraday or K-Micro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 RoHS and other similar laws. See “If we fail to comply with environmental requirements, our business, financial condition, operating results and reputation could be adversely affected” for information on the effects of the failure to comply with these laws.</w:t>
      </w:r>
    </w:p>
    <w:p>
      <w:pPr>
        <w:spacing w:after="0" w:line="22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or supply changes, which could disrupt or delay our scheduled product deliveries to our customers and may result in the loss of sales and customers.</w:t>
      </w:r>
    </w:p>
    <w:p>
      <w:pPr>
        <w:spacing w:after="0" w:line="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in the supply of these components and the risk that component suppliers discontinue or modify components used in our products. We have faced component shortages in the past. Certain of our limited source components for particular appliances and suppliers of those components include: specific types of central processing units from Intel Corporation, Advanced Micro Devices, Inc., RMI Corporation and VIA Technologies, Inc. and network chips from Broadcom Corporation, Marvell Technology Group Ltd. and Intel.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manufacturing partners have experienced increasing lead times for the purchase of components incorporated into our products. Our reliance on a limited number of suppliers involves several additional risks, including:</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17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adversely affect our financial condition and results of operations. In addition, a majority of our operating expenses were incurred outside the United States, are denominated in foreign currencies and are subject to fluctuations due to changes in foreign currency exchange rates, particularly changes in the Euro and Canadian dollar. Although we have begun to hedge currency exposures relating to certain balance sheet accounts, we do not currently hedge currency exposures relating to operating expenses incurred outside of the United States, but we may do so in the future. If our attempts to hedge against these risks are not successful, our financial condition and results of operations could be adversely affected.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51" w:lineRule="exact"/>
        <w:rPr>
          <w:sz w:val="20"/>
          <w:szCs w:val="20"/>
          <w:color w:val="auto"/>
        </w:rPr>
      </w:pPr>
    </w:p>
    <w:p>
      <w:pPr>
        <w:jc w:val="both"/>
        <w:ind w:right="340" w:firstLine="456"/>
        <w:spacing w:after="0" w:line="357" w:lineRule="auto"/>
        <w:rPr>
          <w:sz w:val="20"/>
          <w:szCs w:val="20"/>
          <w:color w:val="auto"/>
        </w:rPr>
      </w:pPr>
      <w:r>
        <w:rPr>
          <w:rFonts w:ascii="Arial" w:cs="Arial" w:eastAsia="Arial" w:hAnsi="Arial"/>
          <w:sz w:val="15"/>
          <w:szCs w:val="15"/>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of compliance with foreign policies, laws and regulations and the risks and costs of non-compliance with such policies, laws and regulations;</w:t>
      </w:r>
    </w:p>
    <w:p>
      <w:pPr>
        <w:spacing w:after="0" w:line="113"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regulatory or contractual limitations on our ability to sell our products in certain foreign markets, and the risks and costs of non-compliance;</w:t>
      </w:r>
    </w:p>
    <w:p>
      <w:pPr>
        <w:spacing w:after="0" w:line="113" w:lineRule="exact"/>
        <w:rPr>
          <w:rFonts w:ascii="Arial" w:cs="Arial" w:eastAsia="Arial" w:hAnsi="Arial"/>
          <w:sz w:val="16"/>
          <w:szCs w:val="16"/>
          <w:color w:val="auto"/>
        </w:rPr>
      </w:pPr>
    </w:p>
    <w:p>
      <w:pPr>
        <w:ind w:left="900" w:right="36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affects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Certain of our products are subject to U.S. export controls and may be exported outside the U.S. only with the required export license or through an export license exception, because we incorporate encryption technology into our products. If we were to fail to comply with U.S. export licensing, U.S. Customs regulations, U.S. economic sanctions and other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in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European Union, or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and we may in the future increase sales to government entities. Sales into government entities are subject to a number of risks. Selling to government entities can be highly competitive, expensive and time consuming, often requiring significant upfront time and expense without any assurance that we will win a sale. Government demand and payment for our products and services may be impacted by public sector budgetary cycles and funding authorizations, with funding reductions or delays adversely affecting public sector demand for our products. Most of our sales to government entities have been made indirectly through our distribution channel. Government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for purchases by the U.S. government, the government may require certain products to be manufactured in the United States and other high cost manufacturing locations, and we may not manufacture all products in locations that meet the requirements of the U.S. government.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provision for income taxes is subject to volatility and could be adversely affected by:</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earnings being lower than anticipated in countries that have lower tax rates and higher than anticipated in countries that have higher tax rates;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pricing adjustments including the effect of acquisitions on our intercompany research and development and legal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effects of nondeductible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Significant judgment is required to determine the recognition and measurement attribute prescribed in Accounting Standards Codification (ASC) 740-10 (</w:t>
      </w:r>
      <w:r>
        <w:rPr>
          <w:rFonts w:ascii="Arial" w:cs="Arial" w:eastAsia="Arial" w:hAnsi="Arial"/>
          <w:sz w:val="16"/>
          <w:szCs w:val="16"/>
          <w:i w:val="1"/>
          <w:iCs w:val="1"/>
          <w:color w:val="auto"/>
        </w:rPr>
        <w:t>formerly referred to as Financial Accounting Standards Board (FASB) Interpretation No. 48, Accounting for Uncertainty in Income Taxes—an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No. 109 (FIN 48)</w:t>
      </w:r>
      <w:r>
        <w:rPr>
          <w:rFonts w:ascii="Arial" w:cs="Arial" w:eastAsia="Arial" w:hAnsi="Arial"/>
          <w:sz w:val="16"/>
          <w:szCs w:val="16"/>
          <w:color w:val="auto"/>
        </w:rPr>
        <w:t>). In addition, ASC 740-10 applies to all income tax positions, including the potential recovery of previously paid taxes, which if settled</w:t>
      </w:r>
      <w:r>
        <w:rPr>
          <w:rFonts w:ascii="Arial" w:cs="Arial" w:eastAsia="Arial" w:hAnsi="Arial"/>
          <w:sz w:val="16"/>
          <w:szCs w:val="16"/>
          <w:i w:val="1"/>
          <w:iCs w:val="1"/>
          <w:color w:val="auto"/>
        </w:rPr>
        <w:t xml:space="preserve"> </w:t>
      </w:r>
      <w:r>
        <w:rPr>
          <w:rFonts w:ascii="Arial" w:cs="Arial" w:eastAsia="Arial" w:hAnsi="Arial"/>
          <w:sz w:val="16"/>
          <w:szCs w:val="16"/>
          <w:color w:val="auto"/>
        </w:rPr>
        <w:t>unfavorably could adversely impact our provision for income taxes or additional paid-in capital. Further, as a result of certain of our ongoing employment and capital investment actions and commitments, our income in certain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we released our entire valuation allowance in the year ended December 31, 2009, we may in the future be required to establish a new valuation allowance. We will continue to assess the need for a valuation allowance on the deferred tax asset by evaluating both positive and negative evidence that may exist.</w:t>
      </w:r>
    </w:p>
    <w:p>
      <w:pPr>
        <w:spacing w:after="0" w:line="22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18"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management time and resources.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For example, one of our high-end product models has been experiencing a defect in limited deployments.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significant natural disaster, such as an earthquake, fire or a flood, or a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or logistics providers’ ability to perform services such as manufacturing products on a timely basis and assisting with shipments on a timely basis. For example, our primary international logistics provider is located in Taiwan which is an area known for typhoons.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acts of terrorism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For example, in the first quarter of fiscal 2009, we released a new model within our FortiGate product line and, after its initial release, we detected errors in the product that required us to redesign certain aspects of the product which delayed the availability of the product for one quarter and delayed our recognition of revenue from large orders that included such product until the following quarter when the product became available.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12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accurately predict market demand in terms of product functionality and to supply products that meet this demand in a timely fashion;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develop better market awareness of our company and our products, our revenue may not continue to grow.</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a relatively new entrant in the network security market and we believe that we have not yet established sufficient market awareness of our participation in that market. Market awareness of our capabilities and products is essential to our continued growth and our success in all of our markets, particularly for the large enterprise, service provider and government entities markets. If our marketing programs are not successful in creating market awareness of our company and products, our business, financial condition and results of operations will be adversely affected, and we will not be able to achieve sustained growth.</w:t>
      </w:r>
    </w:p>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Demand for Unified Threat Management products may be limited by market perception that UTM products are inferior to network security solutions from multiple vendors.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20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networking companies such as Cisco Systems, Inc. and Juniper Networks, Inc., security vendors such as Check Point Software Technologies Ltd., McAfee, Inc., and SonicWALL, Inc., and other point solution security vendors.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are in a better position to withstand any significant reduction in capital spending by end-customers in these markets, and will therefore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McAfee’s acquisition of Secure Computing Corporation and Check Point’s acquisition of Nokia’s security appliance business.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rely primarily on patent, trademark, copyright and trade secrets laws, confidentiality procedures and contractual provisions to protect our technology. We purchased most of our issued U.S. patents and many of our pending U.S. patent applications from other entities.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(GPL),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could harm our business.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future litigation may involve patent holding companies or other adverse patent owners who have no relevant product revenue and against whom our own patents may therefore provide little or no deterrence or protection.</w:t>
      </w:r>
    </w:p>
    <w:p>
      <w:pPr>
        <w:spacing w:after="0" w:line="14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8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been involved in patent disputes in the past, are currently involved in several patent disputes, and likely will be involved in additional disputes in the future. In May 2004, Trend Micro Incorporated filed a complaint against us alleging that we infringed a Trend Micro patent related to antivirus software. The International Trade Commission, or ITC, subsequently instituted an investigation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not expected to exceed 1% of our total revenue each quarter, through 2015. In November 2008, we filed a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Trend Micro moved to dismiss the case, and, in June 2009, the court dismissed the case without prejudice on procedural grounds, and we appealed the dismissal in July 2009. Based on the dispute, we have ceased paying royalties under the settlement and license agreement. In August 2009, Trend Micro filed a complaint against us in the Superior Court of the State of California for Santa Clara County alleging breach of contract and seeking a declaratory judgment that we are obligated to make certain royalty payments to Trend Micro. In December 2009, we withdrew our appeal of the June 2009 dismissal by the United States District Court for the Northern District of California and filed a new complaint against Trend Micro in the United States District Court for the Northern District of California alleging, among other claims, that the patents that are the basis for the ongoing royalty payments are invalid and consequently that we have no contractual obligation to pay the royalties. In February 2010, Trend Micro filed demurrers in the state Superior Court action regarding Fortinet’s affirmative defenses that Fortinet has no obligation to pay royalties because the Trend Micro patents are invalid or unenforceable. In March 2010, Trend Micro filed a motion to dismiss our new complaint that we filed in the United States District Court for the Northern District of California. On May 3, 2010, the state court denied Trend Micro’s demurrer in its entirety. On May 12, 2010, the United States District Court for the Northern District of California denied Trend Micro’s motion to dismiss without prejudice and stayed the action before that court pending the conclusion of the state court action. Because this dispute is at an early stage, it is not possible to predict the outcome. An adverse outcome in this dispute could result in accelerated royalty payments and additional damages.</w:t>
      </w:r>
    </w:p>
    <w:p>
      <w:pPr>
        <w:spacing w:after="0" w:line="12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January 2009, we filed a complaint against Palo Alto Networks, Inc. in the United States District Court for the Northern District of California alleging, among other claims, patent infringement. In September 2009, Palo Alto Networks filed a counterclaim against us alleging patent infringement. In May 2009, Enhanced Security Research, LLC, or ESR, a non-practicing entity, filed a complaint in the United States District Court for the District of Delaware alleging patent infringement by us and other defendants. In August 2009, ESR filed a substantially similar complaint against us in the same court alleging infringement of the same patents. The Palo Alto Networks and ESR cases are currently at an early stage of the litigation process. In September 2009, Deep Nines, Inc. filed a complaint against us in the United States District Court for the Eastern District of Texas alleging that at least certain of our products infringe certain of their patents. If we are unsuccessful in defending against any of Palo Alto Networks’, ESR’s or Deep Nines’ claims, our operating results and financial condition and results may be materially and adversely affected. For example, we may be required to pay substantial damages and could be prevented from selling certain of our products.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Sarbanes-Oxley Act of 2002, as well as other rules implemented by the SEC and The NASDAQ Stock Market, impose various requirements on public companies, including requiring changes in corporate governance practices. We expect these and other similar rules and regulations to substantially increase our legal and financial compliance costs. In addition there are proposed corporate governance laws and regulations under consideration that may further increase compliance costs if established as law.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In particular, for the fiscal year ending December 31, 2010, we must perform system and process evaluations and testing of our internal control over financial reporting to allow management to report on the effectiveness of our internal control over financial reporting. We are in the very early stages of the process of evaluating and documenting processes in order to comply with this requirement. We may not be able to complete our evaluation, testing and any required remediation in a timely fashion. During the evaluation and testing process, if we identify one or more material weaknesses in our internal control over financial reporting, we may be unable to assert that our internal controls are effective. We have in the past identified material weaknesses and significant deficiencies in our internal control over financial reporting, and, although we believe we have remediated the material weaknesses, certain significant deficiencies remain, and we cannot assure you that there will not be material weaknesses and additional significant deficiencies in our internal controls in the future.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cause the price of our common stock to decline.</w:t>
      </w:r>
    </w:p>
    <w:p>
      <w:pPr>
        <w:spacing w:after="0" w:line="2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market price of our common stock could be subject to wide fluctuations in response to, among other things, the risk factors described in this periodic report, and other factors beyond our control, such as fluctuations in the valuation of companies perceived by investors to be comparable to us.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by stockholders could depress the price of our common stock.</w:t>
      </w:r>
    </w:p>
    <w:p>
      <w:pPr>
        <w:spacing w:after="0" w:line="90"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Approximately 53,315,749 shares of our common stock may be sold by stockholders upon the expiration of lock-up agreements in May 2010. This is in addition to stock options that will be vested in May 2010 and eligible for exercise and sale at the expiration of the lock-up agreements. If stockholders sell, or indicate an intent to sell, substantial amounts of our common stock in the public market after the expiration of the lock-up and other legal restrictions on resale lapse, the trading price of our common stock could decline significantly.</w:t>
      </w:r>
    </w:p>
    <w:p>
      <w:pPr>
        <w:spacing w:after="0" w:line="22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at least the next twelve months. After that, we may need to raise additional funds, and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and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37"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or enhance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expand our sales and marketing and research and development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failure to do any of these things could seriously harm our business, financial condition and results of operations.</w:t>
      </w:r>
    </w:p>
    <w:p>
      <w:pPr>
        <w:spacing w:after="0" w:line="25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5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April 30, 2010, our executive officers, directors and their affiliates beneficially owned, in the aggregate, approximately 41.3%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1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51" w:lineRule="exact"/>
        <w:rPr>
          <w:sz w:val="20"/>
          <w:szCs w:val="20"/>
          <w:color w:val="auto"/>
        </w:rPr>
      </w:pPr>
    </w:p>
    <w:p>
      <w:pPr>
        <w:ind w:left="5620" w:right="4260" w:hanging="5045"/>
        <w:spacing w:after="0" w:line="525" w:lineRule="auto"/>
        <w:tabs>
          <w:tab w:leader="none" w:pos="893" w:val="left"/>
        </w:tabs>
        <w:numPr>
          <w:ilvl w:val="0"/>
          <w:numId w:val="24"/>
        </w:numPr>
        <w:rPr>
          <w:rFonts w:ascii="Arial" w:cs="Arial" w:eastAsia="Arial" w:hAnsi="Arial"/>
          <w:sz w:val="16"/>
          <w:szCs w:val="16"/>
          <w:color w:val="auto"/>
        </w:rPr>
      </w:pPr>
      <w:r>
        <w:rPr>
          <w:rFonts w:ascii="Arial" w:cs="Arial" w:eastAsia="Arial" w:hAnsi="Arial"/>
          <w:sz w:val="16"/>
          <w:szCs w:val="16"/>
          <w:color w:val="auto"/>
        </w:rPr>
        <w:t>creating a classified board of directors whose members serve staggered three-year terms; 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November 17, 2009, our registration statement (No. 333-161190) on Form S-1 was declared effective for our initial public offering, pursuant to which we registered the offering and sale of 5,781,683 shares of common stock by us and the associated sale of 6,718,317 shares of common stock by selling stockholders, at a price of $12.50 per share. An additional sale of 1,875,000 shares of common stock by us, which constituted the underwriter’s overallotment option, occurred in the week following the initial public offering. The offering, which closed on November 24, 2009, did not terminate until after the sale of all of the shares registered on the registration statement. We sold 7,656,683 shares of our common stock for an aggregate offering price of $95,708,538 (including the underwriters’ overallotment option), and the selling stockholders sold 6,718,317 shares of common stock for an aggregate offering price of $83,978,963. The managing underwriters were Morgan Stanley &amp; Co. Incorporated, J.P. Morgan Securities Inc. and Deutsche Bank Securities Inc.</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a result of the offering, we received net proceeds of approximately $87.4 million, which is comprised of gross proceeds from shares we issued in the initial public offering of $95.7 million plus an administrative fee reimbursement of $1.7 million, offset by underwriting discounts and commissions of $6.7 million and total offering costs of $3.3 million. No payments for such discounts, commissions and costs were made directly or indirectly to (i) any of our officers or directors or their associates, (ii) any persons owning 10% or more of any class of our equity securities, or (iii) any of our affiliates.</w:t>
      </w:r>
    </w:p>
    <w:p>
      <w:pPr>
        <w:spacing w:after="0" w:line="11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There was no material change in the use of proceeds from our IPO as described in our final prospectus filed with the SEC pursuant to Rule 424(b). From the effective date of the registration statement through March 31, 2010, we used all of the net proceeds for working capital purposes.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May 13, 2010</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FORTINET, INC.</w:t>
      </w:r>
    </w:p>
    <w:p>
      <w:pPr>
        <w:spacing w:after="0" w:line="231"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tab/>
        <w:t>K</w:t>
      </w:r>
      <w:r>
        <w:rPr>
          <w:rFonts w:ascii="Arial" w:cs="Arial" w:eastAsia="Arial" w:hAnsi="Arial"/>
          <w:sz w:val="14"/>
          <w:szCs w:val="14"/>
          <w:color w:val="auto"/>
        </w:rPr>
        <w:t>EN</w:t>
      </w:r>
      <w:r>
        <w:rPr>
          <w:rFonts w:ascii="Arial" w:cs="Arial" w:eastAsia="Arial" w:hAnsi="Arial"/>
          <w:sz w:val="18"/>
          <w:szCs w:val="18"/>
          <w:color w:val="auto"/>
        </w:rPr>
        <w:t xml:space="preserve"> G</w:t>
      </w:r>
      <w:r>
        <w:rPr>
          <w:rFonts w:ascii="Arial" w:cs="Arial" w:eastAsia="Arial" w:hAnsi="Arial"/>
          <w:sz w:val="14"/>
          <w:szCs w:val="14"/>
          <w:color w:val="auto"/>
        </w:rPr>
        <w:t>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3"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Ken Goldman</w:t>
      </w:r>
    </w:p>
    <w:p>
      <w:pPr>
        <w:ind w:left="7240"/>
        <w:spacing w:after="0"/>
        <w:rPr>
          <w:sz w:val="20"/>
          <w:szCs w:val="20"/>
          <w:color w:val="auto"/>
        </w:rPr>
      </w:pPr>
      <w:r>
        <w:rPr>
          <w:rFonts w:ascii="Arial" w:cs="Arial" w:eastAsia="Arial" w:hAnsi="Arial"/>
          <w:sz w:val="14"/>
          <w:szCs w:val="14"/>
          <w:b w:val="1"/>
          <w:bCs w:val="1"/>
          <w:color w:val="auto"/>
        </w:rPr>
        <w:t>Vice President and Chief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00"/>
          </w:cols>
          <w:pgMar w:left="240" w:top="459" w:right="11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5"/>
                <w:szCs w:val="15"/>
                <w:color w:val="auto"/>
              </w:rPr>
            </w:pPr>
          </w:p>
        </w:tc>
        <w:tc>
          <w:tcPr>
            <w:tcW w:w="438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Incorporated By Reference Herein</w:t>
            </w: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2"/>
        </w:trPr>
        <w:tc>
          <w:tcPr>
            <w:tcW w:w="5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Form</w:t>
            </w:r>
          </w:p>
        </w:tc>
        <w:tc>
          <w:tcPr>
            <w:tcW w:w="1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Date</w:t>
            </w:r>
          </w:p>
        </w:tc>
        <w:tc>
          <w:tcPr>
            <w:tcW w:w="540" w:type="dxa"/>
            <w:vAlign w:val="bottom"/>
          </w:tcPr>
          <w:p>
            <w:pPr>
              <w:spacing w:after="0"/>
              <w:rPr>
                <w:sz w:val="12"/>
                <w:szCs w:val="12"/>
                <w:color w:val="auto"/>
              </w:rPr>
            </w:pPr>
          </w:p>
        </w:tc>
      </w:tr>
      <w:tr>
        <w:trPr>
          <w:trHeight w:val="316"/>
        </w:trPr>
        <w:tc>
          <w:tcPr>
            <w:tcW w:w="520" w:type="dxa"/>
            <w:vAlign w:val="bottom"/>
          </w:tcPr>
          <w:p>
            <w:pPr>
              <w:ind w:left="6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Fortinet, Inc. Bonus Plan</w:t>
            </w:r>
          </w:p>
        </w:tc>
        <w:tc>
          <w:tcPr>
            <w:tcW w:w="4560" w:type="dxa"/>
            <w:vAlign w:val="bottom"/>
            <w:gridSpan w:val="4"/>
          </w:tcPr>
          <w:p>
            <w:pPr>
              <w:ind w:left="340"/>
              <w:spacing w:after="0"/>
              <w:rPr>
                <w:sz w:val="20"/>
                <w:szCs w:val="20"/>
                <w:color w:val="auto"/>
              </w:rPr>
            </w:pPr>
            <w:r>
              <w:rPr>
                <w:rFonts w:ascii="Arial" w:cs="Arial" w:eastAsia="Arial" w:hAnsi="Arial"/>
                <w:sz w:val="18"/>
                <w:szCs w:val="18"/>
                <w:color w:val="auto"/>
              </w:rPr>
              <w:t>Current Report on Form 8-K</w:t>
            </w:r>
          </w:p>
        </w:tc>
        <w:tc>
          <w:tcPr>
            <w:tcW w:w="1640" w:type="dxa"/>
            <w:vAlign w:val="bottom"/>
            <w:gridSpan w:val="3"/>
          </w:tcPr>
          <w:p>
            <w:pPr>
              <w:ind w:left="280"/>
              <w:spacing w:after="0"/>
              <w:rPr>
                <w:sz w:val="20"/>
                <w:szCs w:val="20"/>
                <w:color w:val="auto"/>
              </w:rPr>
            </w:pPr>
            <w:r>
              <w:rPr>
                <w:rFonts w:ascii="Arial" w:cs="Arial" w:eastAsia="Arial" w:hAnsi="Arial"/>
                <w:sz w:val="18"/>
                <w:szCs w:val="18"/>
                <w:color w:val="auto"/>
                <w:w w:val="96"/>
              </w:rPr>
              <w:t>January 26, 2010</w:t>
            </w:r>
          </w:p>
        </w:tc>
      </w:tr>
      <w:tr>
        <w:trPr>
          <w:trHeight w:val="318"/>
        </w:trPr>
        <w:tc>
          <w:tcPr>
            <w:tcW w:w="520" w:type="dxa"/>
            <w:vAlign w:val="bottom"/>
          </w:tcPr>
          <w:p>
            <w:pPr>
              <w:ind w:left="6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0"/>
              </w:rPr>
              <w:t>Certification of Chief Executive Officer pursuant to Exchange</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2"/>
              </w:rPr>
              <w:t>Act Rules 13a-14(a) and 15d-14(a), as adopted pursuant to</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20" w:type="dxa"/>
            <w:vAlign w:val="bottom"/>
          </w:tcPr>
          <w:p>
            <w:pPr>
              <w:ind w:left="6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Exchange</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2"/>
              </w:rPr>
              <w:t>Act Rules 13a-14(a) and 15d-14(a), as adopted pursuant to</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18"/>
        </w:trPr>
        <w:tc>
          <w:tcPr>
            <w:tcW w:w="520" w:type="dxa"/>
            <w:vAlign w:val="bottom"/>
          </w:tcPr>
          <w:p>
            <w:pPr>
              <w:ind w:left="6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2"/>
              </w:rPr>
              <w:t>Certifications of Chief Executive Officer and Chief Financial</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9"/>
              </w:rPr>
              <w:t>Officer pursuant to 18 U.S.C. Section 1350, as adopted</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2"/>
              </w:rPr>
              <w:t>pursuant to Section 906 of the Sarbanes-Oxley Act of 2002</w:t>
            </w: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060"/>
        <w:spacing w:after="0" w:line="262"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Date: May 13, 2010</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10795</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Ken Xie</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2">
            <w:col w:w="1420" w:space="60"/>
            <w:col w:w="9940"/>
          </w:cols>
          <w:pgMar w:left="240" w:top="125" w:right="2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060"/>
        <w:spacing w:after="0" w:line="262"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Ken Goldman, certify that:</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Date: May 13, 2010</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10795</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Ken Goldman</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(Principal Financing Officer)</w:t>
      </w:r>
    </w:p>
    <w:p>
      <w:pPr>
        <w:sectPr>
          <w:pgSz w:w="11900" w:h="16838" w:orient="portrait"/>
          <w:cols w:equalWidth="0" w:num="2">
            <w:col w:w="1420" w:space="60"/>
            <w:col w:w="9940"/>
          </w:cols>
          <w:pgMar w:left="240" w:top="125" w:right="2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March 31, 2010 as filed with the Securities and Exchange Commission on the date hereof (the “Report”), Ken Xie, as Principal Executive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18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13, 2010</w:t>
      </w:r>
      <w:r>
        <w:rPr>
          <w:sz w:val="20"/>
          <w:szCs w:val="20"/>
          <w:color w:val="auto"/>
        </w:rPr>
        <w:tab/>
      </w:r>
      <w:r>
        <w:rPr>
          <w:rFonts w:ascii="Arial" w:cs="Arial" w:eastAsia="Arial" w:hAnsi="Arial"/>
          <w:sz w:val="16"/>
          <w:szCs w:val="16"/>
          <w:color w:val="auto"/>
        </w:rPr>
        <w:t>By:  /s/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 Xie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Executive Officer)</w:t>
      </w:r>
    </w:p>
    <w:p>
      <w:pPr>
        <w:spacing w:after="0" w:line="16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March 31, 2010 as filed with the Securities and Exchange Commission on the date hereof (the “Report”), Ken Goldman, as Principal Financial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18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13, 2010</w:t>
      </w:r>
      <w:r>
        <w:rPr>
          <w:sz w:val="20"/>
          <w:szCs w:val="20"/>
          <w:color w:val="auto"/>
        </w:rPr>
        <w:tab/>
      </w:r>
      <w:r>
        <w:rPr>
          <w:rFonts w:ascii="Arial" w:cs="Arial" w:eastAsia="Arial" w:hAnsi="Arial"/>
          <w:sz w:val="16"/>
          <w:szCs w:val="16"/>
          <w:color w:val="auto"/>
        </w:rPr>
        <w:t>By:  /s/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 Goldman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Financing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2"/>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2019-12-10T23:26:58Z</dcterms:created>
  <dcterms:modified xsi:type="dcterms:W3CDTF">2019-12-10T23:26:58Z</dcterms:modified>
</cp:coreProperties>
</file>