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980" w:right="1860" w:hanging="3945"/>
        <w:spacing w:after="0" w:line="461" w:lineRule="auto"/>
        <w:tabs>
          <w:tab w:leader="none" w:pos="39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2016</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248920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220" w:type="dxa"/>
            <w:vAlign w:val="bottom"/>
          </w:tcPr>
          <w:p>
            <w:pPr>
              <w:jc w:val="center"/>
              <w:ind w:right="3431"/>
              <w:spacing w:after="0"/>
              <w:rPr>
                <w:sz w:val="20"/>
                <w:szCs w:val="20"/>
                <w:color w:val="auto"/>
              </w:rPr>
            </w:pPr>
            <w:r>
              <w:rPr>
                <w:rFonts w:ascii="Arial" w:cs="Arial" w:eastAsia="Arial" w:hAnsi="Arial"/>
                <w:sz w:val="16"/>
                <w:szCs w:val="16"/>
                <w:b w:val="1"/>
                <w:bCs w:val="1"/>
                <w:color w:val="auto"/>
                <w:w w:val="91"/>
              </w:rPr>
              <w:t>(State or other jurisdiction of</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194" w:lineRule="exact"/>
        <w:rPr>
          <w:sz w:val="24"/>
          <w:szCs w:val="24"/>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right="10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29" w:right="25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2000" w:space="720"/>
            <w:col w:w="4780" w:space="720"/>
            <w:col w:w="1960" w:space="720"/>
            <w:col w:w="500"/>
          </w:cols>
          <w:pgMar w:left="240" w:top="229" w:right="25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4"/>
          <w:szCs w:val="24"/>
          <w:color w:val="auto"/>
        </w:rPr>
      </w:pPr>
    </w:p>
    <w:p>
      <w:pPr>
        <w:sectPr>
          <w:pgSz w:w="11900" w:h="16838" w:orient="portrait"/>
          <w:cols w:equalWidth="0" w:num="4">
            <w:col w:w="2000" w:space="720"/>
            <w:col w:w="4780" w:space="720"/>
            <w:col w:w="1960" w:space="720"/>
            <w:col w:w="500"/>
          </w:cols>
          <w:pgMar w:left="240" w:top="229" w:right="2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3">
            <w:col w:w="7700" w:space="180"/>
            <w:col w:w="440" w:space="220"/>
            <w:col w:w="2860"/>
          </w:cols>
          <w:pgMar w:left="240" w:top="229" w:right="2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As of July 29, 2016, there were 172,687,823 shares of the registrant’s common stock outstanding.</w:t>
      </w:r>
    </w:p>
    <w:p>
      <w:pPr>
        <w:sectPr>
          <w:pgSz w:w="11900" w:h="16838" w:orient="portrait"/>
          <w:cols w:equalWidth="0" w:num="1">
            <w:col w:w="11400"/>
          </w:cols>
          <w:pgMar w:left="240" w:top="229"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June 30, 2016</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5140" w:type="dxa"/>
            <w:vAlign w:val="bottom"/>
            <w:gridSpan w:val="8"/>
            <w:vMerge w:val="restart"/>
          </w:tcPr>
          <w:p>
            <w:pPr>
              <w:jc w:val="center"/>
              <w:ind w:right="46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vMerge w:val="continue"/>
          </w:tcPr>
          <w:p>
            <w:pPr>
              <w:spacing w:after="0"/>
              <w:rPr>
                <w:sz w:val="24"/>
                <w:szCs w:val="24"/>
                <w:color w:val="auto"/>
              </w:rPr>
            </w:pPr>
          </w:p>
        </w:tc>
        <w:tc>
          <w:tcPr>
            <w:tcW w:w="5140" w:type="dxa"/>
            <w:vAlign w:val="bottom"/>
            <w:gridSpan w:val="8"/>
            <w:vMerge w:val="continue"/>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64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60" w:type="dxa"/>
            <w:vAlign w:val="bottom"/>
            <w:tcBorders>
              <w:top w:val="single" w:sz="8" w:color="0000EE"/>
            </w:tcBorders>
          </w:tcPr>
          <w:p>
            <w:pPr>
              <w:spacing w:after="0"/>
              <w:rPr>
                <w:sz w:val="24"/>
                <w:szCs w:val="24"/>
                <w:color w:val="auto"/>
              </w:rPr>
            </w:pPr>
          </w:p>
        </w:tc>
        <w:tc>
          <w:tcPr>
            <w:tcW w:w="4680" w:type="dxa"/>
            <w:vAlign w:val="bottom"/>
            <w:gridSpan w:val="7"/>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2016 and December 31, 2015</w:t>
              </w:r>
            </w:hyperlink>
          </w:p>
        </w:tc>
        <w:tc>
          <w:tcPr>
            <w:tcW w:w="3400" w:type="dxa"/>
            <w:vAlign w:val="bottom"/>
            <w:gridSpan w:val="5"/>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2016 and 2015</w:t>
              </w:r>
            </w:hyperlink>
          </w:p>
        </w:tc>
        <w:tc>
          <w:tcPr>
            <w:tcW w:w="144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1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Six Months Ended June 30, 2016 and</w:t>
              </w:r>
            </w:hyperlink>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ind w:left="24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2015</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3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June 30, 2016 and 2015</w:t>
              </w:r>
            </w:hyperlink>
          </w:p>
        </w:tc>
        <w:tc>
          <w:tcPr>
            <w:tcW w:w="216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540" w:type="dxa"/>
            <w:vAlign w:val="bottom"/>
            <w:gridSpan w:val="1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978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978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978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10"/>
            <w:vMerge w:val="restart"/>
          </w:tcPr>
          <w:p>
            <w:pPr>
              <w:jc w:val="center"/>
              <w:ind w:right="436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w:t>
              </w:r>
            </w:hyperlink>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10"/>
            <w:vMerge w:val="continue"/>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4620" w:type="dxa"/>
            <w:vAlign w:val="bottom"/>
            <w:gridSpan w:val="1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520" w:type="dxa"/>
            <w:vAlign w:val="bottom"/>
            <w:gridSpan w:val="3"/>
          </w:tcPr>
          <w:p>
            <w:pPr>
              <w:spacing w:after="0"/>
              <w:rPr>
                <w:sz w:val="21"/>
                <w:szCs w:val="21"/>
                <w:color w:val="auto"/>
              </w:rPr>
            </w:pPr>
          </w:p>
        </w:tc>
        <w:tc>
          <w:tcPr>
            <w:tcW w:w="46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Item 1A.</w:t>
              </w:r>
            </w:hyperlink>
          </w:p>
        </w:tc>
        <w:tc>
          <w:tcPr>
            <w:tcW w:w="280" w:type="dxa"/>
            <w:vAlign w:val="bottom"/>
          </w:tcPr>
          <w:p>
            <w:pPr>
              <w:spacing w:after="0"/>
              <w:rPr>
                <w:sz w:val="21"/>
                <w:szCs w:val="21"/>
                <w:color w:val="auto"/>
              </w:rPr>
            </w:pPr>
          </w:p>
        </w:tc>
        <w:tc>
          <w:tcPr>
            <w:tcW w:w="900" w:type="dxa"/>
            <w:vAlign w:val="bottom"/>
            <w:gridSpan w:val="4"/>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Risk Factors</w:t>
              </w:r>
            </w:hyperlink>
          </w:p>
        </w:tc>
        <w:tc>
          <w:tcPr>
            <w:tcW w:w="8880" w:type="dxa"/>
            <w:vAlign w:val="bottom"/>
            <w:gridSpan w:val="1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2.</w:t>
              </w:r>
            </w:hyperlink>
          </w:p>
        </w:tc>
        <w:tc>
          <w:tcPr>
            <w:tcW w:w="280" w:type="dxa"/>
            <w:vAlign w:val="bottom"/>
          </w:tcPr>
          <w:p>
            <w:pPr>
              <w:spacing w:after="0"/>
              <w:rPr>
                <w:sz w:val="21"/>
                <w:szCs w:val="21"/>
                <w:color w:val="auto"/>
              </w:rPr>
            </w:pPr>
          </w:p>
        </w:tc>
        <w:tc>
          <w:tcPr>
            <w:tcW w:w="9780" w:type="dxa"/>
            <w:vAlign w:val="bottom"/>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580" w:type="dxa"/>
            <w:vAlign w:val="bottom"/>
            <w:gridSpan w:val="7"/>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6.</w:t>
              </w:r>
            </w:hyperlink>
          </w:p>
        </w:tc>
        <w:tc>
          <w:tcPr>
            <w:tcW w:w="9780" w:type="dxa"/>
            <w:vAlign w:val="bottom"/>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5"/>
              </w:rPr>
            </w:pPr>
            <w:hyperlink w:anchor="page66">
              <w:r>
                <w:rPr>
                  <w:rFonts w:ascii="Arial" w:cs="Arial" w:eastAsia="Arial" w:hAnsi="Arial"/>
                  <w:sz w:val="18"/>
                  <w:szCs w:val="18"/>
                  <w:color w:val="0000EE"/>
                  <w:w w:val="85"/>
                </w:rPr>
                <w:t>Signatures</w:t>
              </w:r>
            </w:hyperlink>
          </w:p>
        </w:tc>
        <w:tc>
          <w:tcPr>
            <w:tcW w:w="902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Part I</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4"/>
        </w:trPr>
        <w:tc>
          <w:tcPr>
            <w:tcW w:w="820" w:type="dxa"/>
            <w:vAlign w:val="bottom"/>
          </w:tcPr>
          <w:p>
            <w:pPr>
              <w:spacing w:after="0"/>
              <w:rPr>
                <w:sz w:val="24"/>
                <w:szCs w:val="24"/>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FORTINET, INC.</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543,277</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388,388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348,074</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Accounts receivable—net of reserves for sales returns and doubtful accounts of $10,215 and $6,228 at June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30, 2016 and December 31, 2015,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254,379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259,563</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81,247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83,868</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35,761</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1,353,884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1,270,543</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272,959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180,782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119,216</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91,067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31,488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17,640</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14,393</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1,960,178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1,790,510</w:t>
            </w:r>
          </w:p>
        </w:tc>
      </w:tr>
      <w:tr>
        <w:trPr>
          <w:trHeight w:val="20"/>
        </w:trPr>
        <w:tc>
          <w:tcPr>
            <w:tcW w:w="83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6"/>
        </w:trPr>
        <w:tc>
          <w:tcPr>
            <w:tcW w:w="8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61,500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32,901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33,028</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61,111</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8,379</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563,195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514,652</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731,964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678,670</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340,786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276,651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60,624</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19,188</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1,155,552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1,035,133</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Common stock, $0.001 par value—300,000 shares authorized; 172,436 and 171,399 shares issued and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outstanding at June 30, 2016 and December 31, 2015,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744,922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687,658</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68,481</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804,626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755,377</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1,960,178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1,790,510</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8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136,641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114,777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261,213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212,286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174,750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240,385</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311,391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239,785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595,967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452,671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52,788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88,765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44,335</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84,503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162,147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133,100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83,853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67,380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123,521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143,035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196,050</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226,888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170,287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433,820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319,571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45,502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37,389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73,205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162,694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308,797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212,537</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22,184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41,623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29,979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230,933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167,335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441,557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315,721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(Note 8):</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172,075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169,930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171,910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169,009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172,075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176,234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175,360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174,983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4"/>
          </w:tcPr>
          <w:p>
            <w:pPr>
              <w:jc w:val="right"/>
              <w:ind w:right="254"/>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center"/>
              <w:ind w:left="57"/>
              <w:spacing w:after="0"/>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37"/>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(losses)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Tax provision (benefit)</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(loss)—net of taxes</w:t>
            </w: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(958)</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2,392</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808"/>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88"/>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07"/>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88"/>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2,352</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2"/>
                <w:szCs w:val="22"/>
                <w:color w:val="auto"/>
              </w:rPr>
            </w:pP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21,841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13,382</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2,794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3,881</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22"/>
                <w:szCs w:val="22"/>
                <w:color w:val="auto"/>
              </w:rPr>
            </w:pP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59,249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40,525</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Other non-cash items—net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1,192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1,891</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receivable—net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9,523</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Inventory</w:t>
            </w:r>
          </w:p>
        </w:tc>
        <w:tc>
          <w:tcPr>
            <w:tcW w:w="280" w:type="dxa"/>
            <w:vAlign w:val="bottom"/>
          </w:tcPr>
          <w:p>
            <w:pPr>
              <w:spacing w:after="0"/>
              <w:rPr>
                <w:sz w:val="22"/>
                <w:szCs w:val="22"/>
                <w:color w:val="auto"/>
              </w:rPr>
            </w:pPr>
          </w:p>
        </w:tc>
        <w:tc>
          <w:tcPr>
            <w:tcW w:w="1220" w:type="dxa"/>
            <w:vAlign w:val="bottom"/>
          </w:tcPr>
          <w:p>
            <w:pPr>
              <w:jc w:val="right"/>
              <w:ind w:right="7"/>
              <w:spacing w:after="0"/>
              <w:rPr>
                <w:sz w:val="20"/>
                <w:szCs w:val="20"/>
                <w:color w:val="auto"/>
              </w:rPr>
            </w:pPr>
            <w:r>
              <w:rPr>
                <w:rFonts w:ascii="Arial" w:cs="Arial" w:eastAsia="Arial" w:hAnsi="Arial"/>
                <w:sz w:val="14"/>
                <w:szCs w:val="14"/>
                <w:color w:val="auto"/>
              </w:rPr>
              <w:t>(8,019)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(7,917)</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tax assets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(27,120)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(13,072)</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22"/>
                <w:szCs w:val="22"/>
                <w:color w:val="auto"/>
              </w:rPr>
            </w:pP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2,442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(3,492)</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(2,409)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22"/>
                <w:szCs w:val="22"/>
                <w:color w:val="auto"/>
              </w:rPr>
            </w:pPr>
          </w:p>
        </w:tc>
        <w:tc>
          <w:tcPr>
            <w:tcW w:w="1220" w:type="dxa"/>
            <w:vAlign w:val="bottom"/>
          </w:tcPr>
          <w:p>
            <w:pPr>
              <w:jc w:val="right"/>
              <w:ind w:right="7"/>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(8,383)</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(6,426)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280" w:type="dxa"/>
            <w:vAlign w:val="bottom"/>
          </w:tcPr>
          <w:p>
            <w:pPr>
              <w:spacing w:after="0"/>
              <w:rPr>
                <w:sz w:val="22"/>
                <w:szCs w:val="22"/>
                <w:color w:val="auto"/>
              </w:rPr>
            </w:pP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8,679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5,670</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(2,858)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22"/>
                <w:szCs w:val="22"/>
                <w:color w:val="auto"/>
              </w:rPr>
            </w:pP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111,082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97,156</w:t>
            </w:r>
          </w:p>
        </w:tc>
      </w:tr>
      <w:tr>
        <w:trPr>
          <w:trHeight w:val="270"/>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5,463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10,033</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168,532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148,924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280" w:type="dxa"/>
            <w:vAlign w:val="bottom"/>
          </w:tcPr>
          <w:p>
            <w:pPr>
              <w:spacing w:after="0"/>
              <w:rPr>
                <w:sz w:val="22"/>
                <w:szCs w:val="22"/>
                <w:color w:val="auto"/>
              </w:rPr>
            </w:pPr>
          </w:p>
        </w:tc>
        <w:tc>
          <w:tcPr>
            <w:tcW w:w="1220" w:type="dxa"/>
            <w:vAlign w:val="bottom"/>
          </w:tcPr>
          <w:p>
            <w:pPr>
              <w:jc w:val="right"/>
              <w:ind w:right="7"/>
              <w:spacing w:after="0"/>
              <w:rPr>
                <w:sz w:val="20"/>
                <w:szCs w:val="20"/>
                <w:color w:val="auto"/>
              </w:rPr>
            </w:pPr>
            <w:r>
              <w:rPr>
                <w:rFonts w:ascii="Arial" w:cs="Arial" w:eastAsia="Arial" w:hAnsi="Arial"/>
                <w:sz w:val="14"/>
                <w:szCs w:val="14"/>
                <w:color w:val="auto"/>
              </w:rPr>
              <w:t>(230,855)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(229,479)</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7,366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22,472</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280" w:type="dxa"/>
            <w:vAlign w:val="bottom"/>
          </w:tcPr>
          <w:p>
            <w:pPr>
              <w:spacing w:after="0"/>
              <w:rPr>
                <w:sz w:val="22"/>
                <w:szCs w:val="22"/>
                <w:color w:val="auto"/>
              </w:rPr>
            </w:pP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219,131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240,625</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(44,399)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(15,688)</w:t>
            </w:r>
          </w:p>
        </w:tc>
      </w:tr>
      <w:tr>
        <w:trPr>
          <w:trHeight w:val="26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Payments made in connection with business acquisition, net of cash acquired</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(20,660)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3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(69,417)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17,930</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22,972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42,647</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80" w:type="dxa"/>
            <w:vAlign w:val="bottom"/>
          </w:tcPr>
          <w:p>
            <w:pPr>
              <w:spacing w:after="0"/>
              <w:rPr>
                <w:sz w:val="22"/>
                <w:szCs w:val="22"/>
                <w:color w:val="auto"/>
              </w:rPr>
            </w:pPr>
          </w:p>
        </w:tc>
        <w:tc>
          <w:tcPr>
            <w:tcW w:w="1220" w:type="dxa"/>
            <w:vAlign w:val="bottom"/>
          </w:tcPr>
          <w:p>
            <w:pPr>
              <w:jc w:val="right"/>
              <w:ind w:right="7"/>
              <w:spacing w:after="0"/>
              <w:rPr>
                <w:sz w:val="20"/>
                <w:szCs w:val="20"/>
                <w:color w:val="auto"/>
              </w:rPr>
            </w:pPr>
            <w:r>
              <w:rPr>
                <w:rFonts w:ascii="Arial" w:cs="Arial" w:eastAsia="Arial" w:hAnsi="Arial"/>
                <w:sz w:val="14"/>
                <w:szCs w:val="14"/>
                <w:color w:val="auto"/>
              </w:rPr>
              <w:t>(17,358)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(11,362)</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Payments of debt assumed in connection with business acquisition</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(1,626)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(used in) 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(46,012)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31,285</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80" w:type="dxa"/>
            <w:vAlign w:val="bottom"/>
          </w:tcPr>
          <w:p>
            <w:pPr>
              <w:spacing w:after="0"/>
              <w:rPr>
                <w:sz w:val="21"/>
                <w:szCs w:val="21"/>
                <w:color w:val="auto"/>
              </w:rPr>
            </w:pP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53,103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198,139</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543,277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283,254</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596,380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481,393</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Cash paid for income taxes—net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13,673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10,077</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11,449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8,923</w:t>
            </w:r>
          </w:p>
        </w:tc>
      </w:tr>
      <w:tr>
        <w:trPr>
          <w:trHeight w:val="21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7,617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1,359</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8340" w:type="dxa"/>
            <w:vAlign w:val="bottom"/>
          </w:tcPr>
          <w:p>
            <w:pPr>
              <w:ind w:left="500"/>
              <w:spacing w:after="0"/>
              <w:rPr>
                <w:sz w:val="20"/>
                <w:szCs w:val="20"/>
                <w:color w:val="auto"/>
              </w:rPr>
            </w:pPr>
            <w:r>
              <w:rPr>
                <w:rFonts w:ascii="Arial" w:cs="Arial" w:eastAsia="Arial" w:hAnsi="Arial"/>
                <w:sz w:val="14"/>
                <w:szCs w:val="14"/>
                <w:color w:val="auto"/>
              </w:rPr>
              <w:t>Liability incurred in connection with business acquisition</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1,513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unaudited condensed consolidated financial statements of Fortinet, Inc. and its wholly-owned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year ended December 31, 2015, contained in our Annual Report on Form 10-K (the “Form 10-K”) filed with the SEC on February 26, 2016. In the opinion of management, all adjustments, which includes normal recurring adjustments, considered necessary for a fair presentation have been included. All intercompany balances, transactions and cash flows have been eliminated. The results of operations for the three and six months ended June 30, 2016 are not necessarily indicative of the results for the full year or for any future periods. The condensed consolidated balance sheet as of December 31, 2015 is derived from the audited consolidated financial statements for the year ended December 31, 2015.</w:t>
      </w:r>
    </w:p>
    <w:p>
      <w:pPr>
        <w:spacing w:after="0" w:line="19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There have been no material changes to our significant accounting policies as of and for the three and six months ended June 30, 2016, except for changes to our policy related to stock-based compensation expense. For more information, refer to the “Recently Adopted Accounting Standards.”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2016-09—Compensation— Stock Compensation—Improvements to Employee Share-Based Payment Accounting (“ASU 2016-09”). The new guidance changes the accounting for certain aspects of stock-based payments to employees and requires excess tax benefits and tax deficiencies to be recorded in the income statement when the awards vest or are settled. In addition, cash flows related to excess tax benefits will no longer be separately classified as a financing activity apart from other income tax cash flows. The standard also allows us to repurchase more of an employee’s shares for tax withholding purposes without triggering liability accounting, clarifies that all cash payments made on an employee’s behalf for withheld shares should be presented as a financing activity on our cash flows statement, and provides an accounting policy election to account for forfeitures as they occur. The new standard is effective for us beginning January 1, 2017, with early adoption permitted.</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elected to early adopt the new guidance in the second quarter of 2016. The primary impact of the adoption was the recognition of excess tax benefits in our provision for income taxes rather than paid-in capital, as well as the adjustment in stock-based compensation expense as a result of our change in forfeiture policy. The new guidance eliminates the requirement to delay the recognition of excess tax benefits until it reduces current taxes payable. We adopted this change on a modified retrospective basis, and recorded unrecognized excess tax benefits amounting to $32.4 million as a cumulative-effect adjustment, which increased retained earnings on January 1, 2016. The new guidance also requires us to record, subsequent to the adoption, excess tax benefits and tax deficiencies in the period these arise. As a result, our provision for income taxes decreased by $3.6 million during the first quarter of 2016 and $2.6 million during the second quarter of 2016.</w:t>
      </w:r>
    </w:p>
    <w:p>
      <w:pPr>
        <w:spacing w:after="0" w:line="203" w:lineRule="exact"/>
        <w:rPr>
          <w:sz w:val="20"/>
          <w:szCs w:val="20"/>
          <w:color w:val="auto"/>
        </w:rPr>
      </w:pPr>
    </w:p>
    <w:p>
      <w:pPr>
        <w:ind w:right="80" w:firstLine="648"/>
        <w:spacing w:after="0" w:line="329" w:lineRule="auto"/>
        <w:rPr>
          <w:sz w:val="20"/>
          <w:szCs w:val="20"/>
          <w:color w:val="auto"/>
        </w:rPr>
      </w:pPr>
      <w:r>
        <w:rPr>
          <w:rFonts w:ascii="Arial" w:cs="Arial" w:eastAsia="Arial" w:hAnsi="Arial"/>
          <w:sz w:val="16"/>
          <w:szCs w:val="16"/>
          <w:color w:val="auto"/>
        </w:rPr>
        <w:t>Under the new guidance, we have elected to change our policy and have started to recognize forfeitures of awards as they occur. The change in forfeiture policy was adopted using a modified retrospective transition method. We recorded a cumulative-effect adjustment to decrease retained earnings by $0.8 million upon transition on January 1, 2016 and a retrospective decrease of stock-based compensation of $2.0 million during the first quarter of 2016.</w:t>
      </w:r>
    </w:p>
    <w:p>
      <w:pPr>
        <w:spacing w:after="0" w:line="13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amendment to the minimum statutory withholding tax requirements was adopted on a modified retrospective basis. The adoption had no impact on the January 1, 2016 retained earnings. In addition, we adopted the presentation of taxes paid related to net share settlement of equity awards as a financing activity on the statement of cash flows on a retrospective basis. Our adoption had no impact to any of the periods presented in our consolidated cash flows statements since such cash flows have historically been presented as a financing activity.</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adoption of ASU 2016-09 impacted our previously reported quarterly results for 2016, as well as our weighted average shares outstanding— diluted, as follows (in thousands, except for earnings per share):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690"/>
              <w:spacing w:after="0"/>
              <w:rPr>
                <w:sz w:val="20"/>
                <w:szCs w:val="20"/>
                <w:color w:val="auto"/>
              </w:rPr>
            </w:pPr>
            <w:r>
              <w:rPr>
                <w:rFonts w:ascii="Arial" w:cs="Arial" w:eastAsia="Arial" w:hAnsi="Arial"/>
                <w:sz w:val="16"/>
                <w:szCs w:val="16"/>
                <w:b w:val="1"/>
                <w:bCs w:val="1"/>
                <w:color w:val="auto"/>
              </w:rPr>
              <w:t>Three Months Ended</w:t>
            </w:r>
          </w:p>
        </w:tc>
      </w:tr>
      <w:tr>
        <w:trPr>
          <w:trHeight w:val="257"/>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80" w:type="dxa"/>
            <w:vAlign w:val="bottom"/>
            <w:gridSpan w:val="4"/>
          </w:tcPr>
          <w:p>
            <w:pPr>
              <w:jc w:val="right"/>
              <w:ind w:right="890"/>
              <w:spacing w:after="0"/>
              <w:rPr>
                <w:sz w:val="20"/>
                <w:szCs w:val="20"/>
                <w:color w:val="auto"/>
              </w:rPr>
            </w:pPr>
            <w:r>
              <w:rPr>
                <w:rFonts w:ascii="Arial" w:cs="Arial" w:eastAsia="Arial" w:hAnsi="Arial"/>
                <w:sz w:val="16"/>
                <w:szCs w:val="16"/>
                <w:b w:val="1"/>
                <w:bCs w:val="1"/>
                <w:color w:val="auto"/>
              </w:rPr>
              <w:t>March 31, 2016</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As Adjusted</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30,881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28,901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2,118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 per share—Diluted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0.01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outstanding—Diluted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174,421</w:t>
            </w:r>
          </w:p>
        </w:tc>
      </w:tr>
      <w:tr>
        <w:trPr>
          <w:trHeight w:val="575"/>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4"/>
          </w:tcPr>
          <w:p>
            <w:pPr>
              <w:jc w:val="right"/>
              <w:ind w:right="890"/>
              <w:spacing w:after="0"/>
              <w:rPr>
                <w:sz w:val="20"/>
                <w:szCs w:val="20"/>
                <w:color w:val="auto"/>
              </w:rPr>
            </w:pPr>
            <w:r>
              <w:rPr>
                <w:rFonts w:ascii="Arial" w:cs="Arial" w:eastAsia="Arial" w:hAnsi="Arial"/>
                <w:sz w:val="16"/>
                <w:szCs w:val="16"/>
                <w:b w:val="1"/>
                <w:bCs w:val="1"/>
                <w:color w:val="auto"/>
              </w:rPr>
              <w:t>March 31, 2016</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As Reported</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5"/>
              </w:rPr>
              <w:t>As Adjusted</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Balance Sheets: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167,625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718,849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717,671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60,196</w:t>
            </w: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September 2015, the FASB issued ASU 2015-16—Business Combinations—Simplifying the Accounting for Measurement-Period Adjustments,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they would have recorded in previous periods if the accounting had been completed at the acquisition date. We adopted ASU 2015-16 on January 1, 2016. The adoption of ASU 2015-16 did not have any impact on our consolidated financial statements.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February 2016, the FASB issued ASU 2016-02—Leases, which amends lease accounting requirements to begin recording assets and liabilities arising from leases on the balance sheet. The new guidance will also require significant additional disclosures about the amount, timing and uncertainty of cash flows from leases. This new guidance will be effective for us beginning on January 1, 2019 using a modified retrospective approach. The modified retrospective approach includes a number of optional practical expedients that entities may elect to apply. We expect our assets and liabilities to increase as a result of the adoption of this standard. We are currently evaluating the full impact ASU 2016-02 will have on our consolidated financial statements.</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2016, the FASB issued ASU 2016-01—Financial Instruments—Overall—Recognition and Measurement of Financial Assets and Financial Liabilities, which modifies how entities measure equity investments and present changes in the fair value of financial liabilities. Under the new guidance, entities will have to measure equity investments that do not result in consolidation and are not accounted under the equity method at fair value and recognize any changes in fair value in net income unless the investments qualify for the new practicality exception. The practicality exception will apply to those equity investments that do not have a readily determinable fair value and do not qualify for the practical expedient to estimate fair value, and as such these investments may be measured at cost. ASU 2016-01 will be effective for us beginning on January 1, 2018. We do not expect the impact of ASU 2016-01 on our consolidated financial statements to be significant.</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July 2015, the FASB issued ASU 2015-11—Inventory—Simplifying the Measurement of Inventory, which changes the measurement principle for inventory from the lower of cost or market to lower of cost and net realizable value. ASU 2015-11 applies to entities that measure inventory using a method other than last-in, first-out or the retail inventory method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(e.g., first-in, first-out or average cost). ASU 2015-11 will be effective for us beginning on January 1, 2017. We do not expect the impact of ASU 2015-11 on our consolidated financial statements to be significant.</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May 2014, the FASB issued ASU 2014-09—Revenue from Contracts with Customers, which creates a single, joint revenue standard that is consistent across all industries and markets for companies that prepare their financial statements in accordance with GAAP. Under ASU 2014-09, an entity is required to recognize revenue upon the transfer of promised goods or services to customers in an amount that reflects the consideration the entity expects to be entitled to receive in exchange for those goods or services. In July 2015, the FASB decided to delay the effective date of the new revenue standard by one year. In March 2016, the FASB issued ASU 2016-08, which clarifies the implementation guidance on principal versus agent considerations. In April 2016, the FASB issued ASU 2016-10, which clarifies the implementation guidance on identifying performance obligations and licensing. In May 2016, the FASB issued ASU 2016-12—Revenue from Contracts with Customers—Narrow-scope Improvements and Practical Expedients, which amends the guidance on collectability, noncash consideration, presentation of sales tax and transition. These standards will be effective for us beginning on January 1, 2018, with the option to adopt earlier on January 1, 2017. We are currently evaluating the impact of these new standards on our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as of June 30, 2016 and December 31, 2015 were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June 30, 2016</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415,878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68,406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68,408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52,611</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19,823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19,823</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68,731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68,891</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624,499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625,611</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6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438,533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437,194</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66,263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66,232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61,022</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14,897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14,897</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41,727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41,688</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622,470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621,033</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660" w:right="5380" w:hanging="5652"/>
        <w:spacing w:after="0" w:line="327" w:lineRule="auto"/>
        <w:tabs>
          <w:tab w:leader="none" w:pos="191"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The majority of our certificates of deposit and term deposits are foreign deposits. 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gross unrealized losses and the related fair values of our investments that have been in a continuous unrealized loss position as of June 30, 2016 and December 31, 2015 were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June 30, 2016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117,360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6,964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400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88,665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40,207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128,872</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75"/>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 2015</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390,567</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31,977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34,703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456,891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43,041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499,932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as of June 30, 2016 and December 31, 2015 were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2015</w:t>
            </w:r>
          </w:p>
        </w:tc>
      </w:tr>
      <w:tr>
        <w:trPr>
          <w:trHeight w:val="33"/>
        </w:trPr>
        <w:tc>
          <w:tcPr>
            <w:tcW w:w="7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12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388,388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348,074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1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237,223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272,959</w:t>
            </w:r>
          </w:p>
        </w:tc>
      </w:tr>
      <w:tr>
        <w:trPr>
          <w:trHeight w:val="27"/>
        </w:trPr>
        <w:tc>
          <w:tcPr>
            <w:tcW w:w="7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625,611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621,033</w:t>
            </w:r>
          </w:p>
        </w:tc>
      </w:tr>
      <w:tr>
        <w:trPr>
          <w:trHeight w:val="20"/>
        </w:trPr>
        <w:tc>
          <w:tcPr>
            <w:tcW w:w="7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insignificant in the periods presented and are included in Other expense—net in our condensed consolidated statements of operations. We use the specific identification method to determine the cost basis of investments sold.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June 30, 2016.</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our financial assets measured at fair value on a recurring basis as of June 30, 2016 and December 31, 2015 were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June 30, 2016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December 31, 2015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7"/>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Observable</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6"/>
              </w:rPr>
              <w:t>Unobservable</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3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r>
      <w:tr>
        <w:trPr>
          <w:trHeight w:val="250"/>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(Level 1)</w:t>
            </w:r>
          </w:p>
        </w:tc>
        <w:tc>
          <w:tcPr>
            <w:tcW w:w="140" w:type="dxa"/>
            <w:vAlign w:val="bottom"/>
          </w:tcPr>
          <w:p>
            <w:pPr>
              <w:spacing w:after="0"/>
              <w:rPr>
                <w:sz w:val="21"/>
                <w:szCs w:val="2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(Level 2)</w:t>
            </w:r>
          </w:p>
        </w:tc>
        <w:tc>
          <w:tcPr>
            <w:tcW w:w="14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(Level 3)</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(Level 1)</w:t>
            </w:r>
          </w:p>
        </w:tc>
        <w:tc>
          <w:tcPr>
            <w:tcW w:w="140" w:type="dxa"/>
            <w:vAlign w:val="bottom"/>
          </w:tcPr>
          <w:p>
            <w:pPr>
              <w:spacing w:after="0"/>
              <w:rPr>
                <w:sz w:val="21"/>
                <w:szCs w:val="2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(Level 2)</w:t>
            </w:r>
          </w:p>
        </w:tc>
        <w:tc>
          <w:tcPr>
            <w:tcW w:w="120" w:type="dxa"/>
            <w:vAlign w:val="bottom"/>
          </w:tcPr>
          <w:p>
            <w:pPr>
              <w:spacing w:after="0"/>
              <w:rPr>
                <w:sz w:val="21"/>
                <w:szCs w:val="21"/>
                <w:color w:val="auto"/>
              </w:rPr>
            </w:pPr>
          </w:p>
        </w:tc>
        <w:tc>
          <w:tcPr>
            <w:tcW w:w="900" w:type="dxa"/>
            <w:vAlign w:val="bottom"/>
          </w:tcPr>
          <w:p>
            <w:pPr>
              <w:jc w:val="center"/>
              <w:ind w:right="42"/>
              <w:spacing w:after="0"/>
              <w:rPr>
                <w:sz w:val="20"/>
                <w:szCs w:val="20"/>
                <w:color w:val="auto"/>
              </w:rPr>
            </w:pPr>
            <w:r>
              <w:rPr>
                <w:rFonts w:ascii="Arial" w:cs="Arial" w:eastAsia="Arial" w:hAnsi="Arial"/>
                <w:sz w:val="13"/>
                <w:szCs w:val="13"/>
                <w:b w:val="1"/>
                <w:bCs w:val="1"/>
                <w:color w:val="auto"/>
                <w:w w:val="87"/>
              </w:rPr>
              <w:t>(Level 3)</w:t>
            </w: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w w:val="98"/>
              </w:rPr>
              <w:t>415,878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2"/>
              <w:spacing w:after="0"/>
              <w:rPr>
                <w:sz w:val="20"/>
                <w:szCs w:val="20"/>
                <w:color w:val="auto"/>
              </w:rPr>
            </w:pPr>
            <w:r>
              <w:rPr>
                <w:rFonts w:ascii="Arial" w:cs="Arial" w:eastAsia="Arial" w:hAnsi="Arial"/>
                <w:sz w:val="18"/>
                <w:szCs w:val="18"/>
                <w:color w:val="auto"/>
                <w:w w:val="98"/>
              </w:rPr>
              <w:t>415,878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437,194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w w:val="98"/>
              </w:rPr>
              <w:t>437,194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78,406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78,406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69,231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52,611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52,611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61,022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deposits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19,823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19,823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14,897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49,231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3"/>
              <w:spacing w:after="0"/>
              <w:rPr>
                <w:sz w:val="20"/>
                <w:szCs w:val="20"/>
                <w:color w:val="auto"/>
              </w:rPr>
            </w:pPr>
            <w:r>
              <w:rPr>
                <w:rFonts w:ascii="Arial" w:cs="Arial" w:eastAsia="Arial" w:hAnsi="Arial"/>
                <w:sz w:val="18"/>
                <w:szCs w:val="18"/>
                <w:color w:val="auto"/>
              </w:rPr>
              <w:t>49,231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50,030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U.S. government and agency</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68,891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58,869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10,022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25,693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15,995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8"/>
              </w:rPr>
              <w:t>684,840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8"/>
                <w:szCs w:val="18"/>
                <w:color w:val="auto"/>
              </w:rPr>
              <w:t>108,100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w w:val="98"/>
              </w:rPr>
              <w:t>576,740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674,062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75,723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98"/>
              </w:rPr>
              <w:t>598,339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59,229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53,029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388,388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348,074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w w:val="98"/>
              </w:rPr>
              <w:t>237,223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272,959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684,840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674,062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and Level 2 of the fair value hierarchy during the six months ended June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inventory as of June 30, 2016 and December 31, 2015 consisted of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64,205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68,443</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81,247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83,868</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Inventory includes finished goods held by distributors where revenue is recognized on a sell-through basis of $1.7 million and $1.1 million as of June 30, 2016 and December 31, 2015, respectively. Inventory also includes materials at contract manufacturers of $5.5 million and $4.9 million as of June 30, 2016 and December 31, 2015,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property and equipment—net as of June 30, 2016 and December 31, 2015 consisted of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28,841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52,907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45,632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8,106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11,179</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184,645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140,126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125,636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91,067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Depreciation expense was $9.0 million and $6.8 million during the three months ended June 30, 2016 and June 30, 2015, respectively. Depreciation expense was $18.4 million and $12.8 million during the six months ended June 30, 2016 and June 30, 2015,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PRIVATELY-HELD COMPANIES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investments in the equity securities of three privately-held companies totaled $10.3 million as of June 30, 2016 and December 31, 2015. Each of these investments are accounted for as cost-basis investments, as we own less than 20% of the voting securities and do not have the ability to exercise significant influence over operating and financial policies of the respective entities. These investments are carried at historical cost and are recorded as Other assets on our condensed consolidated balance sheet and would be measured at fair value if indicators of impairment exist. As of June 30, 2016, no events have occurred that would adversely affect the carrying value of these investments.</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determined that we had a variable interest in these privately-held companies. However, we determined that we were not the primary beneficiary as we did not have the power to direct their activities that most significantly affect their economic performance. The variable interest entities were not required to be consolidated in our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AccelOps, Inc.</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On June 7, 2016, we completed our acquisition of AccelOps, Inc., (“AccelOps”), a provider of network security monitoring and analytics solutions for total cash consideration of $22.3 million, of which $20.7 million was paid as of June 30, 2016 and the remaining balance was recorded as a current liability in the consolidated balance sheet as of June 30, 2016. We believe this acquisition will extend the Fortinet Security Fabric (as defined below) by enhancing our network security visibility, security data analytics, and threat intelligence across multi-vendor solutions.</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acquisition of AccelOps is accounted as a business combination in accordance with the Accounting Standards Codification Topic 805 “Business Combinations” (“ASC 805”) issued by the FASB. We use our best estimates and assumptions to assign fair value to the tangible and intangible assets acquired and liabilities assumed at the acquisition date. We included acquisition-related costs of $0.3 million in general and administrative expenses. The total purchase price was allocated to AccelOps’ identifiable tangible and intangible assets acquired and liabilities assumed based on their estimated fair values as of the acquisition date. The total purchase price was allocated using the information currently available. As a result, we may continue to adjust the estimated purchase price allocation as and when additional information is available. The acquisition also included a contingent obligation for up to $4.0 million in future earn out payments to certain stockholders of AccelOps, if specified future financial targets are met for the three and six months period ended June 30, 2016 and December 31, 2016. The financial target for the three months period ended June 30, 2016 was not met. As of June 30, 2016, no fair value was assigned to the contingent consideration based on the estimated probability of attainment of the remaining target. We will remeasure the contingent consideration periodically during the six-month contingency period for the remaining target, with changes in fair value to be recorded in our consolidated statements of operations.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preliminary allocation of the purchase price was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1,126</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15,800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 in process research and development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9,543</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1,694</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9,405</w:t>
            </w:r>
          </w:p>
        </w:tc>
      </w:tr>
      <w:tr>
        <w:trPr>
          <w:trHeight w:val="257"/>
        </w:trPr>
        <w:tc>
          <w:tcPr>
            <w:tcW w:w="9480" w:type="dxa"/>
            <w:vAlign w:val="bottom"/>
          </w:tcPr>
          <w:p>
            <w:pPr>
              <w:ind w:left="500"/>
              <w:spacing w:after="0"/>
              <w:rPr>
                <w:sz w:val="20"/>
                <w:szCs w:val="20"/>
                <w:color w:val="auto"/>
              </w:rPr>
            </w:pPr>
            <w:r>
              <w:rPr>
                <w:rFonts w:ascii="Arial" w:cs="Arial" w:eastAsia="Arial" w:hAnsi="Arial"/>
                <w:sz w:val="18"/>
                <w:szCs w:val="18"/>
                <w:color w:val="auto"/>
              </w:rPr>
              <w:t>Total purchase price allocation</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22,345</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Finite-lived intangible assets consist of developed technology, customer relationships, and other. AccelOps’ technology provides a software solution to manage security, performance and compliance from a single platform. The acquired developed technologies include software patents, know-how, process and designs. The value of customer relationships is attributable to the generation of a consistent income source and the avoidance of costs associated with creating new customer relationships.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Indefinite-lived intangible assets consist of in-process research and development, which will begin to be amortized upon completion of development.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useful life and fair values of the acquired finite-lived intangible assets were as follows (in thousands, except for estimated useful life):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Estimated Useful Life</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Values</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technologies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4,000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15,800</w:t>
            </w:r>
          </w:p>
        </w:tc>
      </w:tr>
      <w:tr>
        <w:trPr>
          <w:trHeight w:val="20"/>
        </w:trPr>
        <w:tc>
          <w:tcPr>
            <w:tcW w:w="7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developed technologies and other are amortized on a straight-line basis. The amortization expense of developed technologies and other are recorded in cost of product revenue. The amortization expense of customer relationships is amortized on an accelerated basis and is recorded in sales and marketing expenses.</w:t>
      </w:r>
    </w:p>
    <w:p>
      <w:pPr>
        <w:spacing w:after="0" w:line="18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goodwill of $9.5 million represents the amount of the purchase price in excess of the fair value of the net tangible liabilities assumed and intangible assets acquired, including AccelOps’ assembled workforce. The goodwill recorded as part of the AccelOps acquisition is not deductible for U.S. federal income tax purposes. The financial results of this acquisition are considered immaterial for purposes of pro forma financial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 Networks,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8, 2015, we completed our acquisition of Meru Networks, Inc. (“Meru”), a provider of Wi-Fi networking products and services.</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In connection with the acquisition, we paid $41.8 million, comprised of cash consideration of $40.9 million, withholding tax liability of $0.4 million and $0.5 million in estimated fair value associated with restricted stock units (“RSUs”) of Meru that were converted for 53,401 shares of our common stock.</w:t>
      </w:r>
    </w:p>
    <w:p>
      <w:pPr>
        <w:spacing w:after="0" w:line="12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accounted for this transaction as a business combination. In 2015, we included acquisition-related costs of $1.7 million in general and administrative expenses. The total purchase price was allocated to Meru’s identifiable tangible and intangible assets acquired and liabilities assumed based on their estimated fair values as of the acquisition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allocation of the purchase price was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8,191</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2,409</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18,585</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1,868</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66,451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14,887</w:t>
            </w:r>
          </w:p>
        </w:tc>
      </w:tr>
      <w:tr>
        <w:trPr>
          <w:trHeight w:val="237"/>
        </w:trPr>
        <w:tc>
          <w:tcPr>
            <w:tcW w:w="948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24,687</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purchase price allocation</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41,764</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goodwill of $1.9 million represents the premium we paid over the fair value of the net tangible liabilities assumed and identified intangible assets acquired, due primarily to Meru’s assembled workforce. The goodwill recorded as part of the Meru acquisition is not deductible for U.S. federal income tax purposes.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Intangible assets consist primarily of customer relationships and developed technologies. Customer relationships represent Meru’s installed base and the ability to sell existing, in-process and future versions of our products and services to its existing customers. Developed technologies represent the virtualized wireless local area network solutions offering centralized coordination and control of various access points on the network. This includes patented and unpatented technology, know-how, processes, designs and computer software. The estimated useful life and fair values of the acquired identifiable intangible assets were as follows (in thousands, except for estimated useful life):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 Useful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834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Life (in years)</w:t>
            </w: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Fair Values</w:t>
            </w: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Developed technologies</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7,200</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19,600</w:t>
            </w:r>
          </w:p>
        </w:tc>
      </w:tr>
      <w:tr>
        <w:trPr>
          <w:trHeight w:val="20"/>
        </w:trPr>
        <w:tc>
          <w:tcPr>
            <w:tcW w:w="8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Customer relationships and trade name are amortized and the amortization expense is recorded in sales and marketing expenses in the condensed consolidated statement of operations. Developed technologies is amortized and the amortization expense is recorded in cost of product revenue in the condensed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carrying amount of goodwill were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6"/>
                <w:szCs w:val="16"/>
                <w:b w:val="1"/>
                <w:bCs w:val="1"/>
                <w:color w:val="auto"/>
              </w:rPr>
              <w:t>Amount</w:t>
            </w:r>
          </w:p>
        </w:tc>
      </w:tr>
      <w:tr>
        <w:trPr>
          <w:trHeight w:val="33"/>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 due to business acquisition</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9,543</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Balance—June 30, 2016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14,235</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to goodwill during the three and six months ended June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intangible assets—net as of June 30, 2016 and December 31, 2015 were (in thousands):</w:t>
      </w:r>
    </w:p>
    <w:p>
      <w:pPr>
        <w:spacing w:after="0" w:line="200" w:lineRule="exact"/>
        <w:rPr>
          <w:sz w:val="20"/>
          <w:szCs w:val="20"/>
          <w:color w:val="auto"/>
        </w:rPr>
      </w:pPr>
    </w:p>
    <w:p>
      <w:pPr>
        <w:spacing w:after="0" w:line="201"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12,943</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17,045</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29,988</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r>
      <w:tr>
        <w:trPr>
          <w:trHeight w:val="257"/>
        </w:trPr>
        <w:tc>
          <w:tcPr>
            <w:tcW w:w="5500" w:type="dxa"/>
            <w:vAlign w:val="bottom"/>
          </w:tcPr>
          <w:p>
            <w:pPr>
              <w:ind w:left="72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40,884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9,396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31,488</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400"/>
              <w:spacing w:after="0"/>
              <w:rPr>
                <w:sz w:val="20"/>
                <w:szCs w:val="20"/>
                <w:color w:val="auto"/>
              </w:rPr>
            </w:pPr>
            <w:r>
              <w:rPr>
                <w:rFonts w:ascii="Arial" w:cs="Arial" w:eastAsia="Arial" w:hAnsi="Arial"/>
                <w:sz w:val="16"/>
                <w:szCs w:val="16"/>
                <w:b w:val="1"/>
                <w:bCs w:val="1"/>
                <w:color w:val="auto"/>
              </w:rPr>
              <w:t>December 31, 2015</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10,980</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6,660</w:t>
            </w:r>
          </w:p>
        </w:tc>
      </w:tr>
      <w:tr>
        <w:trPr>
          <w:trHeight w:val="257"/>
        </w:trPr>
        <w:tc>
          <w:tcPr>
            <w:tcW w:w="5500" w:type="dxa"/>
            <w:vAlign w:val="bottom"/>
          </w:tcPr>
          <w:p>
            <w:pPr>
              <w:ind w:left="50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23,584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17,640</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Amortization expense was $2.3 million and $0.3 million during the three months ended June 30, 2016 and June 30, 2015, respectively. Amortization expense was $3.5 million and $0.5 million during the six months ended June 30, 2016 and June 30, 2015, respectively. The following table summarizes estimated future amortization expense of Other intangible assets—net with finite lives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ind w:right="591"/>
              <w:spacing w:after="0"/>
              <w:rPr>
                <w:sz w:val="20"/>
                <w:szCs w:val="20"/>
                <w:color w:val="auto"/>
              </w:rPr>
            </w:pPr>
            <w:r>
              <w:rPr>
                <w:rFonts w:ascii="Arial" w:cs="Arial" w:eastAsia="Arial" w:hAnsi="Arial"/>
                <w:sz w:val="16"/>
                <w:szCs w:val="16"/>
                <w:b w:val="1"/>
                <w:bCs w:val="1"/>
                <w:color w:val="auto"/>
              </w:rPr>
              <w:t>Amount</w:t>
            </w:r>
          </w:p>
        </w:tc>
      </w:tr>
      <w:tr>
        <w:trPr>
          <w:trHeight w:val="33"/>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380"/>
              <w:spacing w:after="0"/>
              <w:rPr>
                <w:sz w:val="20"/>
                <w:szCs w:val="20"/>
                <w:color w:val="auto"/>
              </w:rPr>
            </w:pPr>
            <w:r>
              <w:rPr>
                <w:rFonts w:ascii="Arial" w:cs="Arial" w:eastAsia="Arial" w:hAnsi="Arial"/>
                <w:sz w:val="18"/>
                <w:szCs w:val="18"/>
                <w:color w:val="auto"/>
              </w:rPr>
              <w:t>2016 (remainder)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6,032</w:t>
            </w:r>
          </w:p>
        </w:tc>
      </w:tr>
      <w:tr>
        <w:trPr>
          <w:trHeight w:val="27"/>
        </w:trPr>
        <w:tc>
          <w:tcPr>
            <w:tcW w:w="9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8,878</w:t>
            </w:r>
          </w:p>
        </w:tc>
      </w:tr>
      <w:tr>
        <w:trPr>
          <w:trHeight w:val="243"/>
        </w:trPr>
        <w:tc>
          <w:tcPr>
            <w:tcW w:w="9480" w:type="dxa"/>
            <w:vAlign w:val="bottom"/>
          </w:tcPr>
          <w:p>
            <w:pPr>
              <w:ind w:left="38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7,281</w:t>
            </w:r>
          </w:p>
        </w:tc>
      </w:tr>
      <w:tr>
        <w:trPr>
          <w:trHeight w:val="27"/>
        </w:trPr>
        <w:tc>
          <w:tcPr>
            <w:tcW w:w="9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5,517</w:t>
            </w:r>
          </w:p>
        </w:tc>
      </w:tr>
      <w:tr>
        <w:trPr>
          <w:trHeight w:val="243"/>
        </w:trPr>
        <w:tc>
          <w:tcPr>
            <w:tcW w:w="9480" w:type="dxa"/>
            <w:vAlign w:val="bottom"/>
          </w:tcPr>
          <w:p>
            <w:pPr>
              <w:ind w:left="38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2,280</w:t>
            </w:r>
          </w:p>
        </w:tc>
      </w:tr>
      <w:tr>
        <w:trPr>
          <w:trHeight w:val="27"/>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29,988</w:t>
            </w:r>
          </w:p>
        </w:tc>
      </w:tr>
      <w:tr>
        <w:trPr>
          <w:trHeight w:val="20"/>
        </w:trPr>
        <w:tc>
          <w:tcPr>
            <w:tcW w:w="9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(LOSS) PER SHARE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Basic net income (loss) per share is computed by dividing net income (loss) by the weighted-average number of shares of common stock outstanding during the period. Diluted net income (loss) per share is computed by dividing net income (loss) by the weighted-average number of shares of common stock outstanding, plus the dilutive effects of stock options, RSUs including performance stock units (“PSUs”), and our employee stock purchase plan (“ESPP”). Dilutive shares of common stock are determined by applying the treasury stock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(loss) per share is as follows (in thousands, except per share amounts):</w:t>
      </w:r>
    </w:p>
    <w:p>
      <w:pPr>
        <w:sectPr>
          <w:pgSz w:w="11900" w:h="16838" w:orient="portrait"/>
          <w:cols w:equalWidth="0" w:num="1">
            <w:col w:w="11420"/>
          </w:cols>
          <w:pgMar w:left="240" w:top="125" w:right="239" w:bottom="1440" w:gutter="0" w:footer="0" w:header="0"/>
        </w:sectPr>
      </w:pPr>
    </w:p>
    <w:p>
      <w:pPr>
        <w:spacing w:after="0" w:line="320" w:lineRule="exact"/>
        <w:rPr>
          <w:sz w:val="20"/>
          <w:szCs w:val="20"/>
          <w:color w:val="auto"/>
        </w:rPr>
      </w:pPr>
    </w:p>
    <w:p>
      <w:pPr>
        <w:ind w:left="59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37465</wp:posOffset>
            </wp:positionV>
            <wp:extent cx="1972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66" w:lineRule="exact"/>
        <w:rPr>
          <w:sz w:val="20"/>
          <w:szCs w:val="20"/>
          <w:color w:val="auto"/>
        </w:rPr>
      </w:pPr>
    </w:p>
    <w:p>
      <w:pPr>
        <w:ind w:left="5600"/>
        <w:spacing w:after="0"/>
        <w:tabs>
          <w:tab w:leader="none" w:pos="7200" w:val="left"/>
        </w:tabs>
        <w:rPr>
          <w:sz w:val="20"/>
          <w:szCs w:val="20"/>
          <w:color w:val="auto"/>
        </w:rPr>
      </w:pPr>
      <w:r>
        <w:rPr>
          <w:rFonts w:ascii="Arial" w:cs="Arial" w:eastAsia="Arial" w:hAnsi="Arial"/>
          <w:sz w:val="16"/>
          <w:szCs w:val="16"/>
          <w:b w:val="1"/>
          <w:bCs w:val="1"/>
          <w:color w:val="auto"/>
        </w:rPr>
        <w:t>June 30,</w:t>
      </w:r>
      <w:r>
        <w:rPr>
          <w:sz w:val="20"/>
          <w:szCs w:val="20"/>
          <w:color w:val="auto"/>
        </w:rPr>
        <w:tab/>
      </w:r>
      <w:r>
        <w:rPr>
          <w:rFonts w:ascii="Arial" w:cs="Arial" w:eastAsia="Arial" w:hAnsi="Arial"/>
          <w:sz w:val="14"/>
          <w:szCs w:val="14"/>
          <w:b w:val="1"/>
          <w:bCs w:val="1"/>
          <w:color w:val="auto"/>
        </w:rPr>
        <w:t>June 30,</w:t>
      </w:r>
    </w:p>
    <w:p>
      <w:pPr>
        <w:spacing w:after="0" w:line="26" w:lineRule="exact"/>
        <w:rPr>
          <w:sz w:val="20"/>
          <w:szCs w:val="20"/>
          <w:color w:val="auto"/>
        </w:rPr>
      </w:pPr>
    </w:p>
    <w:p>
      <w:pPr>
        <w:ind w:left="5740"/>
        <w:spacing w:after="0"/>
        <w:tabs>
          <w:tab w:leader="none" w:pos="734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37465</wp:posOffset>
            </wp:positionV>
            <wp:extent cx="19380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66"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b w:val="1"/>
          <w:bCs w:val="1"/>
          <w:color w:val="auto"/>
        </w:rPr>
        <w:t>June 30,</w:t>
      </w:r>
      <w:r>
        <w:rPr>
          <w:sz w:val="20"/>
          <w:szCs w:val="20"/>
          <w:color w:val="auto"/>
        </w:rPr>
        <w:tab/>
      </w:r>
      <w:r>
        <w:rPr>
          <w:rFonts w:ascii="Arial" w:cs="Arial" w:eastAsia="Arial" w:hAnsi="Arial"/>
          <w:sz w:val="14"/>
          <w:szCs w:val="14"/>
          <w:b w:val="1"/>
          <w:bCs w:val="1"/>
          <w:color w:val="auto"/>
        </w:rPr>
        <w:t>June 30,</w:t>
      </w:r>
    </w:p>
    <w:p>
      <w:pPr>
        <w:spacing w:after="0" w:line="26" w:lineRule="exact"/>
        <w:rPr>
          <w:sz w:val="20"/>
          <w:szCs w:val="20"/>
          <w:color w:val="auto"/>
        </w:rPr>
      </w:pPr>
    </w:p>
    <w:p>
      <w:pPr>
        <w:ind w:left="140"/>
        <w:spacing w:after="0"/>
        <w:tabs>
          <w:tab w:leader="none" w:pos="170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74" w:lineRule="exact"/>
        <w:rPr>
          <w:sz w:val="20"/>
          <w:szCs w:val="20"/>
          <w:color w:val="auto"/>
        </w:rPr>
      </w:pPr>
    </w:p>
    <w:p>
      <w:pPr>
        <w:sectPr>
          <w:pgSz w:w="11900" w:h="16838" w:orient="portrait"/>
          <w:cols w:equalWidth="0" w:num="2">
            <w:col w:w="8080" w:space="720"/>
            <w:col w:w="26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Numerator:</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shares: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172,075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169,930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171,910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169,009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172,075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169,930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171,910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169,009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920"/>
              <w:spacing w:after="0"/>
              <w:rPr>
                <w:sz w:val="20"/>
                <w:szCs w:val="20"/>
                <w:color w:val="auto"/>
              </w:rPr>
            </w:pPr>
            <w:r>
              <w:rPr>
                <w:rFonts w:ascii="Arial" w:cs="Arial" w:eastAsia="Arial" w:hAnsi="Arial"/>
                <w:sz w:val="18"/>
                <w:szCs w:val="18"/>
                <w:color w:val="auto"/>
              </w:rPr>
              <w:t>Stock options</w:t>
            </w:r>
          </w:p>
        </w:tc>
        <w:tc>
          <w:tcPr>
            <w:tcW w:w="4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RSUs (including PSUs)</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43"/>
        </w:trPr>
        <w:tc>
          <w:tcPr>
            <w:tcW w:w="5160" w:type="dxa"/>
            <w:vAlign w:val="bottom"/>
          </w:tcPr>
          <w:p>
            <w:pPr>
              <w:ind w:left="920"/>
              <w:spacing w:after="0"/>
              <w:rPr>
                <w:sz w:val="20"/>
                <w:szCs w:val="20"/>
                <w:color w:val="auto"/>
              </w:rPr>
            </w:pPr>
            <w:r>
              <w:rPr>
                <w:rFonts w:ascii="Arial" w:cs="Arial" w:eastAsia="Arial" w:hAnsi="Arial"/>
                <w:sz w:val="18"/>
                <w:szCs w:val="18"/>
                <w:color w:val="auto"/>
              </w:rPr>
              <w:t>ESPP</w:t>
            </w:r>
          </w:p>
        </w:tc>
        <w:tc>
          <w:tcPr>
            <w:tcW w:w="4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Weighted-average shares used to compute diluted net income per</w:t>
            </w:r>
          </w:p>
        </w:tc>
        <w:tc>
          <w:tcPr>
            <w:tcW w:w="46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172,075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176,234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175,360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174,983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4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income (loss) per share:</w:t>
            </w: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50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potentially dilutive shares of common stock were excluded from the computation of diluted net income (loss) per share for the periods presented, as their effect would have been antidilutive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32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rPr>
              <w:t>Three Months Ended</w:t>
            </w:r>
          </w:p>
        </w:tc>
        <w:tc>
          <w:tcPr>
            <w:tcW w:w="2940" w:type="dxa"/>
            <w:vAlign w:val="bottom"/>
            <w:gridSpan w:val="2"/>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700" w:type="dxa"/>
            <w:vAlign w:val="bottom"/>
          </w:tcPr>
          <w:p>
            <w:pPr>
              <w:jc w:val="right"/>
              <w:ind w:right="613"/>
              <w:spacing w:after="0"/>
              <w:rPr>
                <w:sz w:val="20"/>
                <w:szCs w:val="20"/>
                <w:color w:val="auto"/>
              </w:rPr>
            </w:pPr>
            <w:r>
              <w:rPr>
                <w:rFonts w:ascii="Arial" w:cs="Arial" w:eastAsia="Arial" w:hAnsi="Arial"/>
                <w:sz w:val="16"/>
                <w:szCs w:val="16"/>
                <w:b w:val="1"/>
                <w:bCs w:val="1"/>
                <w:color w:val="auto"/>
              </w:rPr>
              <w:t>June 30,</w:t>
            </w:r>
          </w:p>
        </w:tc>
        <w:tc>
          <w:tcPr>
            <w:tcW w:w="1580" w:type="dxa"/>
            <w:vAlign w:val="bottom"/>
          </w:tcPr>
          <w:p>
            <w:pPr>
              <w:jc w:val="right"/>
              <w:ind w:right="594"/>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1500" w:type="dxa"/>
            <w:vAlign w:val="bottom"/>
          </w:tcPr>
          <w:p>
            <w:pPr>
              <w:jc w:val="right"/>
              <w:ind w:right="51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700" w:type="dxa"/>
            <w:vAlign w:val="bottom"/>
          </w:tcPr>
          <w:p>
            <w:pPr>
              <w:jc w:val="right"/>
              <w:ind w:right="713"/>
              <w:spacing w:after="0"/>
              <w:rPr>
                <w:sz w:val="20"/>
                <w:szCs w:val="20"/>
                <w:color w:val="auto"/>
              </w:rPr>
            </w:pPr>
            <w:r>
              <w:rPr>
                <w:rFonts w:ascii="Arial" w:cs="Arial" w:eastAsia="Arial" w:hAnsi="Arial"/>
                <w:sz w:val="16"/>
                <w:szCs w:val="16"/>
                <w:b w:val="1"/>
                <w:bCs w:val="1"/>
                <w:color w:val="auto"/>
              </w:rPr>
              <w:t>2015</w:t>
            </w:r>
          </w:p>
        </w:tc>
        <w:tc>
          <w:tcPr>
            <w:tcW w:w="1580" w:type="dxa"/>
            <w:vAlign w:val="bottom"/>
          </w:tcPr>
          <w:p>
            <w:pPr>
              <w:jc w:val="right"/>
              <w:ind w:right="714"/>
              <w:spacing w:after="0"/>
              <w:rPr>
                <w:sz w:val="20"/>
                <w:szCs w:val="20"/>
                <w:color w:val="auto"/>
              </w:rPr>
            </w:pPr>
            <w:r>
              <w:rPr>
                <w:rFonts w:ascii="Arial" w:cs="Arial" w:eastAsia="Arial" w:hAnsi="Arial"/>
                <w:sz w:val="16"/>
                <w:szCs w:val="16"/>
                <w:b w:val="1"/>
                <w:bCs w:val="1"/>
                <w:color w:val="auto"/>
              </w:rPr>
              <w:t>2016</w:t>
            </w:r>
          </w:p>
        </w:tc>
        <w:tc>
          <w:tcPr>
            <w:tcW w:w="13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7,058</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299</w:t>
            </w:r>
          </w:p>
        </w:tc>
        <w:tc>
          <w:tcPr>
            <w:tcW w:w="158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1,182</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RSUs (including PSUs)</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10,577</w:t>
            </w:r>
          </w:p>
        </w:tc>
        <w:tc>
          <w:tcPr>
            <w:tcW w:w="120" w:type="dxa"/>
            <w:vAlign w:val="bottom"/>
          </w:tcPr>
          <w:p>
            <w:pPr>
              <w:spacing w:after="0"/>
              <w:rPr>
                <w:sz w:val="21"/>
                <w:szCs w:val="21"/>
                <w:color w:val="auto"/>
              </w:rPr>
            </w:pPr>
          </w:p>
        </w:tc>
        <w:tc>
          <w:tcPr>
            <w:tcW w:w="1700" w:type="dxa"/>
            <w:vAlign w:val="bottom"/>
          </w:tcPr>
          <w:p>
            <w:pPr>
              <w:jc w:val="right"/>
              <w:ind w:right="233"/>
              <w:spacing w:after="0"/>
              <w:rPr>
                <w:sz w:val="20"/>
                <w:szCs w:val="20"/>
                <w:color w:val="auto"/>
              </w:rPr>
            </w:pPr>
            <w:r>
              <w:rPr>
                <w:rFonts w:ascii="Arial" w:cs="Arial" w:eastAsia="Arial" w:hAnsi="Arial"/>
                <w:sz w:val="18"/>
                <w:szCs w:val="18"/>
                <w:color w:val="auto"/>
              </w:rPr>
              <w:t>414</w:t>
            </w:r>
          </w:p>
        </w:tc>
        <w:tc>
          <w:tcPr>
            <w:tcW w:w="1580" w:type="dxa"/>
            <w:vAlign w:val="bottom"/>
          </w:tcPr>
          <w:p>
            <w:pPr>
              <w:jc w:val="right"/>
              <w:ind w:right="234"/>
              <w:spacing w:after="0"/>
              <w:rPr>
                <w:sz w:val="20"/>
                <w:szCs w:val="20"/>
                <w:color w:val="auto"/>
              </w:rPr>
            </w:pPr>
            <w:r>
              <w:rPr>
                <w:rFonts w:ascii="Arial" w:cs="Arial" w:eastAsia="Arial" w:hAnsi="Arial"/>
                <w:sz w:val="18"/>
                <w:szCs w:val="18"/>
                <w:color w:val="auto"/>
              </w:rPr>
              <w:t>4,715</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873</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141</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r>
      <w:tr>
        <w:trPr>
          <w:trHeight w:val="237"/>
        </w:trPr>
        <w:tc>
          <w:tcPr>
            <w:tcW w:w="516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18,189</w:t>
            </w:r>
          </w:p>
        </w:tc>
        <w:tc>
          <w:tcPr>
            <w:tcW w:w="120" w:type="dxa"/>
            <w:vAlign w:val="bottom"/>
          </w:tcPr>
          <w:p>
            <w:pPr>
              <w:spacing w:after="0"/>
              <w:rPr>
                <w:sz w:val="20"/>
                <w:szCs w:val="20"/>
                <w:color w:val="auto"/>
              </w:rPr>
            </w:pPr>
          </w:p>
        </w:tc>
        <w:tc>
          <w:tcPr>
            <w:tcW w:w="170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color w:val="auto"/>
              </w:rPr>
              <w:t>713</w:t>
            </w:r>
          </w:p>
        </w:tc>
        <w:tc>
          <w:tcPr>
            <w:tcW w:w="158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rPr>
              <w:t>6,038</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1,231</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1500" w:type="dxa"/>
            <w:vAlign w:val="bottom"/>
          </w:tcPr>
          <w:p>
            <w:pPr>
              <w:jc w:val="right"/>
              <w:ind w:right="77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restructuring activity as of June 30, 2016 (in thousands):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Employee Severance</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Terminations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and Other Benefits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Other Charges</w:t>
            </w:r>
          </w:p>
        </w:tc>
        <w:tc>
          <w:tcPr>
            <w:tcW w:w="36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3,918</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881</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(2,928)</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non-cash charges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1,782</w:t>
            </w: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Meru Restructuring</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connection with the acquisition of Meru, we initiated planned cost reduction and restructuring activities to improve our cost structure and operational efficiencies starting in the third quarter of 2015. We estimate that we will incur approximately $8.0 million of restructuring charges, consisting of severance and other benefits, contract terminations and other charges. We did not incur any material restructuring charges during the three and six months ended June 30, 2016. To date, we have incurred $7.8 million of charges related to this restructuring. These charges are primarily related to severance payments to be paid in cash and are included in operating expense in the condensed consolidated statements of operations of the period when incurred.</w:t>
      </w:r>
    </w:p>
    <w:p>
      <w:pPr>
        <w:spacing w:after="0" w:line="104"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Cash payments for the restructuring activities are expected to be paid through 2017, primarily relating to severance payments. The remaining restructuring reserve balance of $1.5 million is included in accrued liabilities on the condensed consolidated balance sheet as of June 30,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AccelOps Restructuring</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connection with the acquisition of AccelOps, we initiated alignment activities in the second quarter of 2016. We estimate that we will incur approximately $0.7 million of restructuring charges, primarily consisting of severance and other benefits, all of which were incurred during the three and six months ended June 30, 2016, which are included in operating expense in the condensed consolidated statements of operations.</w:t>
      </w:r>
    </w:p>
    <w:p>
      <w:pPr>
        <w:spacing w:after="0" w:line="166" w:lineRule="exact"/>
        <w:rPr>
          <w:sz w:val="20"/>
          <w:szCs w:val="20"/>
          <w:color w:val="auto"/>
        </w:rPr>
      </w:pPr>
    </w:p>
    <w:p>
      <w:pPr>
        <w:ind w:right="940" w:firstLine="648"/>
        <w:spacing w:after="0" w:line="342" w:lineRule="auto"/>
        <w:rPr>
          <w:sz w:val="20"/>
          <w:szCs w:val="20"/>
          <w:color w:val="auto"/>
        </w:rPr>
      </w:pPr>
      <w:r>
        <w:rPr>
          <w:rFonts w:ascii="Arial" w:cs="Arial" w:eastAsia="Arial" w:hAnsi="Arial"/>
          <w:sz w:val="16"/>
          <w:szCs w:val="16"/>
          <w:color w:val="auto"/>
        </w:rPr>
        <w:t>Cash payments for the restructuring activities are expected to be made in 2016, primarily relating to severance payments. The remaining restructuring reserve accrual of $0.2 million is included in accrued liabilities on the condensed consolidated balance sheet as of June 30,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principal contractual obligations as of June 30, 2016 were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2016 (remainder)</w:t>
            </w:r>
          </w:p>
        </w:tc>
        <w:tc>
          <w:tcPr>
            <w:tcW w:w="20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7"/>
              </w:rPr>
              <w:t>Inventory purchase commitments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86,448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86,448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contractual commitments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open purchase orders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r>
      <w:tr>
        <w:trPr>
          <w:trHeight w:val="257"/>
        </w:trPr>
        <w:tc>
          <w:tcPr>
            <w:tcW w:w="264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214,508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141,954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20,655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16,277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13,522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10,525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11,575</w:t>
            </w: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62"/>
        </w:trPr>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2026. Certain leases require us</w:t>
      </w:r>
      <w:r>
        <w:rPr>
          <w:rFonts w:ascii="Arial" w:cs="Arial" w:eastAsia="Arial" w:hAnsi="Arial"/>
          <w:sz w:val="18"/>
          <w:szCs w:val="18"/>
          <w:b w:val="1"/>
          <w:bCs w:val="1"/>
          <w:color w:val="auto"/>
        </w:rPr>
        <w:t xml:space="preserve"> </w:t>
      </w:r>
      <w:r>
        <w:rPr>
          <w:rFonts w:ascii="Arial" w:cs="Arial" w:eastAsia="Arial" w:hAnsi="Arial"/>
          <w:sz w:val="18"/>
          <w:szCs w:val="18"/>
          <w:color w:val="auto"/>
        </w:rPr>
        <w:t>to pay variable costs such as taxes, maintenance, and insurance. The terms of certain operating leases also provide for renewal options and escalation clauses. Rent expense was $4.6 million and $2.9 million during the three months ended June 30, 2016 and June 30, 2015, respectively. Rent expense was $8.5 million and $6.0 million during the six months ended June 30, 2016 and June 30, 2015, respectively. Rent expense is recognized using the straight-line method over the term of the lease.</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June 30, 2016, we had $86.4 million of open purchase orders with our independent contract manufacturers that may not be cancelable.</w:t>
      </w:r>
    </w:p>
    <w:p>
      <w:pPr>
        <w:spacing w:after="0" w:line="141"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Other Contractual Commitments and Open Purchase Orders</w:t>
      </w:r>
      <w:r>
        <w:rPr>
          <w:rFonts w:ascii="Arial" w:cs="Arial" w:eastAsia="Arial" w:hAnsi="Arial"/>
          <w:sz w:val="18"/>
          <w:szCs w:val="18"/>
          <w:color w:val="auto"/>
        </w:rPr>
        <w:t>—In addition to commitments with contract manufacturers, we have open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orders and contractual obligations in the ordinary course of business for which we have not received goods or services. As of June 30, 2016, we had $52.1 million in other contractual commitments that may not be cancelable.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—Accrued warranty activities are summarized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warranty for the period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 related to pre-existing warranties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171</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4,675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fees, including contingent legal fees with related parties,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We have not recorded any significant accrual for loss contingencies associated with such legal proceedings; determined that a significant unfavorable outcome is probable or reasonably possible; or determined that the amount or range of any possible significant loss is reasonably estimable.</w:t>
      </w:r>
    </w:p>
    <w:p>
      <w:pPr>
        <w:spacing w:after="0" w:line="16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and that could potentially expose us to losses in excess of the amount received under the agreement, and in some instances to potential liability that is not contractually limited. To date, there have been no awards under such indemnification provisions.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have stock-based compensation plans pursuant to which we have granted stock options and RSUs and PSUs. We also have an ESPP for all eligible employees. As of June 30, 2016, there were a total of 45,162,348 shares of common stock available for grant under our stock-based compensation plans.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and related information for RSUs, including PSUs, was (in thousands, except per share amounts):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4"/>
          </w:tcPr>
          <w:p>
            <w:pPr>
              <w:jc w:val="right"/>
              <w:ind w:right="21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Weighted-Average</w:t>
            </w:r>
          </w:p>
        </w:tc>
      </w:tr>
      <w:tr>
        <w:trPr>
          <w:trHeight w:val="203"/>
        </w:trPr>
        <w:tc>
          <w:tcPr>
            <w:tcW w:w="8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3"/>
              <w:spacing w:after="0"/>
              <w:rPr>
                <w:sz w:val="20"/>
                <w:szCs w:val="20"/>
                <w:color w:val="auto"/>
              </w:rPr>
            </w:pPr>
            <w:r>
              <w:rPr>
                <w:rFonts w:ascii="Arial" w:cs="Arial" w:eastAsia="Arial" w:hAnsi="Arial"/>
                <w:sz w:val="16"/>
                <w:szCs w:val="16"/>
                <w:b w:val="1"/>
                <w:bCs w:val="1"/>
                <w:color w:val="auto"/>
                <w:w w:val="96"/>
              </w:rPr>
              <w:t>Grant Date Fair</w:t>
            </w:r>
          </w:p>
        </w:tc>
      </w:tr>
      <w:tr>
        <w:trPr>
          <w:trHeight w:val="210"/>
        </w:trPr>
        <w:tc>
          <w:tcPr>
            <w:tcW w:w="83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Number of Shares</w:t>
            </w:r>
          </w:p>
        </w:tc>
        <w:tc>
          <w:tcPr>
            <w:tcW w:w="160" w:type="dxa"/>
            <w:vAlign w:val="bottom"/>
          </w:tcPr>
          <w:p>
            <w:pPr>
              <w:spacing w:after="0"/>
              <w:rPr>
                <w:sz w:val="18"/>
                <w:szCs w:val="18"/>
                <w:color w:val="auto"/>
              </w:rPr>
            </w:pPr>
          </w:p>
        </w:tc>
        <w:tc>
          <w:tcPr>
            <w:tcW w:w="132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Value per Share</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32.97</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25.92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32.24</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27.87</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Balance—June 30, 2016</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10,496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31.22</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of June 30, 2016, total compensation expense related to unvested RSUs, including PSUs, that were granted to employees and non-employees, but not yet recognized, was $279.3 million. This expense is expected to be amortized on a straight-line basis over a weighted-average vesting period of 2.94 years. We did not grant any PSUs during the three and six months ended June 30, 2016. The stock-based compensation expense related to PSU awards is not material.</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condensed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shares and amount withheld for employee taxes were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2780" w:type="dxa"/>
            <w:vAlign w:val="bottom"/>
            <w:gridSpan w:val="3"/>
          </w:tcPr>
          <w:p>
            <w:pPr>
              <w:jc w:val="right"/>
              <w:ind w:right="79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20" w:type="dxa"/>
            <w:vAlign w:val="bottom"/>
          </w:tcPr>
          <w:p>
            <w:pPr>
              <w:jc w:val="right"/>
              <w:ind w:right="394"/>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220" w:type="dxa"/>
            <w:vAlign w:val="bottom"/>
          </w:tcPr>
          <w:p>
            <w:pPr>
              <w:jc w:val="right"/>
              <w:ind w:right="395"/>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4"/>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18"/>
                <w:szCs w:val="18"/>
                <w:color w:val="auto"/>
              </w:rPr>
            </w:pPr>
          </w:p>
        </w:tc>
        <w:tc>
          <w:tcPr>
            <w:tcW w:w="1220" w:type="dxa"/>
            <w:vAlign w:val="bottom"/>
          </w:tcPr>
          <w:p>
            <w:pPr>
              <w:jc w:val="right"/>
              <w:ind w:right="515"/>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590</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8,051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4,762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17,358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11,362</w:t>
            </w:r>
          </w:p>
        </w:tc>
      </w:tr>
      <w:tr>
        <w:trPr>
          <w:trHeight w:val="91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assumptions relating to our employee stock options were: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700" w:type="dxa"/>
            <w:vAlign w:val="bottom"/>
            <w:gridSpan w:val="4"/>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3020" w:type="dxa"/>
            <w:vAlign w:val="bottom"/>
            <w:gridSpan w:val="2"/>
          </w:tcPr>
          <w:p>
            <w:pPr>
              <w:jc w:val="right"/>
              <w:ind w:right="83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5000" w:type="dxa"/>
            <w:vAlign w:val="bottom"/>
          </w:tcPr>
          <w:p>
            <w:pPr>
              <w:spacing w:after="0"/>
              <w:rPr>
                <w:sz w:val="18"/>
                <w:szCs w:val="18"/>
                <w:color w:val="auto"/>
              </w:rPr>
            </w:pPr>
          </w:p>
        </w:tc>
        <w:tc>
          <w:tcPr>
            <w:tcW w:w="1060" w:type="dxa"/>
            <w:vAlign w:val="bottom"/>
          </w:tcPr>
          <w:p>
            <w:pPr>
              <w:ind w:left="440"/>
              <w:spacing w:after="0"/>
              <w:rPr>
                <w:sz w:val="20"/>
                <w:szCs w:val="20"/>
                <w:color w:val="auto"/>
              </w:rPr>
            </w:pPr>
            <w:r>
              <w:rPr>
                <w:rFonts w:ascii="Arial" w:cs="Arial" w:eastAsia="Arial" w:hAnsi="Arial"/>
                <w:sz w:val="16"/>
                <w:szCs w:val="16"/>
                <w:b w:val="1"/>
                <w:bCs w:val="1"/>
                <w:color w:val="auto"/>
                <w:w w:val="93"/>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339"/>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18"/>
                <w:szCs w:val="18"/>
                <w:color w:val="auto"/>
              </w:rPr>
            </w:pPr>
          </w:p>
        </w:tc>
        <w:tc>
          <w:tcPr>
            <w:tcW w:w="1640" w:type="dxa"/>
            <w:vAlign w:val="bottom"/>
          </w:tcPr>
          <w:p>
            <w:pPr>
              <w:jc w:val="right"/>
              <w:ind w:right="654"/>
              <w:spacing w:after="0"/>
              <w:rPr>
                <w:sz w:val="20"/>
                <w:szCs w:val="20"/>
                <w:color w:val="auto"/>
              </w:rPr>
            </w:pPr>
            <w:r>
              <w:rPr>
                <w:rFonts w:ascii="Arial" w:cs="Arial" w:eastAsia="Arial" w:hAnsi="Arial"/>
                <w:sz w:val="16"/>
                <w:szCs w:val="16"/>
                <w:b w:val="1"/>
                <w:bCs w:val="1"/>
                <w:color w:val="auto"/>
              </w:rPr>
              <w:t>June 30,</w:t>
            </w:r>
          </w:p>
        </w:tc>
        <w:tc>
          <w:tcPr>
            <w:tcW w:w="1380" w:type="dxa"/>
            <w:vAlign w:val="bottom"/>
          </w:tcPr>
          <w:p>
            <w:pPr>
              <w:jc w:val="right"/>
              <w:ind w:right="4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060" w:type="dxa"/>
            <w:vAlign w:val="bottom"/>
            <w:gridSpan w:val="2"/>
          </w:tcPr>
          <w:p>
            <w:pPr>
              <w:ind w:left="5600"/>
              <w:spacing w:after="0"/>
              <w:rPr>
                <w:sz w:val="20"/>
                <w:szCs w:val="20"/>
                <w:color w:val="auto"/>
              </w:rPr>
            </w:pPr>
            <w:r>
              <w:rPr>
                <w:rFonts w:ascii="Arial" w:cs="Arial" w:eastAsia="Arial" w:hAnsi="Arial"/>
                <w:sz w:val="16"/>
                <w:szCs w:val="16"/>
                <w:b w:val="1"/>
                <w:bCs w:val="1"/>
                <w:color w:val="auto"/>
              </w:rPr>
              <w:t>2016</w:t>
            </w:r>
          </w:p>
        </w:tc>
        <w:tc>
          <w:tcPr>
            <w:tcW w:w="16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18"/>
                <w:szCs w:val="18"/>
                <w:color w:val="auto"/>
              </w:rPr>
            </w:pPr>
          </w:p>
        </w:tc>
        <w:tc>
          <w:tcPr>
            <w:tcW w:w="1640" w:type="dxa"/>
            <w:vAlign w:val="bottom"/>
          </w:tcPr>
          <w:p>
            <w:pPr>
              <w:jc w:val="right"/>
              <w:ind w:right="774"/>
              <w:spacing w:after="0"/>
              <w:rPr>
                <w:sz w:val="20"/>
                <w:szCs w:val="20"/>
                <w:color w:val="auto"/>
              </w:rPr>
            </w:pPr>
            <w:r>
              <w:rPr>
                <w:rFonts w:ascii="Arial" w:cs="Arial" w:eastAsia="Arial" w:hAnsi="Arial"/>
                <w:sz w:val="16"/>
                <w:szCs w:val="16"/>
                <w:b w:val="1"/>
                <w:bCs w:val="1"/>
                <w:color w:val="auto"/>
              </w:rPr>
              <w:t>2016</w:t>
            </w:r>
          </w:p>
        </w:tc>
        <w:tc>
          <w:tcPr>
            <w:tcW w:w="1380" w:type="dxa"/>
            <w:vAlign w:val="bottom"/>
          </w:tcPr>
          <w:p>
            <w:pPr>
              <w:jc w:val="right"/>
              <w:ind w:right="513"/>
              <w:spacing w:after="0"/>
              <w:rPr>
                <w:sz w:val="20"/>
                <w:szCs w:val="20"/>
                <w:color w:val="auto"/>
              </w:rPr>
            </w:pPr>
            <w:r>
              <w:rPr>
                <w:rFonts w:ascii="Arial" w:cs="Arial" w:eastAsia="Arial" w:hAnsi="Arial"/>
                <w:sz w:val="16"/>
                <w:szCs w:val="16"/>
                <w:b w:val="1"/>
                <w:bCs w:val="1"/>
                <w:color w:val="auto"/>
              </w:rPr>
              <w:t>2015</w:t>
            </w:r>
          </w:p>
        </w:tc>
      </w:tr>
      <w:tr>
        <w:trPr>
          <w:trHeight w:val="33"/>
        </w:trPr>
        <w:tc>
          <w:tcPr>
            <w:tcW w:w="5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Expected term in years</w:t>
            </w:r>
          </w:p>
        </w:tc>
        <w:tc>
          <w:tcPr>
            <w:tcW w:w="4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5"/>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5"/>
              </w:rPr>
              <w:t>4.3</w:t>
            </w:r>
          </w:p>
        </w:tc>
        <w:tc>
          <w:tcPr>
            <w:tcW w:w="16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4.3</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r>
      <w:tr>
        <w:trPr>
          <w:trHeight w:val="243"/>
        </w:trPr>
        <w:tc>
          <w:tcPr>
            <w:tcW w:w="6060" w:type="dxa"/>
            <w:vAlign w:val="bottom"/>
            <w:gridSpan w:val="2"/>
          </w:tcPr>
          <w:p>
            <w:pPr>
              <w:ind w:left="500"/>
              <w:spacing w:after="0"/>
              <w:rPr>
                <w:sz w:val="20"/>
                <w:szCs w:val="20"/>
                <w:color w:val="auto"/>
              </w:rPr>
            </w:pPr>
            <w:r>
              <w:rPr>
                <w:rFonts w:ascii="Arial" w:cs="Arial" w:eastAsia="Arial" w:hAnsi="Arial"/>
                <w:sz w:val="18"/>
                <w:szCs w:val="18"/>
                <w:color w:val="auto"/>
              </w:rPr>
              <w:t>Volatility</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38%</w:t>
            </w:r>
          </w:p>
        </w:tc>
        <w:tc>
          <w:tcPr>
            <w:tcW w:w="1640" w:type="dxa"/>
            <w:vAlign w:val="bottom"/>
          </w:tcPr>
          <w:p>
            <w:pPr>
              <w:jc w:val="right"/>
              <w:ind w:right="354"/>
              <w:spacing w:after="0"/>
              <w:rPr>
                <w:sz w:val="20"/>
                <w:szCs w:val="20"/>
                <w:color w:val="auto"/>
              </w:rPr>
            </w:pPr>
            <w:r>
              <w:rPr>
                <w:rFonts w:ascii="Arial" w:cs="Arial" w:eastAsia="Arial" w:hAnsi="Arial"/>
                <w:sz w:val="18"/>
                <w:szCs w:val="18"/>
                <w:color w:val="auto"/>
              </w:rPr>
              <w:t>39% - 43%</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38% - 40%</w:t>
            </w:r>
          </w:p>
        </w:tc>
      </w:tr>
      <w:tr>
        <w:trPr>
          <w:trHeight w:val="27"/>
        </w:trPr>
        <w:tc>
          <w:tcPr>
            <w:tcW w:w="5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Risk-free interest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7"/>
              </w:rPr>
              <w:t>1.5%</w:t>
            </w:r>
          </w:p>
        </w:tc>
        <w:tc>
          <w:tcPr>
            <w:tcW w:w="16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1.0% - 1.2%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060" w:type="dxa"/>
            <w:vAlign w:val="bottom"/>
            <w:gridSpan w:val="2"/>
          </w:tcPr>
          <w:p>
            <w:pPr>
              <w:ind w:left="500"/>
              <w:spacing w:after="0"/>
              <w:rPr>
                <w:sz w:val="20"/>
                <w:szCs w:val="20"/>
                <w:color w:val="auto"/>
              </w:rPr>
            </w:pPr>
            <w:r>
              <w:rPr>
                <w:rFonts w:ascii="Arial" w:cs="Arial" w:eastAsia="Arial" w:hAnsi="Arial"/>
                <w:sz w:val="18"/>
                <w:szCs w:val="18"/>
                <w:color w:val="auto"/>
              </w:rPr>
              <w:t>Dividend rate</w:t>
            </w:r>
          </w:p>
        </w:tc>
        <w:tc>
          <w:tcPr>
            <w:tcW w:w="1640" w:type="dxa"/>
            <w:vAlign w:val="bottom"/>
            <w:gridSpan w:val="3"/>
          </w:tcPr>
          <w:p>
            <w:pPr>
              <w:jc w:val="right"/>
              <w:ind w:right="1139"/>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 option activity and related information was (in thousands, except exercise prices and contractual life):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4"/>
          </w:tcPr>
          <w:p>
            <w:pPr>
              <w:ind w:left="560"/>
              <w:spacing w:after="0"/>
              <w:rPr>
                <w:sz w:val="20"/>
                <w:szCs w:val="20"/>
                <w:color w:val="auto"/>
              </w:rPr>
            </w:pPr>
            <w:r>
              <w:rPr>
                <w:rFonts w:ascii="Arial" w:cs="Arial" w:eastAsia="Arial" w:hAnsi="Arial"/>
                <w:sz w:val="16"/>
                <w:szCs w:val="16"/>
                <w:b w:val="1"/>
                <w:bCs w:val="1"/>
                <w:color w:val="auto"/>
              </w:rPr>
              <w:t>Options Outstanding</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7"/>
                <w:szCs w:val="17"/>
                <w:color w:val="auto"/>
              </w:rPr>
            </w:pPr>
          </w:p>
        </w:tc>
        <w:tc>
          <w:tcPr>
            <w:tcW w:w="1220" w:type="dxa"/>
            <w:vAlign w:val="bottom"/>
          </w:tcPr>
          <w:p>
            <w:pPr>
              <w:jc w:val="center"/>
              <w:ind w:right="175"/>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516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Exercise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7"/>
                <w:szCs w:val="17"/>
                <w:color w:val="auto"/>
              </w:rPr>
            </w:pPr>
          </w:p>
        </w:tc>
        <w:tc>
          <w:tcPr>
            <w:tcW w:w="1220" w:type="dxa"/>
            <w:vAlign w:val="bottom"/>
          </w:tcPr>
          <w:p>
            <w:pPr>
              <w:jc w:val="center"/>
              <w:ind w:right="1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Life (Years)</w:t>
            </w:r>
          </w:p>
        </w:tc>
        <w:tc>
          <w:tcPr>
            <w:tcW w:w="260" w:type="dxa"/>
            <w:vAlign w:val="bottom"/>
          </w:tcPr>
          <w:p>
            <w:pPr>
              <w:spacing w:after="0"/>
              <w:rPr>
                <w:sz w:val="18"/>
                <w:szCs w:val="18"/>
                <w:color w:val="auto"/>
              </w:rPr>
            </w:pPr>
          </w:p>
        </w:tc>
        <w:tc>
          <w:tcPr>
            <w:tcW w:w="1220" w:type="dxa"/>
            <w:vAlign w:val="bottom"/>
          </w:tcPr>
          <w:p>
            <w:pPr>
              <w:jc w:val="center"/>
              <w:ind w:right="175"/>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Balance—June 30, 2016</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65,715</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Options exercisable—June 30, 2016</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4,821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54,924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June 30, 2016, for all in-the-money options. As of June 30, 2016, total compensation expense related to unvested stock options granted to employees but not yet recognized was $18.0 million. This expense is expected to be amortized on a straight-line basis over a weighted-average period of 3.2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left="54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37465</wp:posOffset>
            </wp:positionV>
            <wp:extent cx="1972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80" w:lineRule="exact"/>
        <w:rPr>
          <w:sz w:val="20"/>
          <w:szCs w:val="20"/>
          <w:color w:val="auto"/>
        </w:rPr>
      </w:pPr>
    </w:p>
    <w:p>
      <w:pPr>
        <w:ind w:left="5440"/>
        <w:spacing w:after="0"/>
        <w:tabs>
          <w:tab w:leader="none" w:pos="7040" w:val="left"/>
        </w:tabs>
        <w:rPr>
          <w:sz w:val="20"/>
          <w:szCs w:val="20"/>
          <w:color w:val="auto"/>
        </w:rPr>
      </w:pPr>
      <w:r>
        <w:rPr>
          <w:rFonts w:ascii="Arial" w:cs="Arial" w:eastAsia="Arial" w:hAnsi="Arial"/>
          <w:sz w:val="16"/>
          <w:szCs w:val="16"/>
          <w:b w:val="1"/>
          <w:bCs w:val="1"/>
          <w:color w:val="auto"/>
        </w:rPr>
        <w:t>June 30, 2016</w:t>
      </w:r>
      <w:r>
        <w:rPr>
          <w:sz w:val="20"/>
          <w:szCs w:val="20"/>
          <w:color w:val="auto"/>
        </w:rPr>
        <w:tab/>
      </w:r>
      <w:r>
        <w:rPr>
          <w:rFonts w:ascii="Arial" w:cs="Arial" w:eastAsia="Arial" w:hAnsi="Arial"/>
          <w:sz w:val="14"/>
          <w:szCs w:val="14"/>
          <w:b w:val="1"/>
          <w:bCs w:val="1"/>
          <w:color w:val="auto"/>
        </w:rPr>
        <w:t>June 30, 2015</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37465</wp:posOffset>
            </wp:positionV>
            <wp:extent cx="1938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b w:val="1"/>
          <w:bCs w:val="1"/>
          <w:color w:val="auto"/>
        </w:rPr>
        <w:t>June 30, 2016</w:t>
      </w:r>
      <w:r>
        <w:rPr>
          <w:sz w:val="20"/>
          <w:szCs w:val="20"/>
          <w:color w:val="auto"/>
        </w:rPr>
        <w:tab/>
      </w:r>
      <w:r>
        <w:rPr>
          <w:rFonts w:ascii="Arial" w:cs="Arial" w:eastAsia="Arial" w:hAnsi="Arial"/>
          <w:sz w:val="14"/>
          <w:szCs w:val="14"/>
          <w:b w:val="1"/>
          <w:bCs w:val="1"/>
          <w:color w:val="auto"/>
        </w:rPr>
        <w:t>June 30, 2015</w:t>
      </w:r>
    </w:p>
    <w:p>
      <w:pPr>
        <w:spacing w:after="0" w:line="39" w:lineRule="exact"/>
        <w:rPr>
          <w:sz w:val="20"/>
          <w:szCs w:val="20"/>
          <w:color w:val="auto"/>
        </w:rPr>
      </w:pPr>
    </w:p>
    <w:p>
      <w:pPr>
        <w:sectPr>
          <w:pgSz w:w="11900" w:h="16838" w:orient="portrait"/>
          <w:cols w:equalWidth="0" w:num="2">
            <w:col w:w="8000" w:space="640"/>
            <w:col w:w="27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w:t>
            </w:r>
          </w:p>
        </w:tc>
        <w:tc>
          <w:tcPr>
            <w:tcW w:w="5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22,034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26,253</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63,038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2,876</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6,510</w:t>
            </w:r>
          </w:p>
        </w:tc>
      </w:tr>
      <w:tr>
        <w:trPr>
          <w:trHeight w:val="89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our ESPP, we use the Black-Scholes option pricing model that employs the following weighted-average assumptions:</w:t>
      </w:r>
    </w:p>
    <w:p>
      <w:pPr>
        <w:spacing w:after="0" w:line="200" w:lineRule="exact"/>
        <w:rPr>
          <w:sz w:val="20"/>
          <w:szCs w:val="20"/>
          <w:color w:val="auto"/>
        </w:rPr>
      </w:pPr>
    </w:p>
    <w:p>
      <w:pPr>
        <w:spacing w:after="0" w:line="224"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37465</wp:posOffset>
            </wp:positionV>
            <wp:extent cx="2040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4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534"/>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253"/>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8200" w:type="dxa"/>
            <w:vAlign w:val="bottom"/>
          </w:tcPr>
          <w:p>
            <w:pPr>
              <w:ind w:left="660"/>
              <w:spacing w:after="0"/>
              <w:rPr>
                <w:sz w:val="20"/>
                <w:szCs w:val="20"/>
                <w:color w:val="auto"/>
              </w:rPr>
            </w:pPr>
            <w:r>
              <w:rPr>
                <w:rFonts w:ascii="Arial" w:cs="Arial" w:eastAsia="Arial" w:hAnsi="Arial"/>
                <w:sz w:val="18"/>
                <w:szCs w:val="18"/>
                <w:color w:val="auto"/>
                <w:w w:val="91"/>
              </w:rPr>
              <w:t>Additional information related to the ESPP is provided below (in thousands, except per share amounts):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88"/>
        </w:trPr>
        <w:tc>
          <w:tcPr>
            <w:tcW w:w="8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6"/>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ind w:left="22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9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414"/>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73"/>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Shares issued under the ESPP</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427</w:t>
            </w:r>
          </w:p>
        </w:tc>
      </w:tr>
      <w:tr>
        <w:trPr>
          <w:trHeight w:val="27"/>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 issued</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21.34</w:t>
            </w:r>
          </w:p>
        </w:tc>
      </w:tr>
      <w:tr>
        <w:trPr>
          <w:trHeight w:val="27"/>
        </w:trPr>
        <w:tc>
          <w:tcPr>
            <w:tcW w:w="8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shares granted or issued under the ESPP during the three month ended June 30, 2016 and June 30, 2015.</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8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3,292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16,990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20,578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5,764</w:t>
            </w:r>
          </w:p>
        </w:tc>
      </w:tr>
      <w:tr>
        <w:trPr>
          <w:trHeight w:val="257"/>
        </w:trPr>
        <w:tc>
          <w:tcPr>
            <w:tcW w:w="516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30,347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21,760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59,249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40,682</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stock-based compensation expense by award type was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80" w:type="dxa"/>
            <w:vAlign w:val="bottom"/>
            <w:gridSpan w:val="3"/>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20" w:type="dxa"/>
            <w:vAlign w:val="bottom"/>
          </w:tcPr>
          <w:p>
            <w:pPr>
              <w:jc w:val="right"/>
              <w:ind w:right="394"/>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4"/>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RSUs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51,902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31,678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3,546</w:t>
            </w: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6,472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ESPP</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3,801</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2,532</w:t>
            </w:r>
          </w:p>
        </w:tc>
      </w:tr>
      <w:tr>
        <w:trPr>
          <w:trHeight w:val="257"/>
        </w:trPr>
        <w:tc>
          <w:tcPr>
            <w:tcW w:w="516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30,347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21,760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59,249</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40,682</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operations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80" w:type="dxa"/>
            <w:vAlign w:val="bottom"/>
            <w:gridSpan w:val="4"/>
          </w:tcPr>
          <w:p>
            <w:pPr>
              <w:jc w:val="right"/>
              <w:ind w:right="796"/>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w:t>
            </w:r>
          </w:p>
        </w:tc>
        <w:tc>
          <w:tcPr>
            <w:tcW w:w="2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w:t>
            </w:r>
          </w:p>
        </w:tc>
        <w:tc>
          <w:tcPr>
            <w:tcW w:w="2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w:t>
            </w:r>
          </w:p>
        </w:tc>
        <w:tc>
          <w:tcPr>
            <w:tcW w:w="280" w:type="dxa"/>
            <w:vAlign w:val="bottom"/>
          </w:tcPr>
          <w:p>
            <w:pPr>
              <w:spacing w:after="0"/>
              <w:rPr>
                <w:sz w:val="18"/>
                <w:szCs w:val="18"/>
                <w:color w:val="auto"/>
              </w:rPr>
            </w:pPr>
          </w:p>
        </w:tc>
        <w:tc>
          <w:tcPr>
            <w:tcW w:w="1200" w:type="dxa"/>
            <w:vAlign w:val="bottom"/>
          </w:tcPr>
          <w:p>
            <w:pPr>
              <w:jc w:val="center"/>
              <w:ind w:right="216"/>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7"/>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6"/>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7"/>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6"/>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7,416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4,266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14,737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7,643</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2016, our board of directors approved a new Share Repurchase Program (the “Program”), which authorizes the repurchase of up to $200.0 million of our outstanding common stock through December 31, 2017.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There were no shares repurchased under the Program during the three months ended June 30, 2016. During the six months ended June 30, 2016, we repurchased 2.0 million shares of common stock under the Program in open market transactions at an average price of $24.97 per share, for an aggregate purchase price of $50.0 million. As of June 30, 2016, $150.0 million remained available for future share repurchases under the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effective tax rate was 62% for the three months ended June 30, 2016, compared to an effective tax rate of 77% for the same period last year. The effective tax rate was 111% for the six months ended June 30, 2016, compared to an effective tax rate of 54% for the same period last year. The effective tax rate for the periods presented was comprised of U.S. federal and state taxes, foreign withholding taxes and foreign income taxes. The changes in the tax provision and effective tax rate were primarily due to the tax benefit from the adoption of the new accounting guidance relating to stock-based compensation and the tax benefit from the U.S. federal research and development credit (the “U.S. federal R&amp;D credit”). The tax rate for the three and six months ended June 30, 2015 did not include a benefit from the U.S. federal R&amp;D credit, as the credit had expired in December 2014. In December 2015, the U.S. federal R&amp;D credit was made permanent and the tax benefit was reflected on the income tax provision for the three and six months ended June 30, 2016. There was a pretax loss for the three and six months ended June 30, 2016, as compared to having a pretax income for the same periods last year.</w:t>
      </w:r>
    </w:p>
    <w:p>
      <w:pPr>
        <w:spacing w:after="0" w:line="166"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As of June 30, 2016 and December 31, 2015, unrecognized tax benefits were $63.7 million and $59.7 million, respectively. The total amount of $62.4 million in unrecognized tax benefits, if recognized, would favorably impact the effective tax rate. It is our policy to classify accrued interest and penalties related to unrecognized tax benefits in the provision for income taxes. As of June 30, 2016, we had accrued $7.9 million for estimated interest related to uncertain tax positions.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file income tax returns in the U.S. federal jurisdiction, and various U.S. state and foreign jurisdictions. The statute of limitations is open for years that generated state net operating loss carryforwards and after 2009 for state jurisdictions. Additionally, we have foreign net operating losses that have an indefinite life. Generally, we are no longer subject to non-U.S. income tax examinations by tax authorities for tax years prior to 2009. We are no longer subject to examination by U.S. federal tax authorities for tax years prior to 2012. We are currently under examination by U.S federal income tax authorities for the tax years 2012, 2013, and 2014. In addition, the tax authorities in France are examining the inter-company relationship between Fortinet Inc., Fortinet France and Fortinet Singapore. We are in the early stages of this inquiry and as of yet no official audit has been opened.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PLANS</w:t>
      </w:r>
    </w:p>
    <w:p>
      <w:pPr>
        <w:spacing w:after="0" w:line="229"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the 401(k) Plan and RRSP for the three months ended June 30, 2016 and June 30, 2015 were $1.2 million and $0.9 million, respectively. Our matching contributions to the 401(k) Plan and RRSP during the six months ended June 30, 2016 and June 30, 2015 were $2.2 million and $1.8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SIGNIFICANT CUSTOMER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and property and equipment— net by geographic region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8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8"/>
                <w:szCs w:val="18"/>
                <w:color w:val="auto"/>
              </w:rPr>
            </w:pPr>
          </w:p>
        </w:tc>
        <w:tc>
          <w:tcPr>
            <w:tcW w:w="130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176"/>
        </w:trPr>
        <w:tc>
          <w:tcPr>
            <w:tcW w:w="5160" w:type="dxa"/>
            <w:vAlign w:val="bottom"/>
            <w:gridSpan w:val="4"/>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5"/>
                <w:szCs w:val="15"/>
                <w:color w:val="auto"/>
              </w:rPr>
            </w:pPr>
          </w:p>
        </w:tc>
        <w:tc>
          <w:tcPr>
            <w:tcW w:w="122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2"/>
              <w:spacing w:after="0" w:line="176" w:lineRule="exact"/>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2"/>
              <w:spacing w:after="0" w:line="176" w:lineRule="exact"/>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30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80,811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71,224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156,369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129,725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Other Americas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18,053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11,178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23,779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132,646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108,593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200,153</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Europe, Middle East, and Africa (“EMEA”)</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114,453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83,404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219,944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159,068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Asia Pacific (“APAC”)</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47,788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93,450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120" w:type="dxa"/>
            <w:vAlign w:val="bottom"/>
            <w:gridSpan w:val="3"/>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311,391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239,785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595,967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452,671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1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24"/>
                <w:szCs w:val="24"/>
                <w:color w:val="auto"/>
              </w:rPr>
            </w:pPr>
          </w:p>
        </w:tc>
        <w:tc>
          <w:tcPr>
            <w:tcW w:w="130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76"/>
        </w:trPr>
        <w:tc>
          <w:tcPr>
            <w:tcW w:w="516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212"/>
              <w:spacing w:after="0" w:line="176" w:lineRule="exact"/>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2"/>
              <w:spacing w:after="0" w:line="176" w:lineRule="exact"/>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60" w:type="dxa"/>
            <w:vAlign w:val="bottom"/>
            <w:gridSpan w:val="4"/>
            <w:vMerge w:val="restart"/>
          </w:tcPr>
          <w:p>
            <w:pPr>
              <w:ind w:left="40"/>
              <w:spacing w:after="0"/>
              <w:rPr>
                <w:sz w:val="20"/>
                <w:szCs w:val="20"/>
                <w:color w:val="auto"/>
              </w:rPr>
            </w:pPr>
            <w:r>
              <w:rPr>
                <w:rFonts w:ascii="Arial" w:cs="Arial" w:eastAsia="Arial" w:hAnsi="Arial"/>
                <w:sz w:val="18"/>
                <w:szCs w:val="18"/>
                <w:color w:val="auto"/>
              </w:rPr>
              <w:t>Americas:</w:t>
            </w: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60" w:type="dxa"/>
            <w:vAlign w:val="bottom"/>
            <w:gridSpan w:val="4"/>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Other Americas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70,036</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EMEA:</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Other EMEA</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EMEA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APAC</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125,636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91,067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vMerge w:val="restart"/>
          </w:tcPr>
          <w:p>
            <w:pPr>
              <w:jc w:val="right"/>
              <w:ind w:right="77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our 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72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2"/>
          </w:tcPr>
          <w:p>
            <w:pPr>
              <w:jc w:val="right"/>
              <w:ind w:right="85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980" w:type="dxa"/>
            <w:vAlign w:val="bottom"/>
          </w:tcPr>
          <w:p>
            <w:pPr>
              <w:spacing w:after="0"/>
              <w:rPr>
                <w:sz w:val="18"/>
                <w:szCs w:val="18"/>
                <w:color w:val="auto"/>
              </w:rPr>
            </w:pPr>
          </w:p>
        </w:tc>
        <w:tc>
          <w:tcPr>
            <w:tcW w:w="1100" w:type="dxa"/>
            <w:vAlign w:val="bottom"/>
          </w:tcPr>
          <w:p>
            <w:pPr>
              <w:jc w:val="center"/>
              <w:ind w:left="299"/>
              <w:spacing w:after="0"/>
              <w:rPr>
                <w:sz w:val="20"/>
                <w:szCs w:val="20"/>
                <w:color w:val="auto"/>
              </w:rPr>
            </w:pPr>
            <w:r>
              <w:rPr>
                <w:rFonts w:ascii="Arial" w:cs="Arial" w:eastAsia="Arial" w:hAnsi="Arial"/>
                <w:sz w:val="16"/>
                <w:szCs w:val="16"/>
                <w:b w:val="1"/>
                <w:bCs w:val="1"/>
                <w:color w:val="auto"/>
                <w:w w:val="87"/>
              </w:rPr>
              <w:t>June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299"/>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675"/>
              <w:spacing w:after="0"/>
              <w:rPr>
                <w:sz w:val="20"/>
                <w:szCs w:val="20"/>
                <w:color w:val="auto"/>
              </w:rPr>
            </w:pPr>
            <w:r>
              <w:rPr>
                <w:rFonts w:ascii="Arial" w:cs="Arial" w:eastAsia="Arial" w:hAnsi="Arial"/>
                <w:sz w:val="16"/>
                <w:szCs w:val="16"/>
                <w:b w:val="1"/>
                <w:bCs w:val="1"/>
                <w:color w:val="auto"/>
              </w:rPr>
              <w:t>June 30,</w:t>
            </w:r>
          </w:p>
        </w:tc>
        <w:tc>
          <w:tcPr>
            <w:tcW w:w="1380" w:type="dxa"/>
            <w:vAlign w:val="bottom"/>
          </w:tcPr>
          <w:p>
            <w:pPr>
              <w:jc w:val="right"/>
              <w:ind w:right="41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0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2015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775"/>
              <w:spacing w:after="0"/>
              <w:rPr>
                <w:sz w:val="20"/>
                <w:szCs w:val="20"/>
                <w:color w:val="auto"/>
              </w:rPr>
            </w:pPr>
            <w:r>
              <w:rPr>
                <w:rFonts w:ascii="Arial" w:cs="Arial" w:eastAsia="Arial" w:hAnsi="Arial"/>
                <w:sz w:val="16"/>
                <w:szCs w:val="16"/>
                <w:b w:val="1"/>
                <w:bCs w:val="1"/>
                <w:color w:val="auto"/>
              </w:rPr>
              <w:t>2016</w:t>
            </w:r>
          </w:p>
        </w:tc>
        <w:tc>
          <w:tcPr>
            <w:tcW w:w="1380" w:type="dxa"/>
            <w:vAlign w:val="bottom"/>
          </w:tcPr>
          <w:p>
            <w:pPr>
              <w:jc w:val="right"/>
              <w:ind w:right="514"/>
              <w:spacing w:after="0"/>
              <w:rPr>
                <w:sz w:val="20"/>
                <w:szCs w:val="20"/>
                <w:color w:val="auto"/>
              </w:rPr>
            </w:pPr>
            <w:r>
              <w:rPr>
                <w:rFonts w:ascii="Arial" w:cs="Arial" w:eastAsia="Arial" w:hAnsi="Arial"/>
                <w:sz w:val="16"/>
                <w:szCs w:val="16"/>
                <w:b w:val="1"/>
                <w:bCs w:val="1"/>
                <w:color w:val="auto"/>
              </w:rPr>
              <w:t>2015</w:t>
            </w:r>
          </w:p>
        </w:tc>
      </w:tr>
      <w:tr>
        <w:trPr>
          <w:trHeight w:val="33"/>
        </w:trPr>
        <w:tc>
          <w:tcPr>
            <w:tcW w:w="4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20%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Ingram Micro</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Represents less than 10%</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1120" w:type="dxa"/>
            <w:vAlign w:val="bottom"/>
          </w:tcPr>
          <w:p>
            <w:pPr>
              <w:jc w:val="center"/>
              <w:ind w:left="339"/>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ind w:right="2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93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34"/>
              <w:spacing w:after="0"/>
              <w:rPr>
                <w:sz w:val="20"/>
                <w:szCs w:val="20"/>
                <w:color w:val="auto"/>
              </w:rPr>
            </w:pPr>
            <w:r>
              <w:rPr>
                <w:rFonts w:ascii="Arial" w:cs="Arial" w:eastAsia="Arial" w:hAnsi="Arial"/>
                <w:sz w:val="16"/>
                <w:szCs w:val="16"/>
                <w:b w:val="1"/>
                <w:bCs w:val="1"/>
                <w:color w:val="auto"/>
              </w:rPr>
              <w:t>2015</w:t>
            </w:r>
          </w:p>
        </w:tc>
      </w:tr>
      <w:tr>
        <w:trPr>
          <w:trHeight w:val="33"/>
        </w:trPr>
        <w:tc>
          <w:tcPr>
            <w:tcW w:w="8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9320" w:type="dxa"/>
            <w:vAlign w:val="bottom"/>
            <w:gridSpan w:val="2"/>
          </w:tcPr>
          <w:p>
            <w:pPr>
              <w:ind w:left="40"/>
              <w:spacing w:after="0"/>
              <w:rPr>
                <w:sz w:val="20"/>
                <w:szCs w:val="20"/>
                <w:color w:val="auto"/>
              </w:rPr>
            </w:pPr>
            <w:r>
              <w:rPr>
                <w:rFonts w:ascii="Arial" w:cs="Arial" w:eastAsia="Arial" w:hAnsi="Arial"/>
                <w:sz w:val="18"/>
                <w:szCs w:val="18"/>
                <w:color w:val="auto"/>
              </w:rPr>
              <w:t>Fine Tec Computers</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w:t>
            </w:r>
          </w:p>
        </w:tc>
      </w:tr>
    </w:tbl>
    <w:p>
      <w:pPr>
        <w:spacing w:after="0" w:line="24"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8"/>
          <w:szCs w:val="18"/>
          <w:color w:val="auto"/>
        </w:rPr>
      </w:pPr>
      <w:r>
        <w:rPr>
          <w:rFonts w:ascii="Arial" w:cs="Arial" w:eastAsia="Arial" w:hAnsi="Arial"/>
          <w:sz w:val="14"/>
          <w:szCs w:val="14"/>
          <w:color w:val="auto"/>
        </w:rPr>
        <w:t>Represents less than 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accumulated balances of other comprehensive income or loss were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2016</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Tax benefit</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(provision) related to</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items of other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Gains/Losses on</w:t>
            </w:r>
          </w:p>
        </w:tc>
        <w:tc>
          <w:tcPr>
            <w:tcW w:w="20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comprehensive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Investments</w:t>
            </w: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income or loss</w:t>
            </w:r>
          </w:p>
        </w:tc>
        <w:tc>
          <w:tcPr>
            <w:tcW w:w="36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638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1,659</w:t>
            </w:r>
          </w:p>
        </w:tc>
      </w:tr>
      <w:tr>
        <w:trPr>
          <w:trHeight w:val="27"/>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1,657</w:t>
            </w:r>
          </w:p>
        </w:tc>
      </w:tr>
      <w:tr>
        <w:trPr>
          <w:trHeight w:val="27"/>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details of reclassification out of accumulated other comprehensive income (loss) were (in thousands):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wp:posOffset>
            </wp:positionV>
            <wp:extent cx="7203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Reclassified from</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jc w:val="center"/>
              <w:ind w:right="94"/>
              <w:spacing w:after="0"/>
              <w:rPr>
                <w:sz w:val="20"/>
                <w:szCs w:val="20"/>
                <w:color w:val="auto"/>
              </w:rPr>
            </w:pPr>
            <w:r>
              <w:rPr>
                <w:rFonts w:ascii="Arial" w:cs="Arial" w:eastAsia="Arial" w:hAnsi="Arial"/>
                <w:sz w:val="16"/>
                <w:szCs w:val="16"/>
                <w:b w:val="1"/>
                <w:bCs w:val="1"/>
                <w:color w:val="auto"/>
                <w:w w:val="93"/>
              </w:rPr>
              <w:t>Accumulated Other</w:t>
            </w:r>
          </w:p>
        </w:tc>
        <w:tc>
          <w:tcPr>
            <w:tcW w:w="10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2"/>
              </w:rPr>
              <w:t>Affected Line Item in the Statement</w:t>
            </w:r>
          </w:p>
        </w:tc>
        <w:tc>
          <w:tcPr>
            <w:tcW w:w="0" w:type="dxa"/>
            <w:vAlign w:val="bottom"/>
          </w:tcPr>
          <w:p>
            <w:pPr>
              <w:spacing w:after="0"/>
              <w:rPr>
                <w:sz w:val="1"/>
                <w:szCs w:val="1"/>
                <w:color w:val="auto"/>
              </w:rPr>
            </w:pPr>
          </w:p>
        </w:tc>
      </w:tr>
      <w:tr>
        <w:trPr>
          <w:trHeight w:val="210"/>
        </w:trPr>
        <w:tc>
          <w:tcPr>
            <w:tcW w:w="5580" w:type="dxa"/>
            <w:vAlign w:val="bottom"/>
          </w:tcPr>
          <w:p>
            <w:pPr>
              <w:ind w:left="680"/>
              <w:spacing w:after="0"/>
              <w:rPr>
                <w:sz w:val="20"/>
                <w:szCs w:val="20"/>
                <w:color w:val="auto"/>
              </w:rPr>
            </w:pPr>
            <w:r>
              <w:rPr>
                <w:rFonts w:ascii="Arial" w:cs="Arial" w:eastAsia="Arial" w:hAnsi="Arial"/>
                <w:sz w:val="16"/>
                <w:szCs w:val="16"/>
                <w:b w:val="1"/>
                <w:bCs w:val="1"/>
                <w:color w:val="auto"/>
                <w:w w:val="90"/>
              </w:rPr>
              <w:t>Details about Accumulated Other Comprehensive Income Components</w:t>
            </w:r>
          </w:p>
        </w:tc>
        <w:tc>
          <w:tcPr>
            <w:tcW w:w="68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Comprehensive Income (Loss)</w:t>
            </w:r>
          </w:p>
        </w:tc>
        <w:tc>
          <w:tcPr>
            <w:tcW w:w="10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Where Net Income is Presented</w:t>
            </w:r>
          </w:p>
        </w:tc>
        <w:tc>
          <w:tcPr>
            <w:tcW w:w="0" w:type="dxa"/>
            <w:vAlign w:val="bottom"/>
          </w:tcPr>
          <w:p>
            <w:pPr>
              <w:spacing w:after="0"/>
              <w:rPr>
                <w:sz w:val="1"/>
                <w:szCs w:val="1"/>
                <w:color w:val="auto"/>
              </w:rPr>
            </w:pPr>
          </w:p>
        </w:tc>
      </w:tr>
      <w:tr>
        <w:trPr>
          <w:trHeight w:val="33"/>
        </w:trPr>
        <w:tc>
          <w:tcPr>
            <w:tcW w:w="5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losses on investments</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Tax benefit related to items of other comprehensive loss</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40" w:type="dxa"/>
            <w:vAlign w:val="bottom"/>
            <w:gridSpan w:val="3"/>
          </w:tcPr>
          <w:p>
            <w:pPr>
              <w:ind w:left="1900"/>
              <w:spacing w:after="0"/>
              <w:rPr>
                <w:sz w:val="20"/>
                <w:szCs w:val="20"/>
                <w:color w:val="auto"/>
              </w:rPr>
            </w:pPr>
            <w:r>
              <w:rPr>
                <w:rFonts w:ascii="Arial" w:cs="Arial" w:eastAsia="Arial" w:hAnsi="Arial"/>
                <w:sz w:val="18"/>
                <w:szCs w:val="18"/>
                <w:color w:val="auto"/>
              </w:rPr>
              <w:t>1   Provision for income taxes</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reclassification for the period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410"/>
              <w:spacing w:after="0"/>
              <w:rPr>
                <w:sz w:val="20"/>
                <w:szCs w:val="20"/>
                <w:color w:val="auto"/>
              </w:rPr>
            </w:pPr>
            <w:r>
              <w:rPr>
                <w:rFonts w:ascii="Arial" w:cs="Arial" w:eastAsia="Arial" w:hAnsi="Arial"/>
                <w:sz w:val="18"/>
                <w:szCs w:val="18"/>
                <w:color w:val="auto"/>
                <w:w w:val="79"/>
              </w:rPr>
              <w:t>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FOREIGN CURRENCY DERIVATIVES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sales contracts are primarily denominated in U.S. dollars and therefore substantially all of our revenue is not subject to foreign currency translation risk. However, a substantial portion of our operating expenses incurred outside the United States is denominated in foreign currencies and is subject to fluctuations due to changes in foreign currency exchange rates, particularly changes in the Canadian dollar (“CAD”), Euro (“EUR”), Great British pound (“GBP”), and Chinese yen (“CNY”). To help protect against significant fluctuations in value and the volatility of future cash flows caused by changes in currency exchange rates, we engage in foreign currency risk management activities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between one and three months. Changes in the fair value of forward exchange contracts related to balance sheet accounts are insignificant and are included in Other expense—net in the condensed consolidated statement of operations. As of June 30, 2016, the fair value of the forward exchange contracts was not material.</w:t>
      </w:r>
    </w:p>
    <w:p>
      <w:pPr>
        <w:spacing w:after="0" w:line="18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Additionally, independent of any hedging activities, fluctuations in foreign currency exchange rates may cause us to recognize transaction gains and losses in our condensed consolidated statements of operations. Our hedging activities are intended to reduce, but not eliminate, the impact of currency exchange rate movements. As our hedging activities are relatively short-term in nature and are focused on the CAD, long-term material changes in the value of the U.S. dollar against other foreign currencies, such as the EUR, GBP and CNY could adversely impact our operating expenses in the future.</w:t>
      </w:r>
    </w:p>
    <w:p>
      <w:pPr>
        <w:spacing w:after="0" w:line="154"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notional amount of forward exchange contracts to hedge balance sheet accounts as of June 30, 2016 and December 31, 2015 were (in thousands):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00" w:type="dxa"/>
            <w:vAlign w:val="bottom"/>
          </w:tcPr>
          <w:p>
            <w:pPr>
              <w:ind w:left="460"/>
              <w:spacing w:after="0"/>
              <w:rPr>
                <w:sz w:val="20"/>
                <w:szCs w:val="20"/>
                <w:color w:val="auto"/>
              </w:rPr>
            </w:pPr>
            <w:r>
              <w:rPr>
                <w:rFonts w:ascii="Arial" w:cs="Arial" w:eastAsia="Arial" w:hAnsi="Arial"/>
                <w:sz w:val="16"/>
                <w:szCs w:val="16"/>
                <w:b w:val="1"/>
                <w:bCs w:val="1"/>
                <w:color w:val="auto"/>
                <w:w w:val="98"/>
              </w:rPr>
              <w:t>Buy/Sell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53"/>
              <w:spacing w:after="0"/>
              <w:rPr>
                <w:sz w:val="20"/>
                <w:szCs w:val="20"/>
                <w:color w:val="auto"/>
              </w:rPr>
            </w:pPr>
            <w:r>
              <w:rPr>
                <w:rFonts w:ascii="Arial" w:cs="Arial" w:eastAsia="Arial" w:hAnsi="Arial"/>
                <w:sz w:val="16"/>
                <w:szCs w:val="16"/>
                <w:b w:val="1"/>
                <w:bCs w:val="1"/>
                <w:color w:val="auto"/>
              </w:rPr>
              <w:t>Notional</w:t>
            </w:r>
          </w:p>
        </w:tc>
      </w:tr>
      <w:tr>
        <w:trPr>
          <w:trHeight w:val="33"/>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9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Balance Sheet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940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Currency—As of June 30, 2016</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CAD</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Sell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7,209</w:t>
            </w:r>
          </w:p>
        </w:tc>
      </w:tr>
      <w:tr>
        <w:trPr>
          <w:trHeight w:val="297"/>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Currency—As of December 31, 2015</w:t>
            </w:r>
          </w:p>
        </w:tc>
        <w:tc>
          <w:tcPr>
            <w:tcW w:w="658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400" w:type="dxa"/>
            <w:vAlign w:val="bottom"/>
            <w:gridSpan w:val="4"/>
          </w:tcPr>
          <w:p>
            <w:pPr>
              <w:spacing w:after="0"/>
              <w:rPr>
                <w:sz w:val="20"/>
                <w:szCs w:val="20"/>
                <w:color w:val="auto"/>
              </w:rPr>
            </w:pPr>
            <w:r>
              <w:rPr>
                <w:rFonts w:ascii="Arial" w:cs="Arial" w:eastAsia="Arial" w:hAnsi="Arial"/>
                <w:sz w:val="18"/>
                <w:szCs w:val="18"/>
                <w:color w:val="auto"/>
              </w:rPr>
              <w:t>CAD</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Sell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7,011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son of one member of our board of directors is a partner of an outside law firm that we utilize for certain complex litigation matters. Expenses for legal services provided by the law firm related to matters that arose subsequent to the member joining our board of directors were $0.1 million and $0.9 million during the three months ended June 30, 2016 and June 30, 2015, respectively. No contingent fees were incurred during the three months ended June 30, 2016 and June 30, 2015. Expenses for legal services provided by the law firm related to matters that arose subsequent to the member joining our board of directors were $0.4 million and $2.8 million during the six months ended June 30, 2016 and June 30, 2015, respectively. Of such amounts, $0.2 million and $0.5 million were incurred under contingent fee arrangements during the six months ended June 30, 2016 and June 30, 2015, respectively. Amounts due and payable to the law firm were $0.3 million and $5.3 million as of June 30, 2016 and December 31, 2015,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and Section 21E of the Exchange Act. These statements include, among other things, statements concerning our expectations regarding:</w:t>
      </w:r>
    </w:p>
    <w:p>
      <w:pPr>
        <w:spacing w:after="0" w:line="124"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25" w:lineRule="exact"/>
        <w:rPr>
          <w:rFonts w:ascii="Arial" w:cs="Arial" w:eastAsia="Arial" w:hAnsi="Arial"/>
          <w:sz w:val="18"/>
          <w:szCs w:val="18"/>
          <w:i w:val="1"/>
          <w:iCs w:val="1"/>
          <w:color w:val="auto"/>
        </w:rPr>
      </w:pPr>
    </w:p>
    <w:p>
      <w:pPr>
        <w:ind w:left="1300" w:right="4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and other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functionality and value in our security subscription and support service offerings;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growing our sales to enterprise, service provider and government organizations, and the impact of sales to these organizations on our long-term growth, expansion and operating results;</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 as a percentage of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managing our continued investments in sales and marketing, and the impact of those investments;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capital expenditures;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integration of acquired companies and technologies and expectations related to acquisitions;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success of our recently implemented enterprise resource planning (“ERP”) system;</w:t>
      </w:r>
    </w:p>
    <w:p>
      <w:pPr>
        <w:spacing w:after="0" w:line="225" w:lineRule="exact"/>
        <w:rPr>
          <w:rFonts w:ascii="Arial" w:cs="Arial" w:eastAsia="Arial" w:hAnsi="Arial"/>
          <w:sz w:val="18"/>
          <w:szCs w:val="18"/>
          <w:i w:val="1"/>
          <w:iCs w:val="1"/>
          <w:color w:val="auto"/>
        </w:rPr>
      </w:pPr>
    </w:p>
    <w:p>
      <w:pPr>
        <w:ind w:left="1300" w:right="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provide high performance cybersecurity solutions to a wide variety of enterprises, service providers and government organizations of all sizes across the globe, including a majority of the 2015 Fortune 100. Our cybersecurity solutions are designed to provide broad, rapid protection against dynamic security threats while simplifying the IT infrastructure of our end-customers worldwide.</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common operating system, centralized management and open application program interfaces allow many of the solutions in our portfolio to be combined to create an integrated security architecture (</w:t>
      </w:r>
      <w:r>
        <w:rPr>
          <w:rFonts w:ascii="Arial" w:cs="Arial" w:eastAsia="Arial" w:hAnsi="Arial"/>
          <w:sz w:val="18"/>
          <w:szCs w:val="18"/>
          <w:i w:val="1"/>
          <w:iCs w:val="1"/>
          <w:color w:val="auto"/>
        </w:rPr>
        <w:t>“</w:t>
      </w:r>
      <w:r>
        <w:rPr>
          <w:rFonts w:ascii="Arial" w:cs="Arial" w:eastAsia="Arial" w:hAnsi="Arial"/>
          <w:sz w:val="18"/>
          <w:szCs w:val="18"/>
          <w:color w:val="auto"/>
        </w:rPr>
        <w:t>Fortinet Security Fabric</w:t>
      </w:r>
      <w:r>
        <w:rPr>
          <w:rFonts w:ascii="Arial" w:cs="Arial" w:eastAsia="Arial" w:hAnsi="Arial"/>
          <w:sz w:val="18"/>
          <w:szCs w:val="18"/>
          <w:i w:val="1"/>
          <w:iCs w:val="1"/>
          <w:color w:val="auto"/>
        </w:rPr>
        <w:t>”</w:t>
      </w:r>
      <w:r>
        <w:rPr>
          <w:rFonts w:ascii="Arial" w:cs="Arial" w:eastAsia="Arial" w:hAnsi="Arial"/>
          <w:sz w:val="18"/>
          <w:szCs w:val="18"/>
          <w:color w:val="auto"/>
        </w:rPr>
        <w:t>) designed to address sophisticated threats and next-generation environments. The Fortinet Security Fabric connects our products, services and ecosystem partner solutions to help provide seamless protection at all points in the network, from endpoint to data center to cloud, regardless of whether deployed in physical, virtual or hybrid environments. Our Security Fabric delivers integrated scalability, access, awareness, security and openness both from the cloud and for the cloud. At the core of our Security Fabric is our FortiGate physical and virtual appliances, which ship with a set of broad security services, including firewall, virtual private network, application control, intrusion prevention, web filtering and advanced threat protection. These security services are enabled by our FortiGuard Labs, which provides extensive threat research and a global cloud network to deliver protection services to each FortiGate appliance. FortiGate also has extensive networking capabilities such as switching, routing, native internet protocol version 6 and different modes of deployment. FortiManager provides central management and FortiAnalyzer provides reporting and analytics.</w:t>
      </w:r>
    </w:p>
    <w:p>
      <w:pPr>
        <w:spacing w:after="0" w:line="19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Enterprise customers select the form factor and deployment method that best meet their specific security requirements, such as a high-speed data center firewall at the network core, a next generation firewall at the edge or a distributed firewall solutions at branch sites. Small businesses tend to deploy unified threat management devices. We derive a substantial majority of product sales from our FortiGate appliances, which range from the FortiGate-20 to -100 series, designed for small businesses or distributed enterprises, FortiGate-200 to -900 series for mid-sized enterprises, to the FortiGate-1000 to -6000 series for large enterprises and service providers. Our network security platform also includes our FortiGuard security subscription services, to which end-customers can subscribe in order to obtain access to dynamic updates to application control, anti-virus, intrusion prevention, web filtering, and anti-spam functionality. End-customers can also choose to purchase FortiCare technical support services for our products. End-customers also often use FortiManager and FortiAnalyzer products in conjunction with a FortiGate deployment to provide centralized management and analysis and reporting capabilities.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complement our core FortiGate product line with other appliances and software licenses that offer additional protection from security threats to other critical areas of the enterprise, such as our secure wireless and access solutions, advanced threat protection, secure email gateway, web application firewalls, application delivery controllers, database security, distributed denial of service protection, and endpoint security for employee computers and mobile devices. Sales of these complementary products have grown in recent quarters.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60" w:hanging="328"/>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recorded total revenue of $311.4 million and $596.0 million during the three and six months ended June 30, 2016, respectively, an increase of 30% and 32%, respectively, compared to the same periods last year. Product revenue was $136.6 million and $261.2 million during the three and six months ended June 30, 2016, an increase of 19% and 23% compared to the same periods last year. Service revenue was $174.8 million and $334.8 million during the three and six months ended June 30, 2016, an increase of 40% and 39% compared to the same periods last year.</w:t>
      </w:r>
    </w:p>
    <w:p>
      <w:pPr>
        <w:spacing w:after="0" w:line="15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Cash, cash equivalents and investments were $1.22 billion as of June 30, 2016, an increase of $57.7 million, or 5%, from December 31, 2015.</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revenue was $904.0 million as of June 30, 2016, an increase of $112.7 million, or 14%, from December 31, 2015</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$168.5 million during the six months ended June 30, 2016, an increase of $19.6 million, or 13%, compared to the same period last year.</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June 2016, we acquired AccelOps, a </w:t>
      </w:r>
      <w:r>
        <w:rPr>
          <w:rFonts w:ascii="Arial" w:cs="Arial" w:eastAsia="Arial" w:hAnsi="Arial"/>
          <w:sz w:val="18"/>
          <w:szCs w:val="18"/>
          <w:color w:val="2C2C2C"/>
        </w:rPr>
        <w:t>provider of network security monitoring and analytics solutions, for a total cash consideration of $22.3</w:t>
      </w:r>
      <w:r>
        <w:rPr>
          <w:rFonts w:ascii="Arial" w:cs="Arial" w:eastAsia="Arial" w:hAnsi="Arial"/>
          <w:sz w:val="18"/>
          <w:szCs w:val="18"/>
          <w:color w:val="auto"/>
        </w:rPr>
        <w:t xml:space="preserve"> </w:t>
      </w:r>
      <w:r>
        <w:rPr>
          <w:rFonts w:ascii="Arial" w:cs="Arial" w:eastAsia="Arial" w:hAnsi="Arial"/>
          <w:sz w:val="18"/>
          <w:szCs w:val="18"/>
          <w:color w:val="2C2C2C"/>
        </w:rPr>
        <w:t>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Revenue grew during the three and six months ended June 30, 2016 compared to the same periods last year, as our Security Fabric put us in a strong competitive position in a robust security market. Our strategy to invest in sales and marketing has enabled us to gain more enterprise customers today than we have had in the past. Large enterprises represent significant opportunity for cross-sell and upsell, as they tend to purchase more products and services over time. During the three months ended June 30, 2016, our revenue growth was driven by greater sales of our FortiGate and FortiGuard offerings, as we continued to see diversity of FortiGate product sales across all segments. Our high-end FortiGate products (FortiGate-1000 to -6000 series) accounted for 36% of billings. Our mid-range products (FortiGate-200 to -900 series) accounted for 28% of billings, and our entry-level products (FortiGate-20 to -100 series) accounted for 36% of billings. Service revenue also increased as we continue to add to and charge more for functionality and value in our FortiGuard security subscription, FortiCare technical support and other offerings.</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During the three and six months ended June 30, 2016, operating expenses increased by 38% and 40%, respectively, as compared to the same period last year. The increase was primarily driven by our accelerated pace of hiring and investments made to expand our sales coverage, grow our marketing capabilities, develop new products and scale our customer support. We also continue to invest in research and development to strengthen our technology leadership position. We believe that continued product innovation has strengthened our technology and resulted in market share gains. In addition, we incurred expenses from business design and reengineering related to the implementation of an ERP system. Headcount increased by 37% to 4,562 employees and contractors as of June 30, 2016, up from 3,336 as of June 30,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sales strategy is based on a distribution model whereby we primarily sell our products and services directly to distributors which sell to resellers and service providers, which, in turn, sell to our end-customers. In certain cases, we sell directly to government-focused resellers, large service providers and major systems integrators, which have significant purchasing power and unique customer deployment requirements. Typically, FortiGuard security subscription services and FortiCare technical support services are purchased along with our physical and virtual appliances, most frequently as part of a bundle offering that includes hardware and services. We invoice at the time of our sale for the total price of the products and subscription and technical support services for what has been delivered, and the invoice is generally payable within 30 to 90 days. We generally recognize product revenue up-front and defer revenue for the sale of new, and renewal of existing, FortiGuard security subscription and FortiCare technical support services contracts. We recognize the related service revenue over the service period, which is typically one to three years, although it can be as long as five years. Sales of new and renewal services are a source of recurring revenue and increase our deferred revenue balance, which contributes significantly to our increase in gross margin, as well as our positive cash flow from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monitor a number of financial and operating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cash, cash equivalents and investments, net cash provided by operating activities, and free cash flow.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3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14"/>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43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514"/>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r>
      <w:tr>
        <w:trPr>
          <w:trHeight w:val="217"/>
        </w:trPr>
        <w:tc>
          <w:tcPr>
            <w:tcW w:w="43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3"/>
          </w:tcPr>
          <w:p>
            <w:pPr>
              <w:jc w:val="right"/>
              <w:ind w:right="95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311,391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239,785</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4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903,981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657,561</w:t>
            </w:r>
          </w:p>
        </w:tc>
      </w:tr>
      <w:tr>
        <w:trPr>
          <w:trHeight w:val="27"/>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4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373,784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297,175</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4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1,221,991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1,148,371</w:t>
            </w:r>
          </w:p>
        </w:tc>
      </w:tr>
      <w:tr>
        <w:trPr>
          <w:trHeight w:val="27"/>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67,941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84,305</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4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53,498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73,544</w:t>
            </w:r>
          </w:p>
        </w:tc>
      </w:tr>
      <w:tr>
        <w:trPr>
          <w:trHeight w:val="702"/>
        </w:trPr>
        <w:tc>
          <w:tcPr>
            <w:tcW w:w="4300" w:type="dxa"/>
            <w:vAlign w:val="bottom"/>
          </w:tcPr>
          <w:p>
            <w:pPr>
              <w:spacing w:after="0"/>
              <w:rPr>
                <w:sz w:val="24"/>
                <w:szCs w:val="24"/>
                <w:color w:val="auto"/>
              </w:rPr>
            </w:pPr>
          </w:p>
        </w:tc>
        <w:tc>
          <w:tcPr>
            <w:tcW w:w="4040" w:type="dxa"/>
            <w:vAlign w:val="bottom"/>
          </w:tcPr>
          <w:p>
            <w:pPr>
              <w:jc w:val="right"/>
              <w:ind w:right="245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and the mix of short-term and long-term deferred revenue because it represents a significant portion, and the timing, of revenue to be recognized in future periods.</w:t>
      </w:r>
    </w:p>
    <w:p>
      <w:pPr>
        <w:spacing w:after="0" w:line="15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Billings (Non-GAAP). </w:t>
      </w:r>
      <w:r>
        <w:rPr>
          <w:rFonts w:ascii="Arial" w:cs="Arial" w:eastAsia="Arial" w:hAnsi="Arial"/>
          <w:sz w:val="18"/>
          <w:szCs w:val="18"/>
          <w:color w:val="auto"/>
        </w:rPr>
        <w:t>We define billings as revenue recognized in accordance with GAAP plus the change in deferred revenue from the beginning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period less any deferred revenue balances acquired from business combination(s) during the period. We consider billings to be a useful metric for management and investors because billings drive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w:t>
      </w:r>
    </w:p>
    <w:p>
      <w:pPr>
        <w:spacing w:after="0" w:line="18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billings to revenue, the most directly comparable financial measure calculated and presented in accordance with GAAP,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953"/>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311,391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239,785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increase in 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57,390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Less deferred revenue balance acquired in business acquisition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373,784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297,175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capital expenditures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and other property and equipment. We consider free cash flow to be a liquidity measure that provides useful information to management and investors about the amount of cash generated by the business that, after the acquisition of property and equipment, can be used for strategic opportunities, including investing in our business, making strategic acquisitions, repurchasing outstanding common stock and strengthening the balance sheet. Analysis of free cash flow facilitates management’s comparison of our operating results to those of our peer companies. A limitation of using free cash flow rather than the GAAP measure of net cash provided by operating activities as a means for evaluating liquidity is that free cash flow does not represent the total increase or decrease in the cash, cash equivalents and investments balance for the period because it excludes cash provided by or used for other investing and financing activities. Management accounts for this limitation by providing information about our capital expenditures and other investing and financing activities on the face of the cash flow statement and under “—Liquidity and Capital Resources.” A reconciliation of free cash flow to net cash provided by operating activities, the most directly comparable financial measure calculated and presented in accordance with GAAP, is provided below:</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694"/>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954"/>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3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67,941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84,305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38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38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53,498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73,544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60" w:type="dxa"/>
            <w:vAlign w:val="bottom"/>
            <w:vMerge w:val="restart"/>
          </w:tcPr>
          <w:p>
            <w:pPr>
              <w:jc w:val="right"/>
              <w:ind w:right="245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Our estimates include those related to revenue recognition, stock-based compensation expense, valuation of inventory, warranty liabilities, investments, business combinations, restructuring charges, goodwill and other long-lived assets, and accounting for income taxes.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6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Except for the change in certain policies around stock-based compensation as a result of the early adoption of ASU 2016-09, there have been no material changes to our critical accounting policies and estimates as of and for the three and six months ended June 30, 2016, as compared to the critical accounting policies and estimates described in the Form 10-K. See Note 1 to the notes to the condensed consolidated financial statements included in Part I, Item 1 of this Quarterly Report on Form 10-Q for a discussion relating to our change in certain accounting policies related to stock-based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See Note 1 to the notes to the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2016</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3"/>
              <w:spacing w:after="0"/>
              <w:rPr>
                <w:sz w:val="20"/>
                <w:szCs w:val="20"/>
                <w:color w:val="auto"/>
              </w:rPr>
            </w:pPr>
            <w:r>
              <w:rPr>
                <w:rFonts w:ascii="Arial" w:cs="Arial" w:eastAsia="Arial" w:hAnsi="Arial"/>
                <w:sz w:val="16"/>
                <w:szCs w:val="16"/>
                <w:b w:val="1"/>
                <w:bCs w:val="1"/>
                <w:color w:val="auto"/>
                <w:w w:val="89"/>
              </w:rPr>
              <w:t>2015</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136,641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114,777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21,864</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19%</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174,750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49,742</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40</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311,391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239,785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71,606</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30%</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132,646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108,593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24,053</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22%</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114,453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31,049</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37</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64,292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47,788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16,504</w:t>
            </w:r>
          </w:p>
        </w:tc>
        <w:tc>
          <w:tcPr>
            <w:tcW w:w="1420" w:type="dxa"/>
            <w:vAlign w:val="bottom"/>
          </w:tcPr>
          <w:p>
            <w:pPr>
              <w:ind w:left="1060"/>
              <w:spacing w:after="0"/>
              <w:rPr>
                <w:sz w:val="20"/>
                <w:szCs w:val="20"/>
                <w:color w:val="auto"/>
              </w:rPr>
            </w:pPr>
            <w:r>
              <w:rPr>
                <w:rFonts w:ascii="Arial" w:cs="Arial" w:eastAsia="Arial" w:hAnsi="Arial"/>
                <w:sz w:val="18"/>
                <w:szCs w:val="18"/>
                <w:color w:val="auto"/>
              </w:rPr>
              <w:t>35</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311,391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239,785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71,606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30%</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Total revenue increased by $71.6 million, or 30%, during the three months ended June 30, 2016 compared to the same period last year. On a geographic basis, revenue continued to be diversified globally. All three regions experienced revenue growth compared to the same period last year, with EMEA contributing to the largest portion of our revenue growth on both an absolute dollar and a percentage basis. Product revenue increased by $21.9 million, or 19%, during the three months ended June 30, 2016 compared to the same period last year. The increase in product revenue was primarily driven by greater sales of our FortiGate product family, as well as growth in other product lines. Service revenue increased by $49.7 million, or 40%, during the three months ended June 30, 2016 compared to the same period last year.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 Service revenue also increased as we continue to add to and charge more for functionality and value in our FortiGuard security subscription, FortiCare technical support and other offerings.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592"/>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gridSpan w:val="4"/>
          </w:tcPr>
          <w:p>
            <w:pPr>
              <w:ind w:left="400"/>
              <w:spacing w:after="0"/>
              <w:rPr>
                <w:sz w:val="20"/>
                <w:szCs w:val="20"/>
                <w:color w:val="auto"/>
              </w:rPr>
            </w:pPr>
            <w:r>
              <w:rPr>
                <w:rFonts w:ascii="Arial" w:cs="Arial" w:eastAsia="Arial" w:hAnsi="Arial"/>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800"/>
              <w:spacing w:after="0"/>
              <w:rPr>
                <w:sz w:val="20"/>
                <w:szCs w:val="20"/>
                <w:color w:val="auto"/>
              </w:rPr>
            </w:pPr>
            <w:r>
              <w:rPr>
                <w:rFonts w:ascii="Arial" w:cs="Arial" w:eastAsia="Arial" w:hAnsi="Arial"/>
                <w:sz w:val="18"/>
                <w:szCs w:val="18"/>
                <w:color w:val="auto"/>
              </w:rPr>
              <w:t>52,788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47,397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5,391</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11%</w:t>
            </w:r>
          </w:p>
        </w:tc>
      </w:tr>
      <w:tr>
        <w:trPr>
          <w:trHeight w:val="27"/>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31,715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22,101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9,614</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44</w:t>
            </w:r>
          </w:p>
        </w:tc>
      </w:tr>
      <w:tr>
        <w:trPr>
          <w:trHeight w:val="257"/>
        </w:trPr>
        <w:tc>
          <w:tcPr>
            <w:tcW w:w="3620" w:type="dxa"/>
            <w:vAlign w:val="bottom"/>
          </w:tcPr>
          <w:p>
            <w:pPr>
              <w:jc w:val="center"/>
              <w:ind w:right="1950"/>
              <w:spacing w:after="0"/>
              <w:rPr>
                <w:sz w:val="20"/>
                <w:szCs w:val="20"/>
                <w:color w:val="auto"/>
              </w:rPr>
            </w:pPr>
            <w:r>
              <w:rPr>
                <w:rFonts w:ascii="Arial" w:cs="Arial" w:eastAsia="Arial" w:hAnsi="Arial"/>
                <w:sz w:val="18"/>
                <w:szCs w:val="18"/>
                <w:color w:val="auto"/>
                <w:w w:val="89"/>
              </w:rPr>
              <w:t>Total cost of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84,503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69,498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15,005</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22%</w:t>
            </w:r>
          </w:p>
        </w:tc>
      </w:tr>
      <w:tr>
        <w:trPr>
          <w:trHeight w:val="20"/>
        </w:trPr>
        <w:tc>
          <w:tcPr>
            <w:tcW w:w="3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Gross margin (%):</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500"/>
              <w:spacing w:after="0"/>
              <w:rPr>
                <w:sz w:val="20"/>
                <w:szCs w:val="20"/>
                <w:color w:val="auto"/>
              </w:rPr>
            </w:pPr>
            <w:r>
              <w:rPr>
                <w:rFonts w:ascii="Arial" w:cs="Arial" w:eastAsia="Arial" w:hAnsi="Arial"/>
                <w:sz w:val="18"/>
                <w:szCs w:val="18"/>
                <w:color w:val="auto"/>
              </w:rPr>
              <w:t>Product</w:t>
            </w:r>
          </w:p>
        </w:tc>
        <w:tc>
          <w:tcPr>
            <w:tcW w:w="3020" w:type="dxa"/>
            <w:vAlign w:val="bottom"/>
          </w:tcPr>
          <w:p>
            <w:pPr>
              <w:ind w:left="1800"/>
              <w:spacing w:after="0"/>
              <w:rPr>
                <w:sz w:val="20"/>
                <w:szCs w:val="20"/>
                <w:color w:val="auto"/>
              </w:rPr>
            </w:pPr>
            <w:r>
              <w:rPr>
                <w:rFonts w:ascii="Arial" w:cs="Arial" w:eastAsia="Arial" w:hAnsi="Arial"/>
                <w:sz w:val="18"/>
                <w:szCs w:val="18"/>
                <w:color w:val="auto"/>
              </w:rPr>
              <w:t>61.4%</w:t>
            </w:r>
          </w:p>
        </w:tc>
        <w:tc>
          <w:tcPr>
            <w:tcW w:w="1980" w:type="dxa"/>
            <w:vAlign w:val="bottom"/>
          </w:tcPr>
          <w:p>
            <w:pPr>
              <w:ind w:left="740"/>
              <w:spacing w:after="0"/>
              <w:rPr>
                <w:sz w:val="20"/>
                <w:szCs w:val="20"/>
                <w:color w:val="auto"/>
              </w:rPr>
            </w:pPr>
            <w:r>
              <w:rPr>
                <w:rFonts w:ascii="Arial" w:cs="Arial" w:eastAsia="Arial" w:hAnsi="Arial"/>
                <w:sz w:val="18"/>
                <w:szCs w:val="18"/>
                <w:color w:val="auto"/>
              </w:rPr>
              <w:t>58.7%</w:t>
            </w:r>
          </w:p>
        </w:tc>
        <w:tc>
          <w:tcPr>
            <w:tcW w:w="3240" w:type="dxa"/>
            <w:vAlign w:val="bottom"/>
          </w:tcPr>
          <w:p>
            <w:pPr>
              <w:jc w:val="right"/>
              <w:ind w:right="1910"/>
              <w:spacing w:after="0"/>
              <w:rPr>
                <w:sz w:val="20"/>
                <w:szCs w:val="20"/>
                <w:color w:val="auto"/>
              </w:rPr>
            </w:pPr>
            <w:r>
              <w:rPr>
                <w:rFonts w:ascii="Arial" w:cs="Arial" w:eastAsia="Arial" w:hAnsi="Arial"/>
                <w:sz w:val="18"/>
                <w:szCs w:val="18"/>
                <w:color w:val="auto"/>
              </w:rPr>
              <w:t>2.7 %</w:t>
            </w:r>
          </w:p>
        </w:tc>
      </w:tr>
      <w:tr>
        <w:trPr>
          <w:trHeight w:val="27"/>
        </w:trPr>
        <w:tc>
          <w:tcPr>
            <w:tcW w:w="31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02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81.9</w:t>
            </w:r>
          </w:p>
        </w:tc>
        <w:tc>
          <w:tcPr>
            <w:tcW w:w="1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82.3</w:t>
            </w:r>
          </w:p>
        </w:tc>
        <w:tc>
          <w:tcPr>
            <w:tcW w:w="3240" w:type="dxa"/>
            <w:vAlign w:val="bottom"/>
            <w:tcBorders>
              <w:bottom w:val="single" w:sz="8" w:color="CCEEFF"/>
            </w:tcBorders>
            <w:shd w:val="clear" w:color="auto" w:fill="CCEEFF"/>
          </w:tcPr>
          <w:p>
            <w:pPr>
              <w:jc w:val="right"/>
              <w:ind w:right="2030"/>
              <w:spacing w:after="0"/>
              <w:rPr>
                <w:sz w:val="20"/>
                <w:szCs w:val="20"/>
                <w:color w:val="auto"/>
              </w:rPr>
            </w:pPr>
            <w:r>
              <w:rPr>
                <w:rFonts w:ascii="Arial" w:cs="Arial" w:eastAsia="Arial" w:hAnsi="Arial"/>
                <w:sz w:val="18"/>
                <w:szCs w:val="18"/>
                <w:color w:val="auto"/>
              </w:rPr>
              <w:t>(0.4)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020" w:type="dxa"/>
            <w:vAlign w:val="bottom"/>
          </w:tcPr>
          <w:p>
            <w:pPr>
              <w:ind w:left="1800"/>
              <w:spacing w:after="0"/>
              <w:rPr>
                <w:sz w:val="20"/>
                <w:szCs w:val="20"/>
                <w:color w:val="auto"/>
              </w:rPr>
            </w:pPr>
            <w:r>
              <w:rPr>
                <w:rFonts w:ascii="Arial" w:cs="Arial" w:eastAsia="Arial" w:hAnsi="Arial"/>
                <w:sz w:val="18"/>
                <w:szCs w:val="18"/>
                <w:color w:val="auto"/>
              </w:rPr>
              <w:t>72.9%</w:t>
            </w:r>
          </w:p>
        </w:tc>
        <w:tc>
          <w:tcPr>
            <w:tcW w:w="1980" w:type="dxa"/>
            <w:vAlign w:val="bottom"/>
          </w:tcPr>
          <w:p>
            <w:pPr>
              <w:ind w:left="740"/>
              <w:spacing w:after="0"/>
              <w:rPr>
                <w:sz w:val="20"/>
                <w:szCs w:val="20"/>
                <w:color w:val="auto"/>
              </w:rPr>
            </w:pPr>
            <w:r>
              <w:rPr>
                <w:rFonts w:ascii="Arial" w:cs="Arial" w:eastAsia="Arial" w:hAnsi="Arial"/>
                <w:sz w:val="18"/>
                <w:szCs w:val="18"/>
                <w:color w:val="auto"/>
              </w:rPr>
              <w:t>71.0%</w:t>
            </w:r>
          </w:p>
        </w:tc>
        <w:tc>
          <w:tcPr>
            <w:tcW w:w="3240" w:type="dxa"/>
            <w:vAlign w:val="bottom"/>
          </w:tcPr>
          <w:p>
            <w:pPr>
              <w:jc w:val="right"/>
              <w:ind w:right="1910"/>
              <w:spacing w:after="0"/>
              <w:rPr>
                <w:sz w:val="20"/>
                <w:szCs w:val="20"/>
                <w:color w:val="auto"/>
              </w:rPr>
            </w:pPr>
            <w:r>
              <w:rPr>
                <w:rFonts w:ascii="Arial" w:cs="Arial" w:eastAsia="Arial" w:hAnsi="Arial"/>
                <w:sz w:val="18"/>
                <w:szCs w:val="18"/>
                <w:color w:val="auto"/>
              </w:rPr>
              <w:t>1.9 %</w:t>
            </w:r>
          </w:p>
        </w:tc>
      </w:tr>
    </w:tbl>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Total gross margin increased by 1.9 percentage points during the three months ended June 30, 2016 compared to the same period last year, primarily driven by an increase in product gross margin. Product gross margin increased by 2.7 percentage points during the three months ended June 30, 2016 compared to the same period last year. Product gross margin was positively impacted by lower warranty expense, as well as higher sales of software products such as certain of our virtualized security solutions.</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Service gross margin decreased by 0.4 percentage points during the three months ended June 30, 2016 as compared to the same period last year. Cost of service revenue increased by $9.6 million primarily due to a $5.8 million increase in personnel costs related to headcount increases. In addition, cost of service revenue increased due to an increase in product replacement costs related to our extended support service offerings.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2016</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4"/>
              <w:spacing w:after="0"/>
              <w:rPr>
                <w:sz w:val="20"/>
                <w:szCs w:val="20"/>
                <w:color w:val="auto"/>
              </w:rPr>
            </w:pPr>
            <w:r>
              <w:rPr>
                <w:rFonts w:ascii="Arial" w:cs="Arial" w:eastAsia="Arial" w:hAnsi="Arial"/>
                <w:sz w:val="16"/>
                <w:szCs w:val="16"/>
                <w:b w:val="1"/>
                <w:bCs w:val="1"/>
                <w:color w:val="auto"/>
                <w:w w:val="89"/>
              </w:rPr>
              <w:t>2015</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45,502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37,389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8,113</w:t>
            </w: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162,694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111,928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50,766</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22,184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18,018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4,166</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230,933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167,335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63,598</w:t>
            </w: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4"/>
                <w:szCs w:val="14"/>
                <w:color w:val="auto"/>
              </w:rPr>
              <w:t>* not meaningful</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Research and development expense increased by $8.1 million, or 22%, during the three months ended June 30, 2016 compared to the same period last year, primarily due to an increase of $6.1 million in personnel costs as a result of increased headcount to support the development of new products and continued enhancements of our existing products. Depreciation and other occupancy-related costs increased by $1.5 million. We intend to continue to invest in our research and development organization, but expect research and development expense as a percentage of total revenue to remain at a relatively comparable level during the remainder of 2016.</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Sales and marketing expense increased by $50.8 million, or 45%, during the three months ended June 30, 2016 compared to the same period last year, primarily due to an increase of $40.1 million in personnel costs as we continued to increase our sales and marketing headcount. Marketing-related expenses increased by $2.8 million as we invested in marketing to drive broader market awareness, create a global marketing engine, build broad market lead generation, nurture programs and accelerate pipeline. In addition, we incurred increases in travel and entertainment expenses of $3.1 million and depreciation expense and occupancy-related costs of $2.1 million. We intend to continue to make investments in our sales resources and infrastructure and marketing strategy, which are critical to support growth, but at a slower pace. As such, we expect sales and marketing expense as a percentage of total revenue to slightly decrease during the remainder of 2016.</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General and administrative expense increased by $4.2 million, or 23%, during the three months ended June 30, 2016 compared to the same period last year. During the three months ended June 30, 2016, we expensed an additional $4.9 million relating to business process design and reengineering in preparation of implementing a new ERP system compared to the same period last year. In addition, personnel costs increased by $2.8 million due to increase in headcount in order to support our expanding business. The increase in expense was partially offset by lower professional fees, such as legal fees, of $1.8 million and other costs of $1.2 million. As a percentage of total revenue, we expect general and administrative expense to remain at a relatively comparable level during the remainder of 2016.</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Restructuring charges of $0.6 million during the three months ended June 30, 2016 primarily relate to our restructuring activities related to the acquisition of AccelOps. See Note 9 to the condensed consolidated financial statements for additional details, including types of expenses incurred and the timing of future expenses and cash payments. See also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“Liquidity and Capital Resources” section of this Part I, Item 2, “Management’s Discussion and Analysis of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740" w:type="dxa"/>
            <w:vAlign w:val="bottom"/>
            <w:gridSpan w:val="4"/>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740" w:type="dxa"/>
            <w:vAlign w:val="bottom"/>
          </w:tcPr>
          <w:p>
            <w:pPr>
              <w:spacing w:after="0"/>
              <w:rPr>
                <w:sz w:val="18"/>
                <w:szCs w:val="18"/>
                <w:color w:val="auto"/>
              </w:rPr>
            </w:pPr>
          </w:p>
        </w:tc>
        <w:tc>
          <w:tcPr>
            <w:tcW w:w="1220" w:type="dxa"/>
            <w:vAlign w:val="bottom"/>
          </w:tcPr>
          <w:p>
            <w:pPr>
              <w:jc w:val="center"/>
              <w:ind w:left="477"/>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55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1220" w:type="dxa"/>
            <w:vAlign w:val="bottom"/>
          </w:tcPr>
          <w:p>
            <w:pPr>
              <w:jc w:val="right"/>
              <w:ind w:right="77"/>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20" w:type="dxa"/>
            <w:vAlign w:val="bottom"/>
            <w:tcBorders>
              <w:bottom w:val="single" w:sz="8" w:color="CCEEFF"/>
            </w:tcBorders>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1,364</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341</w:t>
            </w:r>
          </w:p>
        </w:tc>
        <w:tc>
          <w:tcPr>
            <w:tcW w:w="16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w w:val="94"/>
              </w:rPr>
              <w:t>25%</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(1,350)</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(830)</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(520)</w:t>
            </w:r>
          </w:p>
        </w:tc>
        <w:tc>
          <w:tcPr>
            <w:tcW w:w="1680" w:type="dxa"/>
            <w:vAlign w:val="bottom"/>
          </w:tcPr>
          <w:p>
            <w:pPr>
              <w:ind w:left="1320"/>
              <w:spacing w:after="0"/>
              <w:rPr>
                <w:sz w:val="20"/>
                <w:szCs w:val="20"/>
                <w:color w:val="auto"/>
              </w:rPr>
            </w:pPr>
            <w:r>
              <w:rPr>
                <w:rFonts w:ascii="Arial" w:cs="Arial" w:eastAsia="Arial" w:hAnsi="Arial"/>
                <w:sz w:val="18"/>
                <w:szCs w:val="18"/>
                <w:color w:val="auto"/>
              </w:rPr>
              <w:t>63</w:t>
            </w:r>
          </w:p>
        </w:tc>
      </w:tr>
    </w:tbl>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Interest income increased during the three months ended June 30, 2016 compared to the same period last year due to interest earned on higher invested balances of cash, cash equivalents and investments. Interest income varies depending on our average investment balances during the period, types and mix of investments, and market interest rates. The increase in Other expense—net during the three months ended June 30, 2016 as compared to the same period last year was the result of higher foreign currency exchange losses. Other expense—net consisted primarily of foreign exchange and related hedging gains and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3820" w:type="dxa"/>
            <w:vAlign w:val="bottom"/>
            <w:gridSpan w:val="4"/>
          </w:tcPr>
          <w:p>
            <w:pPr>
              <w:jc w:val="right"/>
              <w:ind w:right="107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580" w:type="dxa"/>
            <w:vAlign w:val="bottom"/>
          </w:tcPr>
          <w:p>
            <w:pPr>
              <w:spacing w:after="0"/>
              <w:rPr>
                <w:sz w:val="18"/>
                <w:szCs w:val="18"/>
                <w:color w:val="auto"/>
              </w:rPr>
            </w:pPr>
          </w:p>
        </w:tc>
        <w:tc>
          <w:tcPr>
            <w:tcW w:w="1200" w:type="dxa"/>
            <w:vAlign w:val="bottom"/>
          </w:tcPr>
          <w:p>
            <w:pPr>
              <w:jc w:val="center"/>
              <w:ind w:left="537"/>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57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1200" w:type="dxa"/>
            <w:vAlign w:val="bottom"/>
          </w:tcPr>
          <w:p>
            <w:pPr>
              <w:jc w:val="right"/>
              <w:ind w:right="17"/>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675"/>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c>
          <w:tcPr>
            <w:tcW w:w="1840" w:type="dxa"/>
            <w:vAlign w:val="bottom"/>
          </w:tcPr>
          <w:p>
            <w:pPr>
              <w:jc w:val="right"/>
              <w:ind w:right="93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5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2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200" w:type="dxa"/>
            <w:vAlign w:val="bottom"/>
            <w:tcBorders>
              <w:bottom w:val="single" w:sz="8" w:color="CCEEFF"/>
            </w:tcBorders>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(2,302)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2,694</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(4,996)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21"/>
                <w:szCs w:val="21"/>
                <w:color w:val="auto"/>
              </w:rPr>
            </w:pPr>
          </w:p>
        </w:tc>
        <w:tc>
          <w:tcPr>
            <w:tcW w:w="1840" w:type="dxa"/>
            <w:vAlign w:val="bottom"/>
          </w:tcPr>
          <w:p>
            <w:pPr>
              <w:jc w:val="right"/>
              <w:ind w:right="273"/>
              <w:spacing w:after="0"/>
              <w:rPr>
                <w:sz w:val="20"/>
                <w:szCs w:val="20"/>
                <w:color w:val="auto"/>
              </w:rPr>
            </w:pPr>
            <w:r>
              <w:rPr>
                <w:rFonts w:ascii="Arial" w:cs="Arial" w:eastAsia="Arial" w:hAnsi="Arial"/>
                <w:sz w:val="18"/>
                <w:szCs w:val="18"/>
                <w:color w:val="auto"/>
              </w:rPr>
              <w:t>(15)%</w:t>
            </w: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191"/>
        </w:trPr>
        <w:tc>
          <w:tcPr>
            <w:tcW w:w="3580" w:type="dxa"/>
            <w:vAlign w:val="bottom"/>
          </w:tcPr>
          <w:p>
            <w:pPr>
              <w:spacing w:after="0"/>
              <w:rPr>
                <w:sz w:val="20"/>
                <w:szCs w:val="20"/>
                <w:color w:val="auto"/>
              </w:rPr>
            </w:pPr>
            <w:r>
              <w:rPr>
                <w:rFonts w:ascii="Arial" w:cs="Arial" w:eastAsia="Arial" w:hAnsi="Arial"/>
                <w:sz w:val="14"/>
                <w:szCs w:val="14"/>
                <w:color w:val="auto"/>
              </w:rPr>
              <w:t>* not meaningful</w:t>
            </w: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spacing w:after="0" w:line="20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effective tax rate was 62% for the three months ended June 30, 2016, as compared to an effective tax rate of 77% for the same period last year. The effective tax rate for the periods presented was comprised of U.S. federal and state taxes, and foreign withholding and income taxes. The changes in the tax provision and effective tax rate were primarily due to the tax benefit from adoption of the new accounting guidance relating to stock-based compensation and the tax benefit from the U.S. federal R&amp;D credit. The tax rate for the three months ended June 30, 2015 did not include a benefit from the U.S. federal R&amp;D credit as the credit had expired in December 2014. In December 2015, the U.S. federal R&amp;D credit was made permanent and the tax benefit was reflected on the income tax provision for the three months ended June 30, 2016.</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the next twelve months, we do not believe there will be a decrease in uncertain tax benefits that could significantly impact our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and June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2016</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3"/>
              <w:spacing w:after="0"/>
              <w:rPr>
                <w:sz w:val="20"/>
                <w:szCs w:val="20"/>
                <w:color w:val="auto"/>
              </w:rPr>
            </w:pPr>
            <w:r>
              <w:rPr>
                <w:rFonts w:ascii="Arial" w:cs="Arial" w:eastAsia="Arial" w:hAnsi="Arial"/>
                <w:sz w:val="16"/>
                <w:szCs w:val="16"/>
                <w:b w:val="1"/>
                <w:bCs w:val="1"/>
                <w:color w:val="auto"/>
                <w:w w:val="89"/>
              </w:rPr>
              <w:t>2015</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261,213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212,286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48,927</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23%</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334,754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240,385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94,369</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39</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595,967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452,671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143,296</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32%</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252,692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200,153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52,539</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219,944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159,068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60,876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38</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123,331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93,450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29,881</w:t>
            </w:r>
          </w:p>
        </w:tc>
        <w:tc>
          <w:tcPr>
            <w:tcW w:w="1420" w:type="dxa"/>
            <w:vAlign w:val="bottom"/>
          </w:tcPr>
          <w:p>
            <w:pPr>
              <w:ind w:left="1060"/>
              <w:spacing w:after="0"/>
              <w:rPr>
                <w:sz w:val="20"/>
                <w:szCs w:val="20"/>
                <w:color w:val="auto"/>
              </w:rPr>
            </w:pPr>
            <w:r>
              <w:rPr>
                <w:rFonts w:ascii="Arial" w:cs="Arial" w:eastAsia="Arial" w:hAnsi="Arial"/>
                <w:sz w:val="18"/>
                <w:szCs w:val="18"/>
                <w:color w:val="auto"/>
              </w:rPr>
              <w:t>32</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595,967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452,671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143,296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32%</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Total revenue increased by $143.3 million, or 32%, during the six months ended June 30, 2016 compared to the same period last year. All three regions experienced revenue growth compared to the same period last year, with EMEA contributing the largest portion of our revenue growth on both an absolute dollar and a percentage basis. Product revenue increased by $48.9 million, or 23%, during the six months ended June 30, 2016 compared to the same period last year. The increase in product revenue was primarily driven by greater sales in our FortiGate product family, as well as growth in other product lines.</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Service revenue increased by $94.4 million, or 39%, during the six months ended June 30, 2016 compared to the same period last year due to the recognition of revenue from our growing deferred revenue balance consisting of FortiGuard security subscription and FortiCare technical support contracts sold to a larger customer base, particularly our large enterprise customers, as well as the renewals of similar contracts sold in earlier periods. Service revenue also increased as we continue to add to and charge more for functionality and value in our FortiGuard security subscription, FortiCare technical support and other offerings.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67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ind w:right="6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571"/>
              <w:spacing w:after="0"/>
              <w:rPr>
                <w:sz w:val="20"/>
                <w:szCs w:val="20"/>
                <w:color w:val="auto"/>
              </w:rPr>
            </w:pPr>
            <w:r>
              <w:rPr>
                <w:rFonts w:ascii="Arial" w:cs="Arial" w:eastAsia="Arial" w:hAnsi="Arial"/>
                <w:sz w:val="16"/>
                <w:szCs w:val="16"/>
                <w:b w:val="1"/>
                <w:bCs w:val="1"/>
                <w:color w:val="auto"/>
              </w:rPr>
              <w:t>Change</w:t>
            </w: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w w:val="92"/>
              </w:rPr>
              <w:t>(in thousands, except percentages)</w:t>
            </w: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102,101</w:t>
            </w:r>
          </w:p>
        </w:tc>
        <w:tc>
          <w:tcPr>
            <w:tcW w:w="12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88,765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13,336</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15%</w:t>
            </w:r>
          </w:p>
        </w:tc>
      </w:tr>
      <w:tr>
        <w:trPr>
          <w:trHeight w:val="27"/>
        </w:trPr>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60,046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44,335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15,711</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35</w:t>
            </w:r>
          </w:p>
        </w:tc>
      </w:tr>
      <w:tr>
        <w:trPr>
          <w:trHeight w:val="297"/>
        </w:trPr>
        <w:tc>
          <w:tcPr>
            <w:tcW w:w="3640" w:type="dxa"/>
            <w:vAlign w:val="bottom"/>
            <w:tcBorders>
              <w:bottom w:val="single" w:sz="8" w:color="CCEEFF"/>
            </w:tcBorders>
          </w:tcPr>
          <w:p>
            <w:pPr>
              <w:jc w:val="center"/>
              <w:ind w:right="1970"/>
              <w:spacing w:after="0"/>
              <w:rPr>
                <w:sz w:val="20"/>
                <w:szCs w:val="20"/>
                <w:color w:val="auto"/>
              </w:rPr>
            </w:pPr>
            <w:r>
              <w:rPr>
                <w:rFonts w:ascii="Arial" w:cs="Arial" w:eastAsia="Arial" w:hAnsi="Arial"/>
                <w:sz w:val="18"/>
                <w:szCs w:val="18"/>
                <w:color w:val="auto"/>
                <w:w w:val="89"/>
              </w:rPr>
              <w:t>Total cost of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162,147</w:t>
            </w:r>
          </w:p>
        </w:tc>
        <w:tc>
          <w:tcPr>
            <w:tcW w:w="12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133,100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29,047</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22%</w:t>
            </w: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3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198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1980" w:type="dxa"/>
            <w:vAlign w:val="bottom"/>
          </w:tcPr>
          <w:p>
            <w:pPr>
              <w:spacing w:after="0"/>
              <w:rPr>
                <w:sz w:val="21"/>
                <w:szCs w:val="21"/>
                <w:color w:val="auto"/>
              </w:rPr>
            </w:pPr>
          </w:p>
        </w:tc>
      </w:tr>
    </w:tbl>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Total gross margin increased by 2.2 percentage points during the six months ended June 30, 2016 compared to the same period last year, as both product and service gross margins increased. Product gross margin increased by 2.7 percentage points during the six months ended June 30, 2016 compared to the same period last year. Product gross margin was positively impacted by higher sales of software products such as certain of our virtualized security solutions, as well as lower warranty expense.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Service gross margin increased by 0.5 percentage points during the six months ended June 30, 2016 as compared to the same period last year as we scaled efficiencies resulting from our ability to add to and charge more for functionality and value to our service offerings, which have translated into improved service margins. Cost of service revenue increased by $15.7 million primarily due to a $9.8 million increase in personnel costs as a result of increased headcount.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2016</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4"/>
              <w:spacing w:after="0"/>
              <w:rPr>
                <w:sz w:val="20"/>
                <w:szCs w:val="20"/>
                <w:color w:val="auto"/>
              </w:rPr>
            </w:pPr>
            <w:r>
              <w:rPr>
                <w:rFonts w:ascii="Arial" w:cs="Arial" w:eastAsia="Arial" w:hAnsi="Arial"/>
                <w:sz w:val="16"/>
                <w:szCs w:val="16"/>
                <w:b w:val="1"/>
                <w:bCs w:val="1"/>
                <w:color w:val="auto"/>
                <w:w w:val="89"/>
              </w:rPr>
              <w:t>2015</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90,256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73,205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17,051</w:t>
            </w: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308,797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212,537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96,260</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41,623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29,979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11,644</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441,557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315,721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125,836</w:t>
            </w: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4"/>
                <w:szCs w:val="14"/>
                <w:color w:val="auto"/>
              </w:rPr>
              <w:t>* not meaningful</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Research and development expense increased by $17.1 million, or 23%, during the six months ended June 30, 2016 compared to the same period last year primarily due to an increase of $10.9 million in personnel costs as a result of increased headcount to support the development of new products and continued enhancements of our existing products. Depreciation expense and other occupancy-related costs increased by $3.4 million and costs of test supplies and prototype materials used in product development increased by $1.4 million.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Sales and marketing expense increased by $96.3 million, or 45%, during the six months ended June 30, 2016 compared to the same period last year, primarily due to an increase of $73.9 million in personnel costs as we continued to increase our sales headcount in order to drive continued market share gains globally. Marketing-related expense increased by $8.0 million as we invested significantly in marketing programs to capture market share, particularly in the large enterprise market, including costs related to trade-shows and lead generation. In addition, depreciation expense and other occupancy-related expense increased by $5.6 million and travel and entertainment expense increased by $5.1 million.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General and administrative expense increased by $11.6 million, or 39%, during the six months ended June 30, 2016 compared to the same period last year. During the six months ended June 30, 2016, we expensed an additional $7.8 million - relating to business process design and reengineering in preparation of the ERP system implementation compared to the same period last year. In addition, personnel costs increased by $6.5 million, as we continued to increase our headcount in order to support our expanding business. The increase in expense was partially offset by lower professional fees, such as legal fees, of $2.4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Six Months Ended</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740" w:type="dxa"/>
            <w:vAlign w:val="bottom"/>
          </w:tcPr>
          <w:p>
            <w:pPr>
              <w:spacing w:after="0"/>
              <w:rPr>
                <w:sz w:val="18"/>
                <w:szCs w:val="18"/>
                <w:color w:val="auto"/>
              </w:rPr>
            </w:pPr>
          </w:p>
        </w:tc>
        <w:tc>
          <w:tcPr>
            <w:tcW w:w="1220" w:type="dxa"/>
            <w:vAlign w:val="bottom"/>
          </w:tcPr>
          <w:p>
            <w:pPr>
              <w:jc w:val="center"/>
              <w:ind w:left="476"/>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55"/>
              <w:spacing w:after="0"/>
              <w:rPr>
                <w:sz w:val="20"/>
                <w:szCs w:val="20"/>
                <w:color w:val="auto"/>
              </w:rPr>
            </w:pPr>
            <w:r>
              <w:rPr>
                <w:rFonts w:ascii="Arial" w:cs="Arial" w:eastAsia="Arial" w:hAnsi="Arial"/>
                <w:sz w:val="16"/>
                <w:szCs w:val="16"/>
                <w:b w:val="1"/>
                <w:bCs w:val="1"/>
                <w:color w:val="auto"/>
                <w:w w:val="87"/>
              </w:rPr>
              <w:t>June 30,</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1220" w:type="dxa"/>
            <w:vAlign w:val="bottom"/>
          </w:tcPr>
          <w:p>
            <w:pPr>
              <w:jc w:val="right"/>
              <w:ind w:right="76"/>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655"/>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8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w w:val="93"/>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3,451</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2,786</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665</w:t>
            </w:r>
          </w:p>
        </w:tc>
        <w:tc>
          <w:tcPr>
            <w:tcW w:w="16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w w:val="94"/>
              </w:rPr>
              <w:t>24%</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(2,662)</w:t>
            </w:r>
          </w:p>
        </w:tc>
        <w:tc>
          <w:tcPr>
            <w:tcW w:w="6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(1,155)</w:t>
            </w:r>
          </w:p>
        </w:tc>
        <w:tc>
          <w:tcPr>
            <w:tcW w:w="1680" w:type="dxa"/>
            <w:vAlign w:val="bottom"/>
          </w:tcPr>
          <w:p>
            <w:pPr>
              <w:ind w:left="1320"/>
              <w:spacing w:after="0"/>
              <w:rPr>
                <w:sz w:val="20"/>
                <w:szCs w:val="20"/>
                <w:color w:val="auto"/>
              </w:rPr>
            </w:pPr>
            <w:r>
              <w:rPr>
                <w:rFonts w:ascii="Arial" w:cs="Arial" w:eastAsia="Arial" w:hAnsi="Arial"/>
                <w:sz w:val="18"/>
                <w:szCs w:val="18"/>
                <w:color w:val="auto"/>
              </w:rPr>
              <w:t>77</w:t>
            </w:r>
          </w:p>
        </w:tc>
      </w:tr>
    </w:tbl>
    <w:p>
      <w:pPr>
        <w:spacing w:after="0" w:line="31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Interest income increased during the six months ended June 30, 2016 compared to the same period last year due to interest earned on higher invested balances of cash, cash equivalents and investments. Interest income varies depending on our average investment balances during the period, types and mix of investments, and market interest rates. The increase in Other expense—net for the six months ended June 30, 2016 when compared to the same period last year, was the result of higher foreign currency exchange losses. Other expense—net consisted primarily of foreign exchange and related hedging gains and losses.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Six Months Ended</w:t>
            </w: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1200" w:type="dxa"/>
            <w:vAlign w:val="bottom"/>
          </w:tcPr>
          <w:p>
            <w:pPr>
              <w:jc w:val="center"/>
              <w:ind w:left="536"/>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1200" w:type="dxa"/>
            <w:vAlign w:val="bottom"/>
          </w:tcPr>
          <w:p>
            <w:pPr>
              <w:jc w:val="right"/>
              <w:ind w:right="36"/>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ind w:left="140"/>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c>
          <w:tcPr>
            <w:tcW w:w="1800" w:type="dxa"/>
            <w:vAlign w:val="bottom"/>
          </w:tcPr>
          <w:p>
            <w:pPr>
              <w:jc w:val="right"/>
              <w:ind w:right="91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40" w:type="dxa"/>
            <w:vAlign w:val="bottom"/>
            <w:gridSpan w:val="3"/>
          </w:tcPr>
          <w:p>
            <w:pPr>
              <w:ind w:left="140"/>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87"/>
              </w:rPr>
              <w:t>(7,678)</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2,777</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(10,455)</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21"/>
                <w:szCs w:val="21"/>
                <w:color w:val="auto"/>
              </w:rPr>
            </w:pPr>
          </w:p>
        </w:tc>
        <w:tc>
          <w:tcPr>
            <w:tcW w:w="1800" w:type="dxa"/>
            <w:vAlign w:val="bottom"/>
          </w:tcPr>
          <w:p>
            <w:pPr>
              <w:jc w:val="right"/>
              <w:ind w:right="293"/>
              <w:spacing w:after="0"/>
              <w:rPr>
                <w:sz w:val="20"/>
                <w:szCs w:val="20"/>
                <w:color w:val="auto"/>
              </w:rPr>
            </w:pPr>
            <w:r>
              <w:rPr>
                <w:rFonts w:ascii="Arial" w:cs="Arial" w:eastAsia="Arial" w:hAnsi="Arial"/>
                <w:sz w:val="18"/>
                <w:szCs w:val="18"/>
                <w:color w:val="auto"/>
              </w:rPr>
              <w:t>57%</w:t>
            </w: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191"/>
        </w:trPr>
        <w:tc>
          <w:tcPr>
            <w:tcW w:w="3620" w:type="dxa"/>
            <w:vAlign w:val="bottom"/>
          </w:tcPr>
          <w:p>
            <w:pPr>
              <w:spacing w:after="0"/>
              <w:rPr>
                <w:sz w:val="20"/>
                <w:szCs w:val="20"/>
                <w:color w:val="auto"/>
              </w:rPr>
            </w:pPr>
            <w:r>
              <w:rPr>
                <w:rFonts w:ascii="Arial" w:cs="Arial" w:eastAsia="Arial" w:hAnsi="Arial"/>
                <w:sz w:val="14"/>
                <w:szCs w:val="14"/>
                <w:color w:val="auto"/>
              </w:rPr>
              <w:t>* not meaningful</w:t>
            </w: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spacing w:after="0" w:line="20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effective tax rate was 111% for the six months ended June 30, 2016, compared with an effective tax rate of 54% for the same period last year. The benefit from income taxes for the six months ended June 30, 2016 was comprised primarily of U.S. federal and state taxes, other foreign income taxes, foreign withholding taxes, and transfer pricing allocations which impact jurisdictional income taxed at various tax rates. The changes in the tax provision and effective tax rate were primarily due to the tax benefit from the adoption of the new accounting guidance relating to stock-based compensation and the tax benefit from the U.S. federal R&amp;D credit. The tax rate for the six months ended June 30, 2015 did not include a benefit from the U.S. federal R&amp;D credit as the credit had expired in December 2014. In December 2015, the U.S. federal R&amp;D credit was made permanent and the tax benefit was reflected on the income tax provision for the six months ended June 30, 2016.</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2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20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right="194"/>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center"/>
              <w:ind w:right="173"/>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596,380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543,277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625,611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621,033</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1,221,991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1,164,310</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6"/>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8"/>
                <w:szCs w:val="18"/>
                <w:color w:val="auto"/>
                <w:vertAlign w:val="superscript"/>
              </w:rPr>
              <w:t>(1)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621,920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591,873</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02"/>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4"/>
          </w:tcPr>
          <w:p>
            <w:pPr>
              <w:jc w:val="center"/>
              <w:ind w:right="153"/>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20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right="194"/>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center"/>
              <w:ind w:right="173"/>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148,924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provided by (used in) investing activities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(69,417)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17,930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31,285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53,103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198,139</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Working capital is defined as current assets less current liabilities.</w:t>
      </w:r>
    </w:p>
    <w:p>
      <w:pPr>
        <w:spacing w:after="0" w:line="22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Liquidity and capital resources may be impacted by our operating activities, as well as by our business acquisitions, capital expenditures, stock repurchases, proceeds associated with stock option exercises and issuances of common stock under the ESPP, payment of taxes in connection with the net settlement of equity awards, the timing of sales within an accounting period, and investments in strategic relationships that we have made or may make in the future. Our liquidity may be impacted by our customer-buying patterns and the efforts of our sales force and channel partners, which have historically resulted in our receiving a substantial portion of our billings during the last two weeks of the quarter. Billings during the last two weeks of the second quarter of 2016 were in excess of 40% compared to the historical eight-quarter average of 33%. As of June 30, 2016, $150.0 million remains available for future share repurchases under our share repurchase program, which will be financed through our available working capital. In recent years we have received significant capital as a result of the exercise of stock options and purchases under our ESPP. We expect proceeds in future years to decrease due to the increased mix of RSUs granted versus stock options and also to be impacted by our share price. During 2016, we expect to spend $80.0 million to $90.0 million in capital expenditures primarily related to expansion of our offices to support worldwide growth and the implementation of our ERP system.</w:t>
      </w:r>
    </w:p>
    <w:p>
      <w:pPr>
        <w:spacing w:after="0" w:line="169"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As of June 30, 2016, our cash, cash equivalents, and investments of $1.2 billion were invested primarily in U.S. government and agency securities, municipal bonds, corporate debt securities, commercial paper, certificates of deposit and term deposits, and money market funds. It is our investment policy to invest excess cash in a manner that preserves capital, provides liquidity and maximizes return without significantly increasing risk.</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June 30, 2016, $455.2 million of our cash and investments were held by our international subsidiaries and are therefore not immediately available to fund domestic operations unless the cash is repatriated. While we do not intend to do so, should this amount be repatriated, most of it would be subject to U.S. federal income tax that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or loss, as adjusted for non-cash items, and changes in operating assets and liabilities. Non-cash adjustments consist primarily of stock-based compensation, depreciation of property and equipment, amortization of intangible assets and amortization of investment premiums.</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operating activities during the six months ended June 30, 2016 provided $168.5 million in cash as a result of our continued growth in billings and our ability to successfully manage our working capital. Changes in operating assets and liabilities primarily resulted from an increase in payments received from customers, which was partially offset by an increase in payments to vendors.</w:t>
      </w:r>
    </w:p>
    <w:p>
      <w:pPr>
        <w:spacing w:after="0" w:line="181"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Our operating activities during the six months ended June 30, 2015 provided $148.9 million in cash as a result of our continued growth in billings and the ability to successfully manage our working capital. Changes in operating assets and liabilities primarily included an increase in payments received from customers, partially offset by an increase in payments to vendors for inventory-related purchases and prepayment of certain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purchases of property and equipment, and payments made in connection with business acquisitions. Historically, in making a lease versus purchase decision related to our larger facilities, we have elected to purchase the facility. We expect to make similar decisions in the future.</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During the six months ended June 30, 2016, cash used for investing activities was primarily due to the $44.4 million we spent on capital expenditures, including our purchase of a warehouse in Union City, California for total cash of $18.5 million, and a $20.7 million payment for the acquisition of AccelOps. Cash outflows due to purchases of investments, net of sales and maturities, amounted to $4.4 million.</w:t>
      </w:r>
    </w:p>
    <w:p>
      <w:pPr>
        <w:spacing w:after="0" w:line="16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During the six months ended June 30, 2015, cash provided by investing activities was a result of positive cash flow due to maturities, net of purchases, from our investments of $33.6 million, partially offset by capital expenditures of $15.7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changes in cash flows from financing activities primarily relate to proceeds from the issuance of common stock under our equity incentive plan and ESPP, taxes paid related to net share settlement of equity awards, and repurchase and retirement of common stock.</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During the six months ended June 30, 2016, cash used for financing activities was $46.0 million, primarily due to $50.0 million used to repurchase our common stock. This was partially offset by $5.6 million of proceeds from the issuance of common stock, net of taxes paid, related to withholding upon issuance of equity awards.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six months ended June 30, 2015, cash provided by financing activities was $31.3 million as a result of proceeds of $42.6 million from the issuance of common stock under our stock-based compensation plans. This cash inflow was partially offset by $11.4 million of withholding tax payments upon issuance of equity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were no material changes outside the ordinary course of business during the six months ended June 30, 2016 to the contractual obligations and commitments disclosed in Management’s Discussion and Analysis of Financial Condition and Results of Operations, set forth in Part II, Item 7, of the Form 10-K. See Note 10 to the notes to the condensed consolidated financial statements included in Part I, Item 1 of this Quarterly Report on Form 10-Q for additional information regarding contractual obligations and commitments.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2" w:right="27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June 30, 2016,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240" w:top="122" w:right="59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six months ended June 30, 2016 compared to the disclosures in Part II, Item 7A of the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or 15d-15(e) under the Exchange Act) as of June 30, 2016.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June 30, 2016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2015, we completed the acquisition of Meru. We have integrated Meru into our systems and controls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environment as of June 30, 2016. There were no changes in our internal control over financial reporting (as defined in Rules 13a-15(f) or 15d-15(f) under the Exchange Act) during the six months ended June 30, 2016 that have materially affected, or are reasonably likely to materially affect, our internal control over financial reporting.</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2" w:right="29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believe that the possibility that any of the current pending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360" w:hanging="644"/>
        <w:spacing w:after="0" w:line="308"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logistics, shipping delays,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and level of our investments in sales and marketing and the impact on operating expenses and operating margin;</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the accuracy and timing of point-of-sale reporting by our “sell-through” channel partners, which impacts our ability to recognize revenue;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distributors, resellers or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partners, or end-customers;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jc w:val="both"/>
        <w:ind w:left="1300" w:right="32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or decreases in our billings, revenues and expenses caused by fluctuations in foreign currency exchange rates, as a significant portion of our expenses are incurred and paid in currencies other than the U.S. dollar, and fluctuations may impact the actual prices that partners and customers are willing to pay for our products and services;</w:t>
      </w:r>
    </w:p>
    <w:p>
      <w:pPr>
        <w:spacing w:after="0" w:line="181"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right="6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channel partners may have insufficient financial resources and may not be able to withstand changes and challenges in business conditions;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 security, exports, the environment, and accounting standards.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2" w:right="27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declining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Billings and revenue growth may slow, or we may experience a decrease in billings and revenue, for a number of reasons, including a slowdown in demand for our products or services, increased competition, a decrease in the growth of our overall market, softness in demand in certain geographies or industry verticals, such as the service provider industry, if we fail for any reason to continue to capitalize on growth opportunities, and due to other risks identified in the “Risk Factors.” Our expenses as a percentage of total revenue may be higher than expected if our revenue is lower than expected and if our investments in sales and marketing and other functional areas do not result in expected billings and revenue growth, and we may experience margin declines in future periods if we fail to increase billings, revenue or deferred revenue, do not appropriately manage our cost structure, or encounter unanticipated liabilities. Any failure by us to maintain profitability, maintain our margins, and continue our billings and revenue growth could cause the price of our common stock to materially decline.</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security subscription and FortiCare technical support services which may decline, and because we recognize revenue from FortiGuard security subscription and FortiCare technical support services over the term of the relevant service period, downturns or upturns in sales of FortiGuard security subscription and FortiCare technical support services are not immediately reflected in full in our operating results.</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Revenues from the sales of new, or renewals of existing, FortiGuard security subscription and FortiCare technical support services contracts may decline and fluctuate as a result of a number of factors, including fluctuations in purchases of FortiGate appliances,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services contracts decline, our revenue and revenue growth may decline and our business could suffer. In addition, in the event significant customers require payment terms for FortiGuard security subscription or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and in some instances has been as long as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or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or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and our international sales have represented more than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U.S. headquartered business’ sales in certain countries outside of the United States;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complying with U.S. or other foreign laws and regulations for foreign operations, including the U.S. Foreign Corrupt Practices Act, the U.K. Bribery Act 2010, import and export control laws, tariffs, trade barriers and economic sanctions;</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employment and other laws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An important part of our growth strategy is to increase sales of our products to large and medium-sized enterprises, service providers and government organizations. While we have increased sales in recent periods to large enterprises and service providers, we have experienced less traction selling to certain government organizations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71" w:lineRule="exact"/>
        <w:rPr>
          <w:sz w:val="20"/>
          <w:szCs w:val="20"/>
          <w:color w:val="auto"/>
        </w:rPr>
      </w:pPr>
    </w:p>
    <w:p>
      <w:pPr>
        <w:ind w:left="1300" w:right="4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enterprises, service providers and government organizations and that may already have purchase commitments from those end-customers;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 and</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and medium-sized enterprises, service providers and government organizations often undertake a significant evaluation process that results in a lengthy sales cycle, in some cases over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product purchases by large and medium-sized enterprises, service providers and government organizations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Large and medium-sized enterprises, service providers and government organizations typically have longer implementation cycles, require greater product functionality and scalability, expect a broader range of services, including design services, demand that vendors take on a larger share of risks, require acceptance provisions that can lead to a delay in revenue recognition, and expect greater payment flexibility from vendors.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w:t>
      </w:r>
    </w:p>
    <w:p>
      <w:pPr>
        <w:spacing w:after="0" w:line="193"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due to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Chairman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distraction, of our senior management for any reason could adversely affect our business, financial condition and results of</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2" w:right="29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for qualified employees in network security and especially in the locations where we have a substantial presence and need for highly-skilled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and services may decrease, which may reduce our gross profits and adversely impact our financial results and the trading price of our common stock.</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average sales prices for our products and services may decline for a variety of reasons,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average sales prices and gross profits for our products or services will decrease over product life cycles. We cannot ensure that we will be successful in developing and introducing new offerings with enhanced functionality on a timely basis, or that our product and services offerings, if introduced, will enable us to maintain our prices and gross profits at levels that will allow us to maintain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in the second quarter of 2016, the portion of billings during the last two weeks of the quarter was in excess of 40%, and, on average over the past eight quarters, our shipments during the last two weeks of each quarter accounted for 33%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enterprise,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if our marketing programs are not successful in continuing to create market awareness of our company and products and increased lead generation, or if we experience turnover and disruption in our sales and marketing teams, we will not be able to achieve sustained growth, and our business, financial condition and results of operations will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significant portion of our sales are through a limited number of distributors, and substantially all of our revenue is generated through sales by our channel partners, including distributors and resellers. We depend upon our channel partners to generate a significant portion of our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9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They may also market, sell and support products and services that are competitive with ours, and may devote more resources to the marketing, sales and support of such products.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During the three months ended June 30, 2016, Exclusive Networks Group and Ingram Micro, which distributed our solutions to a large group of resellers and end-customers, accounted for 20% and 10% of our total revenue, respectively. During the six months ended June 30, 2016, Exclusive Networks Group, which distributed our solutions to a large group of resellers and end-customers, accounted for 20% of our total revenue. During the three and six months ended June 30, 2015, Exclusive Networks Group, accounted for 17%, of our total revenue.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Different customers deploy and use our products in different ways, and certain deployments and usages may subject our products to adverse conditions that may negatively impact the effectiveness and useful lifetime of our products.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71" w:lineRule="exact"/>
        <w:rPr>
          <w:sz w:val="20"/>
          <w:szCs w:val="20"/>
          <w:color w:val="auto"/>
        </w:rPr>
      </w:pPr>
    </w:p>
    <w:p>
      <w:pPr>
        <w:ind w:left="1300" w:right="3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84"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Our business has grown over the last several years. We rely heavily on information technology and accounting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the manual processing of emails internally and receipt of customer purchase orders through email and, to a lesser extent, through electronic data interchange from our customers. Combined with the fact that we may receive a majority of our orders in the last few weeks of any given quarter, a significant interruption in our email service or other systems could result in delayed order fulfillment and decreased billings and revenue for that quarter. To manage any future growth effectively, we must continue to improve and expand our information technology and financial, operating and administrative systems and controls, and continue to manage headcount, capital and processes in an efficient manner. We may not be able to successfully implement requisite improvements to these systems, controls and processes, such as system capacity,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implementing and maintaining our new enterprise resource planning system.</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recently implemented a new ERP system. ERP implementations are complex and time-consuming, and involve substantial expenditures on maintenance activities and software. The ERP system will be critical to our ability to provide important information to our management, obtain and deliver products, provide services and customer support, send invoices and track payments, fulfill contractual obligations, accurately maintain books and records, provide accurate, timely and reliable reports on our financial and operating results or otherwise operate our business. ERP implementations also require transformation of business and financial processes in order to reap the benefits of the ERP system; any such transformation involves risks inherent in the conversion to a new computer system, including loss of information and potential disruption to our normal operations. The implementation and maintenance of the new ERP system has required, and will continue to require, the investment of significant financial and human resources and the implementation may be subject to delays and cost overruns. In addition, we may discover deficiencies in our design or implementation or maintenance of the new ERP system that could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adversely affect our ability to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the system does not operate as intended, the effectiveness of our internal control over financial reporting could be adversely affected or our ability to assess it adequately could be delayed.</w:t>
      </w:r>
    </w:p>
    <w:p>
      <w:pPr>
        <w:spacing w:after="0" w:line="1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and sales return reserves, stock-based compensation expense, valuation of inventory, warranty liabilities, investments, accounting for business combination, goodwill and other long-lived assets, restructuring, accounting for income taxes, and litigation and settlement costs.</w:t>
      </w:r>
    </w:p>
    <w:p>
      <w:pPr>
        <w:spacing w:after="0" w:line="16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Faraday, K-Micro and Renesas. Our reliance on our third-party manufacturers in Asia and elsewhere reduces our control over the manufacturing process, exposing us to risks, including reduced control over quality assurance and product costs,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TSMC on a purchase order basis, and UMC and TSMC do not guarantee any capacity and could reject orders or could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7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the determination of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or loss of sales and customers, or increase component costs resulting in lower gross margins.</w:t>
      </w:r>
    </w:p>
    <w:p>
      <w:pPr>
        <w:spacing w:after="0" w:line="16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and, to a lesser extent, the British Pound. For example, the vote in the United Kingdom in June 2016 to leave the European Union resulted in significant fluctuations in the exchange rate of the British Pound. While we are not currently engaged in material hedging activities, we have been hedging currency exposures relating to certain balance sheet accounts and,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could increase the real cost of our products to our customers outside of the United States, which could also adversely affect our financial condition and results of operations.</w:t>
      </w:r>
    </w:p>
    <w:p>
      <w:pPr>
        <w:spacing w:after="0" w:line="18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example,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2" w:right="27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our real property,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color w:val="auto"/>
        </w:rPr>
        <w:t>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internal network system or our website is compromised, public perception of our products and services will be harmed, we may become subject to liability, and our business, operating results and stock price may be adversely impacted.</w:t>
      </w:r>
    </w:p>
    <w:p>
      <w:pPr>
        <w:spacing w:after="0" w:line="17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will not succeed unless the marketplace is confident that we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transfer funds or disclose information in order to gain access to our network and confidential information. We cannot assure you that the measures we have taken to protect our network and website will provide absolute security. Moreover, because we provide network security products, we may be a more attractive target for attacks by computer hackers.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 organization end-customers require higher levels of support than smaller end-customers because of their more complex deployments. If we, our channel partners or other third parties fail to meet the requirements of our larger end-customers, it may be more difficult to execute on our strategy to increase our penetration with large enterprises, service providers and government organizations. As a result, our failure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maintain high quality support services would have a material adverse effect on our business,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147" w:lineRule="exact"/>
        <w:rPr>
          <w:sz w:val="20"/>
          <w:szCs w:val="20"/>
          <w:color w:val="auto"/>
        </w:rPr>
      </w:pPr>
    </w:p>
    <w:p>
      <w:pPr>
        <w:ind w:left="1300" w:right="3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court decisions, tax rulings and interpretations of tax laws, and regulations by international, federal or local governmental authorities; or</w:t>
      </w:r>
    </w:p>
    <w:p>
      <w:pPr>
        <w:spacing w:after="0" w:line="248" w:lineRule="exact"/>
        <w:rPr>
          <w:rFonts w:ascii="Arial" w:cs="Arial" w:eastAsia="Arial" w:hAnsi="Arial"/>
          <w:sz w:val="16"/>
          <w:szCs w:val="16"/>
          <w:color w:val="auto"/>
        </w:rPr>
      </w:pPr>
    </w:p>
    <w:p>
      <w:pPr>
        <w:ind w:left="1300" w:right="14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Significant judgment is required to determine the recognition and measurement attribute prescribed in the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The tax authorities in France are examining the inter-company relationship between Fortinet, Inc., Fortinet France and Fortinet Singapore. We are in the early stages of this inquiry and as of yet no official audit has been opened. We regularly assess the likelihood of adverse outcomes resulting from such examinations to determine the adequacy of our provision for income taxes.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In addition, we hold a significant portion of our cash and investments outside of the United States. Potential legislation could result in our transferring this cash and investments back to the United States, and potentially incurring an additional tax obligation.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w:t>
      </w:r>
    </w:p>
    <w:p>
      <w:pPr>
        <w:spacing w:after="0" w:line="16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Organisation for Economic Co-operation and Development (the “OECD”), an international association comprised of 34 countries, including the United States, has been working on a Base Erosion and Profit Sharing Project. As part of this project, the OECD has issued in 2015, and is expected to continue to issue, guidelines and proposals that may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7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we are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For example, we closed our acquisitions of Meru and AccelOps in the third quarter of 2015 and the second quarter of 2016, respectively. For any past acquisition or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system, sales and support processes and systems,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such as our acquisition of AccelOps,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office center in Vancouver, Canada is subject to the risk of flooding and is also in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as well as our customers’ 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delays or cancellations of customer orders, or in the delay of the manufacture, deployment or shipment of our products, our business, financial condition and results of operations would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2" w:right="25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most of our products depend on increased demand for incorporating broad security functionality in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enterprise,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Our competitors include companies such as Check Point, Cisco, SonicWall, F5 Networks, FireEye, Intel/McAfee, Juniper, Palo Alto Networks, Sophos and Symantec.</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Cisco’s acquisition of SourceFire, Juniper’s acquisition of NetScreen Technologies Inc., Intel’s acquisition of McAfee and Check Point’s acquisition of Nokia Corporations’ security appliance business,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6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(LGPL),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We have several on-going patent lawsuits and several non-practicing entity patent holding companies have sent us letters proposing that we license certain of their patents.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Sarbanes-Oxley Act of 2002, the Dodd-Frank Wall Street Reform and Consumer Protection Act of 2010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2015, our internal controls over financial reporting were effective, we cannot predict the outcome of our testing in 2016 or future periods. We may incur additional expenses and commitment of management’s time in connection with further evaluations, both of which could materially increase our operating expenses and accordingly reduce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 change in accounting standards or practices, and varying interpretations of existing accounting pronouncements, such as changes to standards related to revenue recognition (which are effective for us beginning on January 1, 2018), the increased use of fair value measure, and financial instruments could have a significant effect on our reported financial results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or announcements regarding any stock repurchase programs and the timing and amount of shares we purchase under such programs. For example, during the six months ended June 30, 2016, the closing price of our common stock ranged from $23.83 to $34.78.</w:t>
      </w:r>
    </w:p>
    <w:p>
      <w:pPr>
        <w:spacing w:after="0" w:line="188" w:lineRule="exact"/>
        <w:rPr>
          <w:sz w:val="20"/>
          <w:szCs w:val="20"/>
          <w:color w:val="auto"/>
        </w:rPr>
      </w:pPr>
    </w:p>
    <w:p>
      <w:pPr>
        <w:ind w:firstLine="531"/>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122" w:right="4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three months ended June 30, 2016, there were no shares repurchased under the Program. As of June 30, 2016, $150.0 million remained available for future share repurchases under the Program.</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122" w:right="45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35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720" w:val="left"/>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Andrew Del Matto, Chief Financial Officer</w:t>
      </w:r>
    </w:p>
    <w:p>
      <w:pPr>
        <w:spacing w:after="0" w:line="154"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(Duly Authorized Officer and Principal Financial Officer)</w:t>
      </w:r>
    </w:p>
    <w:p>
      <w:pPr>
        <w:spacing w:after="0" w:line="200" w:lineRule="exact"/>
        <w:rPr>
          <w:sz w:val="20"/>
          <w:szCs w:val="20"/>
          <w:color w:val="auto"/>
        </w:rPr>
      </w:pPr>
    </w:p>
    <w:p>
      <w:pPr>
        <w:spacing w:after="0" w:line="30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120" w:val="left"/>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Keith Jensen, Chief Accounting Officer</w:t>
      </w:r>
    </w:p>
    <w:p>
      <w:pPr>
        <w:spacing w:after="0" w:line="154"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240" w:top="122" w:right="71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60" w:type="dxa"/>
            <w:vAlign w:val="bottom"/>
            <w:gridSpan w:val="5"/>
          </w:tcPr>
          <w:p>
            <w:pPr>
              <w:ind w:left="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38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24"/>
                <w:szCs w:val="24"/>
                <w:color w:val="auto"/>
              </w:rPr>
            </w:pPr>
          </w:p>
        </w:tc>
        <w:tc>
          <w:tcPr>
            <w:tcW w:w="38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Incorporated by reference herein</w:t>
            </w:r>
          </w:p>
        </w:tc>
        <w:tc>
          <w:tcPr>
            <w:tcW w:w="120" w:type="dxa"/>
            <w:vAlign w:val="bottom"/>
            <w:vMerge w:val="restart"/>
          </w:tcPr>
          <w:p>
            <w:pPr>
              <w:spacing w:after="0"/>
              <w:rPr>
                <w:sz w:val="24"/>
                <w:szCs w:val="24"/>
                <w:color w:val="auto"/>
              </w:rPr>
            </w:pPr>
          </w:p>
        </w:tc>
        <w:tc>
          <w:tcPr>
            <w:tcW w:w="146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9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82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10480" w:type="dxa"/>
            <w:vAlign w:val="bottom"/>
            <w:gridSpan w:val="7"/>
          </w:tcPr>
          <w:p>
            <w:pPr>
              <w:ind w:left="140"/>
              <w:spacing w:after="0"/>
              <w:rPr>
                <w:sz w:val="20"/>
                <w:szCs w:val="20"/>
                <w:color w:val="auto"/>
              </w:rPr>
            </w:pPr>
            <w:r>
              <w:rPr>
                <w:rFonts w:ascii="Arial" w:cs="Arial" w:eastAsia="Arial" w:hAnsi="Arial"/>
                <w:sz w:val="14"/>
                <w:szCs w:val="14"/>
                <w:color w:val="auto"/>
                <w:w w:val="98"/>
              </w:rPr>
              <w:t>Certification of Chief Executive Officer pursuant to Exchange Act Rules 13a-14(a) and 15d-14(a), as adopted pursuant to Section 302 of the Sarbanes-Oxley Act of 2002</w:t>
            </w:r>
          </w:p>
        </w:tc>
        <w:tc>
          <w:tcPr>
            <w:tcW w:w="0" w:type="dxa"/>
            <w:vAlign w:val="bottom"/>
          </w:tcPr>
          <w:p>
            <w:pPr>
              <w:spacing w:after="0"/>
              <w:rPr>
                <w:sz w:val="1"/>
                <w:szCs w:val="1"/>
                <w:color w:val="auto"/>
              </w:rPr>
            </w:pPr>
          </w:p>
        </w:tc>
      </w:tr>
      <w:tr>
        <w:trPr>
          <w:trHeight w:val="392"/>
        </w:trPr>
        <w:tc>
          <w:tcPr>
            <w:tcW w:w="82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10480" w:type="dxa"/>
            <w:vAlign w:val="bottom"/>
            <w:gridSpan w:val="7"/>
          </w:tcPr>
          <w:p>
            <w:pPr>
              <w:ind w:left="140"/>
              <w:spacing w:after="0"/>
              <w:rPr>
                <w:sz w:val="20"/>
                <w:szCs w:val="20"/>
                <w:color w:val="auto"/>
              </w:rPr>
            </w:pPr>
            <w:r>
              <w:rPr>
                <w:rFonts w:ascii="Arial" w:cs="Arial" w:eastAsia="Arial" w:hAnsi="Arial"/>
                <w:sz w:val="14"/>
                <w:szCs w:val="14"/>
                <w:color w:val="auto"/>
                <w:w w:val="99"/>
              </w:rPr>
              <w:t>Certification of Chief Financial Officer pursuant to Exchange Act Rules 13a-14(a) and 15d-14(a), as adopted pursuant to Section 302 of the Sarbanes-Oxley Act of 2002</w:t>
            </w:r>
          </w:p>
        </w:tc>
        <w:tc>
          <w:tcPr>
            <w:tcW w:w="0" w:type="dxa"/>
            <w:vAlign w:val="bottom"/>
          </w:tcPr>
          <w:p>
            <w:pPr>
              <w:spacing w:after="0"/>
              <w:rPr>
                <w:sz w:val="1"/>
                <w:szCs w:val="1"/>
                <w:color w:val="auto"/>
              </w:rPr>
            </w:pPr>
          </w:p>
        </w:tc>
      </w:tr>
      <w:tr>
        <w:trPr>
          <w:trHeight w:val="392"/>
        </w:trPr>
        <w:tc>
          <w:tcPr>
            <w:tcW w:w="82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10480" w:type="dxa"/>
            <w:vAlign w:val="bottom"/>
            <w:gridSpan w:val="7"/>
          </w:tcPr>
          <w:p>
            <w:pPr>
              <w:ind w:left="140"/>
              <w:spacing w:after="0"/>
              <w:rPr>
                <w:sz w:val="20"/>
                <w:szCs w:val="20"/>
                <w:color w:val="auto"/>
              </w:rPr>
            </w:pPr>
            <w:r>
              <w:rPr>
                <w:rFonts w:ascii="Arial" w:cs="Arial" w:eastAsia="Arial" w:hAnsi="Arial"/>
                <w:sz w:val="14"/>
                <w:szCs w:val="14"/>
                <w:color w:val="auto"/>
                <w:w w:val="95"/>
              </w:rPr>
              <w:t>Certifications of Chief Executive Officer and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XBRL Taxonomy Extension Schema Document</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XBRL Taxonomy Extension Calculation Linkbase Document</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XBRL Taxonomy Extension Presentation Linkbase Document</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XBRL Taxonomy Extension Definition Linkbase Document</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XBRL Taxonomy Extension Label Linkbase Document</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XBRL Instance Document</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179"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June 30, 2016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40"/>
              <w:spacing w:after="0"/>
              <w:rPr>
                <w:sz w:val="20"/>
                <w:szCs w:val="20"/>
                <w:color w:val="auto"/>
              </w:rPr>
            </w:pPr>
            <w:r>
              <w:rPr>
                <w:rFonts w:ascii="Arial" w:cs="Arial" w:eastAsia="Arial" w:hAnsi="Arial"/>
                <w:sz w:val="18"/>
                <w:szCs w:val="18"/>
                <w:color w:val="auto"/>
              </w:rPr>
              <w:t>August 5, 2016</w:t>
            </w:r>
          </w:p>
        </w:tc>
        <w:tc>
          <w:tcPr>
            <w:tcW w:w="2780" w:type="dxa"/>
            <w:vAlign w:val="bottom"/>
          </w:tcPr>
          <w:p>
            <w:pPr>
              <w:ind w:left="21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I, Andrew Del Matto, certify, pursuant to 18 U.S.C. Section 1350, as adopted pursuant to Section 906 of the Sarbanes-Oxley Act of 2002, that the Quarterly Report on Form 10-Q of Fortinet, Inc. for the quarter ended June 30, 2016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Andrew Del Matto</w:t>
            </w:r>
          </w:p>
        </w:tc>
      </w:tr>
      <w:tr>
        <w:trPr>
          <w:trHeight w:val="27"/>
        </w:trPr>
        <w:tc>
          <w:tcPr>
            <w:tcW w:w="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40"/>
              <w:spacing w:after="0"/>
              <w:rPr>
                <w:sz w:val="20"/>
                <w:szCs w:val="20"/>
                <w:color w:val="auto"/>
              </w:rPr>
            </w:pPr>
            <w:r>
              <w:rPr>
                <w:rFonts w:ascii="Arial" w:cs="Arial" w:eastAsia="Arial" w:hAnsi="Arial"/>
                <w:sz w:val="18"/>
                <w:szCs w:val="18"/>
                <w:color w:val="auto"/>
              </w:rPr>
              <w:t>August 5, 2016</w:t>
            </w:r>
          </w:p>
        </w:tc>
        <w:tc>
          <w:tcPr>
            <w:tcW w:w="2780" w:type="dxa"/>
            <w:vAlign w:val="bottom"/>
          </w:tcPr>
          <w:p>
            <w:pPr>
              <w:ind w:left="21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Andrew Del Matto</w:t>
            </w:r>
          </w:p>
        </w:tc>
      </w:tr>
      <w:tr>
        <w:trPr>
          <w:trHeight w:val="256"/>
        </w:trPr>
        <w:tc>
          <w:tcPr>
            <w:tcW w:w="5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2019-12-29T10:46:59Z</dcterms:created>
  <dcterms:modified xsi:type="dcterms:W3CDTF">2019-12-29T10:46:59Z</dcterms:modified>
</cp:coreProperties>
</file>