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398780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312420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07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0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07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60" w:hanging="3985"/>
        <w:spacing w:after="0" w:line="461"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560" w:type="dxa"/>
            <w:vAlign w:val="bottom"/>
          </w:tcPr>
          <w:p>
            <w:pPr>
              <w:ind w:left="18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84"/>
        </w:trPr>
        <w:tc>
          <w:tcPr>
            <w:tcW w:w="3420" w:type="dxa"/>
            <w:vAlign w:val="bottom"/>
          </w:tcPr>
          <w:p>
            <w:pPr>
              <w:spacing w:after="0"/>
              <w:rPr>
                <w:sz w:val="24"/>
                <w:szCs w:val="24"/>
                <w:color w:val="auto"/>
              </w:rPr>
            </w:pPr>
          </w:p>
        </w:tc>
        <w:tc>
          <w:tcPr>
            <w:tcW w:w="5200" w:type="dxa"/>
            <w:vAlign w:val="bottom"/>
            <w:gridSpan w:val="6"/>
          </w:tcPr>
          <w:p>
            <w:pPr>
              <w:jc w:val="center"/>
              <w:ind w:right="1077"/>
              <w:spacing w:after="0"/>
              <w:rPr>
                <w:sz w:val="20"/>
                <w:szCs w:val="20"/>
                <w:color w:val="auto"/>
              </w:rPr>
            </w:pPr>
            <w:r>
              <w:rPr>
                <w:rFonts w:ascii="Arial" w:cs="Arial" w:eastAsia="Arial" w:hAnsi="Arial"/>
                <w:sz w:val="18"/>
                <w:szCs w:val="18"/>
                <w:b w:val="1"/>
                <w:bCs w:val="1"/>
                <w:color w:val="auto"/>
                <w:w w:val="89"/>
              </w:rPr>
              <w:t>Commission file number: 001-34511</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7"/>
        </w:trPr>
        <w:tc>
          <w:tcPr>
            <w:tcW w:w="3420" w:type="dxa"/>
            <w:vAlign w:val="bottom"/>
          </w:tcPr>
          <w:p>
            <w:pPr>
              <w:spacing w:after="0"/>
              <w:rPr>
                <w:sz w:val="18"/>
                <w:szCs w:val="18"/>
                <w:color w:val="auto"/>
              </w:rPr>
            </w:pPr>
          </w:p>
        </w:tc>
        <w:tc>
          <w:tcPr>
            <w:tcW w:w="3880" w:type="dxa"/>
            <w:vAlign w:val="bottom"/>
            <w:gridSpan w:val="5"/>
          </w:tcPr>
          <w:p>
            <w:pPr>
              <w:jc w:val="center"/>
              <w:ind w:left="51"/>
              <w:spacing w:after="0"/>
              <w:rPr>
                <w:sz w:val="20"/>
                <w:szCs w:val="20"/>
                <w:color w:val="auto"/>
              </w:rPr>
            </w:pPr>
            <w:r>
              <w:rPr>
                <w:rFonts w:ascii="Arial" w:cs="Arial" w:eastAsia="Arial" w:hAnsi="Arial"/>
                <w:sz w:val="18"/>
                <w:szCs w:val="18"/>
                <w:color w:val="auto"/>
                <w:w w:val="89"/>
              </w:rPr>
              <w:t>______________________________________</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29"/>
        </w:trPr>
        <w:tc>
          <w:tcPr>
            <w:tcW w:w="3420" w:type="dxa"/>
            <w:vAlign w:val="bottom"/>
          </w:tcPr>
          <w:p>
            <w:pPr>
              <w:spacing w:after="0"/>
              <w:rPr>
                <w:sz w:val="24"/>
                <w:szCs w:val="24"/>
                <w:color w:val="auto"/>
              </w:rPr>
            </w:pPr>
          </w:p>
        </w:tc>
        <w:tc>
          <w:tcPr>
            <w:tcW w:w="3120" w:type="dxa"/>
            <w:vAlign w:val="bottom"/>
            <w:gridSpan w:val="3"/>
          </w:tcPr>
          <w:p>
            <w:pPr>
              <w:jc w:val="center"/>
              <w:ind w:left="851"/>
              <w:spacing w:after="0"/>
              <w:rPr>
                <w:sz w:val="20"/>
                <w:szCs w:val="20"/>
                <w:color w:val="auto"/>
              </w:rPr>
            </w:pPr>
            <w:r>
              <w:rPr>
                <w:rFonts w:ascii="Arial" w:cs="Arial" w:eastAsia="Arial" w:hAnsi="Arial"/>
                <w:sz w:val="25"/>
                <w:szCs w:val="25"/>
                <w:b w:val="1"/>
                <w:bCs w:val="1"/>
                <w:color w:val="auto"/>
              </w:rPr>
              <w:t>FORTINET, INC.</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8"/>
        </w:trPr>
        <w:tc>
          <w:tcPr>
            <w:tcW w:w="3420" w:type="dxa"/>
            <w:vAlign w:val="bottom"/>
          </w:tcPr>
          <w:p>
            <w:pPr>
              <w:spacing w:after="0"/>
              <w:rPr>
                <w:sz w:val="17"/>
                <w:szCs w:val="17"/>
                <w:color w:val="auto"/>
              </w:rPr>
            </w:pPr>
          </w:p>
        </w:tc>
        <w:tc>
          <w:tcPr>
            <w:tcW w:w="5200" w:type="dxa"/>
            <w:vAlign w:val="bottom"/>
            <w:gridSpan w:val="6"/>
          </w:tcPr>
          <w:p>
            <w:pPr>
              <w:jc w:val="center"/>
              <w:ind w:right="109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6"/>
        </w:trPr>
        <w:tc>
          <w:tcPr>
            <w:tcW w:w="3420" w:type="dxa"/>
            <w:vAlign w:val="bottom"/>
          </w:tcPr>
          <w:p>
            <w:pPr>
              <w:spacing w:after="0"/>
              <w:rPr>
                <w:sz w:val="17"/>
                <w:szCs w:val="17"/>
                <w:color w:val="auto"/>
              </w:rPr>
            </w:pPr>
          </w:p>
        </w:tc>
        <w:tc>
          <w:tcPr>
            <w:tcW w:w="3880" w:type="dxa"/>
            <w:vAlign w:val="bottom"/>
            <w:gridSpan w:val="5"/>
          </w:tcPr>
          <w:p>
            <w:pPr>
              <w:jc w:val="center"/>
              <w:ind w:left="71"/>
              <w:spacing w:after="0"/>
              <w:rPr>
                <w:sz w:val="20"/>
                <w:szCs w:val="20"/>
                <w:color w:val="auto"/>
              </w:rPr>
            </w:pPr>
            <w:r>
              <w:rPr>
                <w:rFonts w:ascii="Arial" w:cs="Arial" w:eastAsia="Arial" w:hAnsi="Arial"/>
                <w:sz w:val="16"/>
                <w:szCs w:val="16"/>
                <w:color w:val="auto"/>
                <w:w w:val="91"/>
              </w:rPr>
              <w:t>______________________________________</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87"/>
        </w:trPr>
        <w:tc>
          <w:tcPr>
            <w:tcW w:w="3420" w:type="dxa"/>
            <w:vAlign w:val="bottom"/>
          </w:tcPr>
          <w:p>
            <w:pPr>
              <w:jc w:val="center"/>
              <w:ind w:left="1653"/>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77-0560389</w:t>
            </w:r>
          </w:p>
        </w:tc>
        <w:tc>
          <w:tcPr>
            <w:tcW w:w="460" w:type="dxa"/>
            <w:vAlign w:val="bottom"/>
          </w:tcPr>
          <w:p>
            <w:pPr>
              <w:spacing w:after="0"/>
              <w:rPr>
                <w:sz w:val="24"/>
                <w:szCs w:val="24"/>
                <w:color w:val="auto"/>
              </w:rPr>
            </w:pPr>
          </w:p>
        </w:tc>
      </w:tr>
      <w:tr>
        <w:trPr>
          <w:trHeight w:val="243"/>
        </w:trPr>
        <w:tc>
          <w:tcPr>
            <w:tcW w:w="6540" w:type="dxa"/>
            <w:vAlign w:val="bottom"/>
            <w:gridSpan w:val="4"/>
          </w:tcPr>
          <w:p>
            <w:pPr>
              <w:jc w:val="center"/>
              <w:ind w:right="1360"/>
              <w:spacing w:after="0"/>
              <w:rPr>
                <w:sz w:val="20"/>
                <w:szCs w:val="20"/>
                <w:color w:val="auto"/>
              </w:rPr>
            </w:pPr>
            <w:r>
              <w:rPr>
                <w:rFonts w:ascii="Arial" w:cs="Arial" w:eastAsia="Arial" w:hAnsi="Arial"/>
                <w:sz w:val="16"/>
                <w:szCs w:val="16"/>
                <w:b w:val="1"/>
                <w:bCs w:val="1"/>
                <w:color w:val="auto"/>
                <w:w w:val="91"/>
              </w:rPr>
              <w:t>(State or other jurisdiction of</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2"/>
          </w:tcPr>
          <w:p>
            <w:pPr>
              <w:jc w:val="center"/>
              <w:ind w:right="230"/>
              <w:spacing w:after="0"/>
              <w:rPr>
                <w:sz w:val="20"/>
                <w:szCs w:val="20"/>
                <w:color w:val="auto"/>
              </w:rPr>
            </w:pPr>
            <w:r>
              <w:rPr>
                <w:rFonts w:ascii="Arial" w:cs="Arial" w:eastAsia="Arial" w:hAnsi="Arial"/>
                <w:sz w:val="16"/>
                <w:szCs w:val="16"/>
                <w:b w:val="1"/>
                <w:bCs w:val="1"/>
                <w:color w:val="auto"/>
                <w:w w:val="96"/>
              </w:rPr>
              <w:t>(I.R.S. Employer</w:t>
            </w:r>
          </w:p>
        </w:tc>
        <w:tc>
          <w:tcPr>
            <w:tcW w:w="460" w:type="dxa"/>
            <w:vAlign w:val="bottom"/>
          </w:tcPr>
          <w:p>
            <w:pPr>
              <w:spacing w:after="0"/>
              <w:rPr>
                <w:sz w:val="21"/>
                <w:szCs w:val="21"/>
                <w:color w:val="auto"/>
              </w:rPr>
            </w:pPr>
          </w:p>
        </w:tc>
      </w:tr>
      <w:tr>
        <w:trPr>
          <w:trHeight w:val="210"/>
        </w:trPr>
        <w:tc>
          <w:tcPr>
            <w:tcW w:w="6540" w:type="dxa"/>
            <w:vAlign w:val="bottom"/>
            <w:gridSpan w:val="4"/>
          </w:tcPr>
          <w:p>
            <w:pPr>
              <w:jc w:val="center"/>
              <w:ind w:right="1380"/>
              <w:spacing w:after="0"/>
              <w:rPr>
                <w:sz w:val="20"/>
                <w:szCs w:val="20"/>
                <w:color w:val="auto"/>
              </w:rPr>
            </w:pPr>
            <w:r>
              <w:rPr>
                <w:rFonts w:ascii="Arial" w:cs="Arial" w:eastAsia="Arial" w:hAnsi="Arial"/>
                <w:sz w:val="16"/>
                <w:szCs w:val="16"/>
                <w:b w:val="1"/>
                <w:bCs w:val="1"/>
                <w:color w:val="auto"/>
                <w:w w:val="92"/>
              </w:rPr>
              <w:t>incorporation or organization)</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gridSpan w:val="2"/>
          </w:tcPr>
          <w:p>
            <w:pPr>
              <w:jc w:val="center"/>
              <w:ind w:right="230"/>
              <w:spacing w:after="0"/>
              <w:rPr>
                <w:sz w:val="20"/>
                <w:szCs w:val="20"/>
                <w:color w:val="auto"/>
              </w:rPr>
            </w:pPr>
            <w:r>
              <w:rPr>
                <w:rFonts w:ascii="Arial" w:cs="Arial" w:eastAsia="Arial" w:hAnsi="Arial"/>
                <w:sz w:val="16"/>
                <w:szCs w:val="16"/>
                <w:b w:val="1"/>
                <w:bCs w:val="1"/>
                <w:color w:val="auto"/>
                <w:w w:val="93"/>
              </w:rPr>
              <w:t>Identification No.)</w:t>
            </w:r>
          </w:p>
        </w:tc>
        <w:tc>
          <w:tcPr>
            <w:tcW w:w="460" w:type="dxa"/>
            <w:vAlign w:val="bottom"/>
          </w:tcPr>
          <w:p>
            <w:pPr>
              <w:spacing w:after="0"/>
              <w:rPr>
                <w:sz w:val="18"/>
                <w:szCs w:val="18"/>
                <w:color w:val="auto"/>
              </w:rPr>
            </w:pPr>
          </w:p>
        </w:tc>
      </w:tr>
      <w:tr>
        <w:trPr>
          <w:trHeight w:val="649"/>
        </w:trPr>
        <w:tc>
          <w:tcPr>
            <w:tcW w:w="3420" w:type="dxa"/>
            <w:vAlign w:val="bottom"/>
          </w:tcPr>
          <w:p>
            <w:pPr>
              <w:spacing w:after="0"/>
              <w:rPr>
                <w:sz w:val="24"/>
                <w:szCs w:val="24"/>
                <w:color w:val="auto"/>
              </w:rPr>
            </w:pPr>
          </w:p>
        </w:tc>
        <w:tc>
          <w:tcPr>
            <w:tcW w:w="31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3"/>
              </w:rPr>
              <w:t>899 Kifer Road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0"/>
        </w:trPr>
        <w:tc>
          <w:tcPr>
            <w:tcW w:w="3420" w:type="dxa"/>
            <w:vAlign w:val="bottom"/>
          </w:tcPr>
          <w:p>
            <w:pPr>
              <w:spacing w:after="0"/>
              <w:rPr>
                <w:sz w:val="15"/>
                <w:szCs w:val="15"/>
                <w:color w:val="auto"/>
              </w:rPr>
            </w:pPr>
          </w:p>
        </w:tc>
        <w:tc>
          <w:tcPr>
            <w:tcW w:w="3120" w:type="dxa"/>
            <w:vAlign w:val="bottom"/>
            <w:gridSpan w:val="3"/>
          </w:tcPr>
          <w:p>
            <w:pPr>
              <w:jc w:val="center"/>
              <w:ind w:left="81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0"/>
        </w:trPr>
        <w:tc>
          <w:tcPr>
            <w:tcW w:w="3420" w:type="dxa"/>
            <w:vAlign w:val="bottom"/>
          </w:tcPr>
          <w:p>
            <w:pPr>
              <w:spacing w:after="0"/>
              <w:rPr>
                <w:sz w:val="18"/>
                <w:szCs w:val="18"/>
                <w:color w:val="auto"/>
              </w:rPr>
            </w:pPr>
          </w:p>
        </w:tc>
        <w:tc>
          <w:tcPr>
            <w:tcW w:w="5200" w:type="dxa"/>
            <w:vAlign w:val="bottom"/>
            <w:gridSpan w:val="6"/>
          </w:tcPr>
          <w:p>
            <w:pPr>
              <w:jc w:val="center"/>
              <w:ind w:right="109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613"/>
        </w:trPr>
        <w:tc>
          <w:tcPr>
            <w:tcW w:w="3420" w:type="dxa"/>
            <w:vAlign w:val="bottom"/>
          </w:tcPr>
          <w:p>
            <w:pPr>
              <w:spacing w:after="0"/>
              <w:rPr>
                <w:sz w:val="24"/>
                <w:szCs w:val="24"/>
                <w:color w:val="auto"/>
              </w:rPr>
            </w:pPr>
          </w:p>
        </w:tc>
        <w:tc>
          <w:tcPr>
            <w:tcW w:w="3100" w:type="dxa"/>
            <w:vAlign w:val="bottom"/>
            <w:gridSpan w:val="2"/>
          </w:tcPr>
          <w:p>
            <w:pPr>
              <w:jc w:val="center"/>
              <w:ind w:left="851"/>
              <w:spacing w:after="0"/>
              <w:rPr>
                <w:sz w:val="20"/>
                <w:szCs w:val="20"/>
                <w:color w:val="auto"/>
              </w:rPr>
            </w:pPr>
            <w:r>
              <w:rPr>
                <w:rFonts w:ascii="Arial" w:cs="Arial" w:eastAsia="Arial" w:hAnsi="Arial"/>
                <w:sz w:val="18"/>
                <w:szCs w:val="18"/>
                <w:b w:val="1"/>
                <w:bCs w:val="1"/>
                <w:color w:val="auto"/>
                <w:w w:val="90"/>
              </w:rPr>
              <w:t>(408) 235-7700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5200" w:type="dxa"/>
            <w:vAlign w:val="bottom"/>
            <w:gridSpan w:val="6"/>
          </w:tcPr>
          <w:p>
            <w:pPr>
              <w:jc w:val="center"/>
              <w:ind w:right="1097"/>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98"/>
        </w:trPr>
        <w:tc>
          <w:tcPr>
            <w:tcW w:w="8620" w:type="dxa"/>
            <w:vAlign w:val="bottom"/>
            <w:gridSpan w:val="7"/>
          </w:tcPr>
          <w:p>
            <w:pPr>
              <w:jc w:val="center"/>
              <w:ind w:left="2173"/>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78"/>
        </w:trPr>
        <w:tc>
          <w:tcPr>
            <w:tcW w:w="3420" w:type="dxa"/>
            <w:vAlign w:val="bottom"/>
          </w:tcPr>
          <w:p>
            <w:pPr>
              <w:jc w:val="center"/>
              <w:ind w:left="753"/>
              <w:spacing w:after="0"/>
              <w:rPr>
                <w:sz w:val="20"/>
                <w:szCs w:val="20"/>
                <w:color w:val="auto"/>
              </w:rPr>
            </w:pPr>
            <w:r>
              <w:rPr>
                <w:rFonts w:ascii="Arial" w:cs="Arial" w:eastAsia="Arial" w:hAnsi="Arial"/>
                <w:sz w:val="18"/>
                <w:szCs w:val="18"/>
                <w:b w:val="1"/>
                <w:bCs w:val="1"/>
                <w:color w:val="auto"/>
                <w:w w:val="90"/>
              </w:rPr>
              <w:t>Common Stock, $0.001 Par Value</w:t>
            </w:r>
          </w:p>
        </w:tc>
        <w:tc>
          <w:tcPr>
            <w:tcW w:w="3120" w:type="dxa"/>
            <w:vAlign w:val="bottom"/>
            <w:gridSpan w:val="3"/>
          </w:tcPr>
          <w:p>
            <w:pPr>
              <w:jc w:val="center"/>
              <w:ind w:left="711"/>
              <w:spacing w:after="0"/>
              <w:rPr>
                <w:sz w:val="20"/>
                <w:szCs w:val="20"/>
                <w:color w:val="auto"/>
              </w:rPr>
            </w:pPr>
            <w:r>
              <w:rPr>
                <w:rFonts w:ascii="Arial" w:cs="Arial" w:eastAsia="Arial" w:hAnsi="Arial"/>
                <w:sz w:val="18"/>
                <w:szCs w:val="18"/>
                <w:b w:val="1"/>
                <w:bCs w:val="1"/>
                <w:color w:val="auto"/>
              </w:rPr>
              <w:t>FTNT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534"/>
        </w:trPr>
        <w:tc>
          <w:tcPr>
            <w:tcW w:w="3420" w:type="dxa"/>
            <w:vAlign w:val="bottom"/>
          </w:tcPr>
          <w:p>
            <w:pPr>
              <w:jc w:val="center"/>
              <w:ind w:left="733"/>
              <w:spacing w:after="0"/>
              <w:rPr>
                <w:sz w:val="20"/>
                <w:szCs w:val="20"/>
                <w:color w:val="auto"/>
              </w:rPr>
            </w:pPr>
            <w:r>
              <w:rPr>
                <w:rFonts w:ascii="Arial" w:cs="Arial" w:eastAsia="Arial" w:hAnsi="Arial"/>
                <w:sz w:val="16"/>
                <w:szCs w:val="16"/>
                <w:b w:val="1"/>
                <w:bCs w:val="1"/>
                <w:color w:val="auto"/>
                <w:w w:val="88"/>
              </w:rPr>
              <w:t>(Title of each class)</w:t>
            </w:r>
          </w:p>
        </w:tc>
        <w:tc>
          <w:tcPr>
            <w:tcW w:w="3120" w:type="dxa"/>
            <w:vAlign w:val="bottom"/>
            <w:gridSpan w:val="3"/>
          </w:tcPr>
          <w:p>
            <w:pPr>
              <w:jc w:val="center"/>
              <w:ind w:left="711"/>
              <w:spacing w:after="0"/>
              <w:rPr>
                <w:sz w:val="20"/>
                <w:szCs w:val="20"/>
                <w:color w:val="auto"/>
              </w:rPr>
            </w:pPr>
            <w:r>
              <w:rPr>
                <w:rFonts w:ascii="Arial" w:cs="Arial" w:eastAsia="Arial" w:hAnsi="Arial"/>
                <w:sz w:val="16"/>
                <w:szCs w:val="16"/>
                <w:b w:val="1"/>
                <w:bCs w:val="1"/>
                <w:color w:val="auto"/>
                <w:w w:val="94"/>
              </w:rPr>
              <w:t>(Trading Symbol)</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7"/>
          </w:tcPr>
          <w:p>
            <w:pPr>
              <w:jc w:val="center"/>
              <w:ind w:left="2173"/>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8"/>
        </w:trPr>
        <w:tc>
          <w:tcPr>
            <w:tcW w:w="862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62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Yes </w:t>
            </w: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No</w:t>
            </w:r>
          </w:p>
        </w:tc>
        <w:tc>
          <w:tcPr>
            <w:tcW w:w="4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ectPr>
          <w:pgSz w:w="11900" w:h="16838" w:orient="portrait"/>
          <w:cols w:equalWidth="0" w:num="1">
            <w:col w:w="10340"/>
          </w:cols>
          <w:pgMar w:left="240" w:top="229" w:right="13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8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22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0"/>
          <w:szCs w:val="20"/>
          <w:color w:val="auto"/>
        </w:rPr>
      </w:pPr>
    </w:p>
    <w:p>
      <w:pPr>
        <w:ind w:right="40" w:firstLine="27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left="280"/>
        <w:spacing w:after="0" w:line="207" w:lineRule="exact"/>
        <w:tabs>
          <w:tab w:leader="none" w:pos="786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28, 2019, the last business day of the registrant’s most recently completed second quarter, was $8,793,866,992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20"/>
        <w:spacing w:after="0" w:line="438" w:lineRule="auto"/>
        <w:rPr>
          <w:sz w:val="20"/>
          <w:szCs w:val="20"/>
          <w:color w:val="auto"/>
        </w:rPr>
      </w:pPr>
      <w:r>
        <w:rPr>
          <w:rFonts w:ascii="Arial" w:cs="Arial" w:eastAsia="Arial" w:hAnsi="Arial"/>
          <w:sz w:val="18"/>
          <w:szCs w:val="18"/>
          <w:color w:val="auto"/>
        </w:rPr>
        <w:t>As of February 21, 2020, there were 172,514,722 shares of the registrant’s common stock outstanding. DOCUMENTS INCORPORATED BY REFERENCE</w:t>
      </w:r>
    </w:p>
    <w:p>
      <w:pPr>
        <w:spacing w:after="0" w:line="1"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2020 Annual Meeting of Stockholders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ectPr>
          <w:pgSz w:w="11900" w:h="16838" w:orient="portrait"/>
          <w:cols w:equalWidth="0" w:num="1">
            <w:col w:w="11380"/>
          </w:cols>
          <w:pgMar w:left="240" w:top="121"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5"/>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40" w:type="dxa"/>
            <w:vAlign w:val="bottom"/>
            <w:gridSpan w:val="20"/>
          </w:tcPr>
          <w:p>
            <w:pPr>
              <w:spacing w:after="0"/>
              <w:rPr>
                <w:sz w:val="24"/>
                <w:szCs w:val="24"/>
                <w:color w:val="auto"/>
              </w:rPr>
            </w:pPr>
          </w:p>
        </w:tc>
        <w:tc>
          <w:tcPr>
            <w:tcW w:w="5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880" w:type="dxa"/>
            <w:vAlign w:val="bottom"/>
            <w:gridSpan w:val="17"/>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3280" w:type="dxa"/>
            <w:vAlign w:val="bottom"/>
            <w:gridSpan w:val="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Other Information</w:t>
              </w:r>
            </w:hyperlink>
          </w:p>
        </w:tc>
        <w:tc>
          <w:tcPr>
            <w:tcW w:w="802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Exhibits, Financial Statement Schedules</w:t>
              </w:r>
            </w:hyperlink>
          </w:p>
        </w:tc>
        <w:tc>
          <w:tcPr>
            <w:tcW w:w="68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Exhibit Index</w:t>
              </w:r>
            </w:hyperlink>
          </w:p>
        </w:tc>
        <w:tc>
          <w:tcPr>
            <w:tcW w:w="8800" w:type="dxa"/>
            <w:vAlign w:val="bottom"/>
            <w:gridSpan w:val="1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0">
              <w:r>
                <w:rPr>
                  <w:rFonts w:ascii="Arial" w:cs="Arial" w:eastAsia="Arial" w:hAnsi="Arial"/>
                  <w:sz w:val="18"/>
                  <w:szCs w:val="18"/>
                  <w:color w:val="0000EE"/>
                  <w:w w:val="85"/>
                </w:rPr>
                <w:t>Signatures</w:t>
              </w:r>
            </w:hyperlink>
          </w:p>
        </w:tc>
        <w:tc>
          <w:tcPr>
            <w:tcW w:w="902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37"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80" w:hanging="328"/>
        <w:spacing w:after="0" w:line="291"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Network Security</w:t>
      </w:r>
      <w:r>
        <w:rPr>
          <w:rFonts w:ascii="Arial" w:cs="Arial" w:eastAsia="Arial" w:hAnsi="Arial"/>
          <w:sz w:val="16"/>
          <w:szCs w:val="16"/>
          <w:color w:val="auto"/>
        </w:rPr>
        <w:t>—We derive a majority of product sales from our FortiGate network security appliances. Our FortiGate network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appliances include a broad set of built-in security and networking features and functionalities, including firewall, next-generation firewall, secure web gateway, secure sockets layer (“SSL”) inspection, software-defined wide-area network (“SD-WAN”), intrusion prevention, SSL data leak prevention, virtual private network (“VPN”), switch and wireless controller and wide area network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 (“SPU”) technology within our appliances, enabling us to add security and network functionality with minimal impact to network throughput performance.</w:t>
      </w:r>
    </w:p>
    <w:p>
      <w:pPr>
        <w:spacing w:after="0" w:line="167" w:lineRule="exact"/>
        <w:rPr>
          <w:rFonts w:ascii="Arial" w:cs="Arial" w:eastAsia="Arial" w:hAnsi="Arial"/>
          <w:sz w:val="16"/>
          <w:szCs w:val="16"/>
          <w:b w:val="1"/>
          <w:bCs w:val="1"/>
          <w:i w:val="1"/>
          <w:iCs w:val="1"/>
          <w:color w:val="auto"/>
        </w:rPr>
      </w:pPr>
    </w:p>
    <w:p>
      <w:pPr>
        <w:ind w:left="660" w:right="4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Security</w:t>
      </w:r>
      <w:r>
        <w:rPr>
          <w:rFonts w:ascii="Arial" w:cs="Arial" w:eastAsia="Arial" w:hAnsi="Arial"/>
          <w:sz w:val="17"/>
          <w:szCs w:val="17"/>
          <w:color w:val="auto"/>
        </w:rPr>
        <w:t>—The Fortinet Security Fabric platform is a broad, automated and integrated security platform that extends beyond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to cover other attack vectors. Other infrastructure solutions covered include Secure Access (Wi-Fi and switch).</w:t>
      </w:r>
    </w:p>
    <w:p>
      <w:pPr>
        <w:spacing w:after="0" w:line="146" w:lineRule="exact"/>
        <w:rPr>
          <w:rFonts w:ascii="Arial" w:cs="Arial" w:eastAsia="Arial" w:hAnsi="Arial"/>
          <w:sz w:val="17"/>
          <w:szCs w:val="17"/>
          <w:color w:val="auto"/>
        </w:rPr>
      </w:pPr>
    </w:p>
    <w:p>
      <w:pPr>
        <w:ind w:left="660" w:right="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hybrid, public and private cloud environments by offering security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virtual firewall and other software products in public and private cloud environments. Our cloud security solutions, including virtual appliances and hosted solutions, extend the core capabilities of the Fortinet Security Fabric platform to provide businesses with the same level of cybersecurity and threat intelligence in and across cloud environments that they receive on their physical networks. Fortinet cloud security offerings are available across all major cloud providers, including Amazon Web Services, Microsoft Azure, Google Cloud, Oracle Cloud, Alibaba Cloud and IBM Cloud. Our Cloud Security portfolio also includes securing applications, including email and web.</w:t>
      </w:r>
    </w:p>
    <w:p>
      <w:pPr>
        <w:spacing w:after="0" w:line="178"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and Operational Technology Security</w:t>
      </w:r>
      <w:r>
        <w:rPr>
          <w:rFonts w:ascii="Arial" w:cs="Arial" w:eastAsia="Arial" w:hAnsi="Arial"/>
          <w:sz w:val="18"/>
          <w:szCs w:val="18"/>
          <w:color w:val="auto"/>
        </w:rPr>
        <w:t>—We protect end-customers from advanced threats that target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 and the data that reside on them through our advanced endpoint solutions that provide core endpoint protection, advanced threat protection, incident monitoring, and response. Additionally, the proliferation of Internet of Things (“IoT”) and the digitization of Operational Technology (“OT”) devices has generated new opportunities for us to grow our business. We offer network access control solutions that provide visibility, control and automated event responses in order to secure IoT devices.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develop and provide Artificial Intelligence (“AI”)-driven security operations solutions, including FortiGuard security services, that can be applied across the entire Fortinet Security Fabric platform. These solutions help customers better secure their environments by delivering deeper intelligence and insights and by reducing the gaps in security skills and resources that are present in many organizations.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to our security solutions, our customers, channel partners and end-customers may purchase FortiGuard and other security subscription services to receive threat intelligence updates, FortiCare technical support services across all of our products and the support of Technical Account Managers, Resident Engineers and professional service consultants for implementations or training services.</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During our year ended December 31, 2019, we generated total revenue of $2.16 billion and net income of $326.5 million. See Part II, Item 8 of this Annual Report on Form 10-K for more information on our consolidated balance sheets as of December 31, 2019 and 2018 and our consolidated statements of income, comprehensive income, stockholders’ equity, and cash flows for each of the three years ended December 31, 2019, 2018 and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Fortinet Security Fabric platform helps organizations secure their environments and reduce their security and network complexities. The Fortinet Security Fabric platform has an open architecture designed to connect Fortinet solutions and third-party solutions into a single ecosystem.</w:t>
      </w:r>
    </w:p>
    <w:p>
      <w:pPr>
        <w:spacing w:after="0" w:line="14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proprietary SPU hardware architecture, FortiOS operating system and associated security and networking functions are combined to form the Fortinet Security Fabric platform. This approach to security ties together discrete security solutions into an integrated whole, which enables our products to perform security processing for networks with high throughput requirements across a broad threat landscape.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SPU</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proprietary SPUs are Application-Specific Integrated Circuits (“ASICs”) that include (i) the Content Processor (“SPU CP”), (ii) the Network Processor (“SPU NP”) and (iii) the System-on-a-Chip (“SPU SoC”). Each successive generation of SPU adds network speed and the capacity to perform security functions. Our SPUs are designed to enhance the security processing capabilities implemented in software by accelerating computationally intensive tasks such as firewall policy enforcement, SD-WAN, network address translation, Intrusion Prevention Systems (“IPS”) threat detection and encryption.</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use of SPUs allows our appliances to deliver security functionality with minimal impact to network throughput performance, which we believe delivers a lower total cost of ownership (“TCO”) to our customers. As the security needs of our end-customers increase, we believe that our TCO and our SPUs will give our products a competitive advantage against other architectural approaches.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Entry-level FortiGate products often use the SPU SoC to provide the necessary acceleration at this level. Mid-range FortiGate products use a central processing unit (“CPU”) and include the SPU NP and SPU CP hardware acceleration. The high-end FortiGate products use multiple CPUs, SPU CPs and SPU NPs.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proprietary FortiOS operating system provides the foundation for the operation of all FortiGate appliances, whether physical, virtual, private or public cloud based, and is at the heart of the Fortinet Security Fabric platform. We make regular updates to FortiOS available through our FortiCare support services.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security and networking capabilities of the Fortinet Security Fabric platform are controlled through FortiOS. The core kernel functions to the security processing feature sets work together to provide a highly integrated solution.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SPUs and provides system management functions such as command line, graphical user interfaces, multiple network and security topology views.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high-level functions and capabilities of FortiOS include:</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 enablement for the Fortinet Security Fabric platform architecture;</w:t>
      </w:r>
    </w:p>
    <w:p>
      <w:pPr>
        <w:spacing w:after="0" w:line="23" w:lineRule="exact"/>
        <w:rPr>
          <w:rFonts w:ascii="Arial" w:cs="Arial" w:eastAsia="Arial" w:hAnsi="Arial"/>
          <w:sz w:val="18"/>
          <w:szCs w:val="18"/>
          <w:color w:val="auto"/>
        </w:rPr>
      </w:pPr>
    </w:p>
    <w:p>
      <w:pPr>
        <w:ind w:left="1300" w:right="12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optionality to configure FortiGate appliances into different security environments, such as our Internal Network Firewall, Next-Generation Firewall and Data Center Firewall;</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configuration of the physical aspects of the appliance, such as ports, onboard Wi-Fi and switching;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extension of the Fortinet Security Fabric platform through direct management of FortiSwitch and FortiAP devices;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 network functions such as routing and deployment modes (network routing, transparent, sniffer, etc.);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deploy and orchestrate SD-WAN instances;</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security updates from our FortiGuard distribution network, delivering FortiGuard security subscription services and intelligence, such as IPS, antivirus and application control;</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native integrations with major cloud provider platforms;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real-time reporting and logging.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FortiGate appliance to integrate and operate in a wide variety of network environments. Additional features include virtual domain capabilities, which can provide support for multiple customers on a single device or FortiOS instance. FortiOS also provides capabilities for the logging of traffic for forensic analysis purposes, which are particularly important for regulatory compliance initiatives such as payment card industry data security standards. FortiOS is designed to help control network traffic in order to optimize performance by including functionality such as packet classification, queue disciplines, policy enforcement, congestion management, wide-area network (“WAN”) optimization and caching. These features enable administrators to set the appropriate configurations and policies that meet their infrastructure needs.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core product offerings consist of our FortiGate product family and our non-FortiGate products, all of which may be purchased to complement commercial and enterprise deployments. Our FortiGate hardware and software licenses are sold with a set of broad security services. These security services are enabled by FortiGuard Labs, which provides extensive threat research and artificial intelligence capabilities from a global cloud network to deliver protection services to each FortiGate appliance that is registered by the end-customer. Our non-FortiGate products span the full range of our customers’ core security needs and include the Fortinet Security Fabric platform, email security, cloud security, endpoint protection and other products.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FortiGate offers a broad set of security and networking functions, including firewall, intrusion prevention, anti-malware, VPN, application control, web filtering, anti-spam and WAN acceleration. FortiGate is available as a hardware appliance or as a virtual appliance. All FortiGate appliances run on FortiOS. FortiGate platforms can be centrally managed through both embedded web-based and command line interfaces, as well as through FortiManager, which provides a central management architecture for FortiGate appliances and the Fortinet Security Fabric platform.</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By combining multiple network security functions in our purpose-built security platform, FortiGate appliances provide broad, high-quality protection capabilities and deployment flexibility while reducing the operational burden and costs associated with managing multiple point products. With over 40 models in the FortiGate product line, FortiGate is designed to address security requirements for small- to medium-sized businesses, large enterprises and government organizations worldwide.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Typically, all FortiGate hardware appliances include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-90 series models are designed for perimeter protection for small- to medium-sized businesses and enterprises with distributed offices. The FortiGate-100 through -900 series models are designed for perimeter deployment in medium-sized to large enterprise networks. The FortiGate-1000 through -7000 series models deliver high performance and scalable network security functionality for perimeter, data center and core deployment in large enterprises.</w:t>
      </w:r>
    </w:p>
    <w:p>
      <w:pPr>
        <w:spacing w:after="0" w:line="17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also incorporate additional technologies within FortiGate appliances that differentiate our solutions, including data leak protection, traffic optimization, SSL inspection, threat vulnerability management and wireless controller technology. In addition to these in-built features, we offer a full range of wireless access points and controllers, complementing FortiGate appliances with the flexibility of wireless local area network access.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Security Fabric Platform and Non-FortiGate Products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part of the Fortinet Security Fabric platform, we offer products that provide network security, end point security, cloud security, web-based application security, identity and access management, sandbox protection and email security. The integration of devices using open standards, common operating systems, and unified management platforms enables the sharing and correlation of real-time threat intelligence. The following Fortinet products can operate as part of the Fortinet Security Fabric platform.</w:t>
      </w:r>
    </w:p>
    <w:p>
      <w:pPr>
        <w:spacing w:after="0" w:line="187" w:lineRule="exact"/>
        <w:rPr>
          <w:sz w:val="20"/>
          <w:szCs w:val="20"/>
          <w:color w:val="auto"/>
        </w:rPr>
      </w:pPr>
    </w:p>
    <w:p>
      <w:pPr>
        <w:ind w:left="1300" w:right="260" w:hanging="320"/>
        <w:spacing w:after="0" w:line="286" w:lineRule="auto"/>
        <w:tabs>
          <w:tab w:leader="none" w:pos="130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FortiSwitch</w:t>
      </w:r>
      <w:r>
        <w:rPr>
          <w:rFonts w:ascii="Arial" w:cs="Arial" w:eastAsia="Arial" w:hAnsi="Arial"/>
          <w:sz w:val="17"/>
          <w:szCs w:val="17"/>
          <w:color w:val="auto"/>
        </w:rPr>
        <w:t>—Our FortiSwitch product family provides secure switching solutions that can be deployed in traditional network switching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with Layer 2 or Layer 3 access control features. FortiSwitch creates a scalable and secure access layer for customers to connect their end devices, such as computers and laptops, as well as to expand the field of IoT devices.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40" w:hanging="320"/>
        <w:spacing w:after="0" w:line="264" w:lineRule="auto"/>
        <w:tabs>
          <w:tab w:leader="none" w:pos="1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FortiAP</w:t>
      </w:r>
      <w:r>
        <w:rPr>
          <w:rFonts w:ascii="Arial" w:cs="Arial" w:eastAsia="Arial" w:hAnsi="Arial"/>
          <w:sz w:val="18"/>
          <w:szCs w:val="18"/>
          <w:color w:val="auto"/>
        </w:rPr>
        <w:t>—Our FortiAP product family provides secure wireless networking solutions. FortiAPs allow a variety of management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from the cloud and directly from our FortiGate firewall product. FortiAPs create a scalable and secure access layer for connecting wireless devices such as computers, laptops, cell phones and tablets, as well as IoT devices.</w:t>
      </w:r>
    </w:p>
    <w:p>
      <w:pPr>
        <w:spacing w:after="0" w:line="181" w:lineRule="exact"/>
        <w:rPr>
          <w:rFonts w:ascii="Arial" w:cs="Arial" w:eastAsia="Arial" w:hAnsi="Arial"/>
          <w:sz w:val="18"/>
          <w:szCs w:val="18"/>
          <w:b w:val="1"/>
          <w:bCs w:val="1"/>
          <w:i w:val="1"/>
          <w:iCs w:val="1"/>
          <w:color w:val="auto"/>
        </w:rPr>
      </w:pPr>
    </w:p>
    <w:p>
      <w:pPr>
        <w:ind w:left="1300" w:right="120" w:hanging="320"/>
        <w:spacing w:after="0" w:line="286" w:lineRule="auto"/>
        <w:tabs>
          <w:tab w:leader="none" w:pos="130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FortiExtender</w:t>
      </w:r>
      <w:r>
        <w:rPr>
          <w:rFonts w:ascii="Arial" w:cs="Arial" w:eastAsia="Arial" w:hAnsi="Arial"/>
          <w:sz w:val="17"/>
          <w:szCs w:val="17"/>
          <w:color w:val="auto"/>
        </w:rPr>
        <w:t>—Our FortiExtender appliance provides a WAN connection to our FortiGate products using wireless broadband networks.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End-customers that use multiple WAN connections, including SD-WAN, can use FortiExtender for one of those WAN links. FortiExtender can also be used as the primary connection for a location where wireless is the preferred broadband option.</w:t>
      </w:r>
    </w:p>
    <w:p>
      <w:pPr>
        <w:spacing w:after="0" w:line="165" w:lineRule="exact"/>
        <w:rPr>
          <w:rFonts w:ascii="Arial" w:cs="Arial" w:eastAsia="Arial" w:hAnsi="Arial"/>
          <w:sz w:val="17"/>
          <w:szCs w:val="17"/>
          <w:b w:val="1"/>
          <w:bCs w:val="1"/>
          <w:i w:val="1"/>
          <w:iCs w:val="1"/>
          <w:color w:val="auto"/>
        </w:rPr>
      </w:pPr>
    </w:p>
    <w:p>
      <w:pPr>
        <w:ind w:left="130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FortiAnalyzer</w:t>
      </w:r>
      <w:r>
        <w:rPr>
          <w:rFonts w:ascii="Arial" w:cs="Arial" w:eastAsia="Arial" w:hAnsi="Arial"/>
          <w:sz w:val="18"/>
          <w:szCs w:val="18"/>
          <w:color w:val="auto"/>
        </w:rPr>
        <w:t>—Our FortiAnalyzer family of products provides centralized network logging, analyzing and reporting solutions that securely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content and log data from our FortiGate devices, other Fortinet products and third-party devices to enable network logging, analysis and reporting.</w:t>
      </w:r>
    </w:p>
    <w:p>
      <w:pPr>
        <w:spacing w:after="0" w:line="181" w:lineRule="exact"/>
        <w:rPr>
          <w:rFonts w:ascii="Arial" w:cs="Arial" w:eastAsia="Arial" w:hAnsi="Arial"/>
          <w:sz w:val="18"/>
          <w:szCs w:val="18"/>
          <w:color w:val="auto"/>
        </w:rPr>
      </w:pPr>
    </w:p>
    <w:p>
      <w:pPr>
        <w:ind w:left="1300" w:right="160" w:hanging="320"/>
        <w:spacing w:after="0" w:line="31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FortiManager</w:t>
      </w:r>
      <w:r>
        <w:rPr>
          <w:rFonts w:ascii="Arial" w:cs="Arial" w:eastAsia="Arial" w:hAnsi="Arial"/>
          <w:sz w:val="16"/>
          <w:szCs w:val="16"/>
          <w:color w:val="auto"/>
        </w:rPr>
        <w:t>—Our FortiManager family of products provides a central and scalable management solution for our FortiGate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software updates, configuration, policy settings and security updates. FortiManager facilitates the coordination of policy-based provisioning, device configuration and operating system revision management, as well as network security monitoring and device control.</w:t>
      </w:r>
    </w:p>
    <w:p>
      <w:pPr>
        <w:spacing w:after="0" w:line="146" w:lineRule="exact"/>
        <w:rPr>
          <w:rFonts w:ascii="Arial" w:cs="Arial" w:eastAsia="Arial" w:hAnsi="Arial"/>
          <w:sz w:val="16"/>
          <w:szCs w:val="16"/>
          <w:color w:val="auto"/>
        </w:rPr>
      </w:pPr>
    </w:p>
    <w:p>
      <w:pPr>
        <w:ind w:left="1300" w:right="2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FortiWeb</w:t>
      </w:r>
      <w:r>
        <w:rPr>
          <w:rFonts w:ascii="Arial" w:cs="Arial" w:eastAsia="Arial" w:hAnsi="Arial"/>
          <w:sz w:val="18"/>
          <w:szCs w:val="18"/>
          <w:color w:val="auto"/>
        </w:rPr>
        <w:t>—Our FortiWeb product family provides web application firewall solutions, including internet protocol (“IP”) reputation and anti-botnet security, distributed denial-of-service protection, protocol validation, application attack signatures and deep learning AI to protect applications against a wide range of threats.</w:t>
      </w:r>
    </w:p>
    <w:p>
      <w:pPr>
        <w:spacing w:after="0" w:line="275"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FortiMail</w:t>
      </w:r>
      <w:r>
        <w:rPr>
          <w:rFonts w:ascii="Arial" w:cs="Arial" w:eastAsia="Arial" w:hAnsi="Arial"/>
          <w:sz w:val="18"/>
          <w:szCs w:val="18"/>
          <w:color w:val="auto"/>
        </w:rPr>
        <w:t>—Our FortiMail product family provides secure email gateway solutions. FortiMail utilizes the technologies and security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FortiGuard Labs to deliver protection against threats that use email as an attack vector. FortiMail also integrates data protection capabilities to avoid data loss.</w:t>
      </w:r>
    </w:p>
    <w:p>
      <w:pPr>
        <w:spacing w:after="0" w:line="181" w:lineRule="exact"/>
        <w:rPr>
          <w:rFonts w:ascii="Arial" w:cs="Arial" w:eastAsia="Arial" w:hAnsi="Arial"/>
          <w:sz w:val="18"/>
          <w:szCs w:val="18"/>
          <w:color w:val="auto"/>
        </w:rPr>
      </w:pPr>
    </w:p>
    <w:p>
      <w:pPr>
        <w:ind w:left="1300" w:right="160" w:hanging="320"/>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FortiSandbox</w:t>
      </w:r>
      <w:r>
        <w:rPr>
          <w:rFonts w:ascii="Arial" w:cs="Arial" w:eastAsia="Arial" w:hAnsi="Arial"/>
          <w:sz w:val="18"/>
          <w:szCs w:val="18"/>
          <w:color w:val="auto"/>
        </w:rPr>
        <w:t>—Our FortiSandbox technology delivers proactive detection and mitigation with the ability to generate a directly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capability. Available in both hardware and cloud-based form, the FortiSandbox subjects suspicious code to a set of multi-layer protection techniques, culminating in execution within an operating system, allowing real-time behavioral analysis to be performed in a secure environment. When malicious code is identified, a signature can be generated locally for distribution across the Fortinet Security Fabric platform.</w:t>
      </w:r>
    </w:p>
    <w:p>
      <w:pPr>
        <w:spacing w:after="0" w:line="188" w:lineRule="exact"/>
        <w:rPr>
          <w:rFonts w:ascii="Arial" w:cs="Arial" w:eastAsia="Arial" w:hAnsi="Arial"/>
          <w:sz w:val="18"/>
          <w:szCs w:val="18"/>
          <w:color w:val="auto"/>
        </w:rPr>
      </w:pPr>
    </w:p>
    <w:p>
      <w:pPr>
        <w:ind w:left="1300" w:right="260" w:hanging="320"/>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FortiSIEM</w:t>
      </w:r>
      <w:r>
        <w:rPr>
          <w:rFonts w:ascii="Arial" w:cs="Arial" w:eastAsia="Arial" w:hAnsi="Arial"/>
          <w:sz w:val="18"/>
          <w:szCs w:val="18"/>
          <w:color w:val="auto"/>
        </w:rPr>
        <w:t>—Our FortiSIEM family of software solutions provides a cloud-ready security information and event management (“SIEM”)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FortiSIEM unifies analytics that are traditionally monitored discretely, parses the information and then processes it in an event-based analytics engine for handling real-time searches, rules, dashboards and ad-hoc queries. This unification of diverse sources of data enables organizations to create comprehensive dashboards and reports to identify root causes of threats, and take the steps necessary to remediate and prevent them in the future.</w:t>
      </w:r>
    </w:p>
    <w:p>
      <w:pPr>
        <w:spacing w:after="0" w:line="188"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FortiToken and FortiAuthenticator</w:t>
      </w:r>
      <w:r>
        <w:rPr>
          <w:rFonts w:ascii="Arial" w:cs="Arial" w:eastAsia="Arial" w:hAnsi="Arial"/>
          <w:sz w:val="18"/>
          <w:szCs w:val="18"/>
          <w:color w:val="auto"/>
        </w:rPr>
        <w:t>—Our FortiToken and FortiAuthenticator product families allow organizations to implement multi-factor authentication to better safeguard systems, assets and data.</w:t>
      </w:r>
    </w:p>
    <w:p>
      <w:pPr>
        <w:spacing w:after="0" w:line="170" w:lineRule="exact"/>
        <w:rPr>
          <w:rFonts w:ascii="Arial" w:cs="Arial" w:eastAsia="Arial" w:hAnsi="Arial"/>
          <w:sz w:val="18"/>
          <w:szCs w:val="18"/>
          <w:b w:val="1"/>
          <w:bCs w:val="1"/>
          <w:i w:val="1"/>
          <w:iCs w:val="1"/>
          <w:color w:val="auto"/>
        </w:rPr>
      </w:pPr>
    </w:p>
    <w:p>
      <w:pPr>
        <w:ind w:left="1300" w:right="260" w:hanging="320"/>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FortiNAC</w:t>
      </w:r>
      <w:r>
        <w:rPr>
          <w:rFonts w:ascii="Arial" w:cs="Arial" w:eastAsia="Arial" w:hAnsi="Arial"/>
          <w:sz w:val="16"/>
          <w:szCs w:val="16"/>
          <w:color w:val="auto"/>
        </w:rPr>
        <w:t>—Our FortiNAC product family enables customers to implement zero trust network access strategies by gaining visibility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connecting into the network, including IoT devices, in order to meet minimum required security postures and to control access.</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of the products listed above are available in multiple form factors, such as hardware, virtual machine, cloud or software-as-a-service (“SaaS”), except for FortiSwitch, FortiAP and FortiExtender, which are available as hardware appliances only.</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In the fourth quarter of 2019, we acquired enSilo Limited (“enSilo”), a provider of endpoint detection and response products and services, and CyberSponse, Inc. (“CyberSponse”), a provider of security orchestration, automation and response products and services. We expect that the enSilo acquisition will further enhance the Fortinet Security Fabric platform and strengthen endpoint and network security solutions by providing customers with advanced endpoint security. We expect that the CyberSponse acquisition will further extend the automation and incident response capabilities of our FortiAnalyzer, FortiSIEM and FortiGate solutions.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Security requirements are dynamic due to the constantly changing nature of threats. Our FortiGuard security subscription services are designed to quickly deliver new threat detection and prevention capabilities to end-customers worldwide as new threats evolve. Our FortiGuard Labs global threat research team identifies emerging threats, collects threat samples, and replicates, reviews, characterizes and collates attack data through the use of AI, automation and original research. Based on this research, we develop updates for virus signatures, attack definitions, scanning engines and other security solution components to distribute to end-customers. FortiGuard functionality varies depending on which FortiGate and non-FortiGate products the end-customer is using, but will typically include one or more of the following functions: application control, antivirus, intrusion prevention, web filtering, anti-spam, VPN functions, email image analysis, vulnerability management, database functions, web functions, advanced threat protection, sandboxing and domain and IP reputation services.</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End-customers purchase FortiGuard security subscription services in advance, typically with terms of one to five years. We provide FortiGuard security subscription services 24 hours a day, seven days a week.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FortiCare support services portfolio includes technical support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worldwide regional technical support centers. In addition to our technical support services, we offer a range of advanced services, including premium support, professional services and replacement parts delivery.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Bundles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also sell FortiGuard and FortiCare services as bundles, consolidating security services into packages that would be typical for certain types of end-customer.</w:t>
      </w:r>
    </w:p>
    <w:p>
      <w:pPr>
        <w:spacing w:after="0" w:line="170" w:lineRule="exact"/>
        <w:rPr>
          <w:sz w:val="20"/>
          <w:szCs w:val="20"/>
          <w:color w:val="auto"/>
        </w:rPr>
      </w:pPr>
    </w:p>
    <w:p>
      <w:pPr>
        <w:ind w:left="1300" w:hanging="320"/>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Advanced Threat Protection</w:t>
      </w:r>
      <w:r>
        <w:rPr>
          <w:rFonts w:ascii="Arial" w:cs="Arial" w:eastAsia="Arial" w:hAnsi="Arial"/>
          <w:sz w:val="18"/>
          <w:szCs w:val="18"/>
          <w:color w:val="auto"/>
        </w:rPr>
        <w:t>—Our Advanced Threat Protection bundle includes application control, antivirus, IP reputation and anti-botnet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mobile security, data sanitation, sandbox, intrusion prevention and virus outbreak protection, along with FortiCare support services.</w:t>
      </w:r>
    </w:p>
    <w:p>
      <w:pPr>
        <w:spacing w:after="0" w:line="181" w:lineRule="exact"/>
        <w:rPr>
          <w:rFonts w:ascii="Arial" w:cs="Arial" w:eastAsia="Arial" w:hAnsi="Arial"/>
          <w:sz w:val="18"/>
          <w:szCs w:val="18"/>
          <w:color w:val="auto"/>
        </w:rPr>
      </w:pPr>
    </w:p>
    <w:p>
      <w:pPr>
        <w:ind w:left="1300" w:right="500" w:hanging="320"/>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Unified Threat Protection</w:t>
      </w:r>
      <w:r>
        <w:rPr>
          <w:rFonts w:ascii="Arial" w:cs="Arial" w:eastAsia="Arial" w:hAnsi="Arial"/>
          <w:sz w:val="17"/>
          <w:szCs w:val="17"/>
          <w:color w:val="auto"/>
        </w:rPr>
        <w:t>—Our Unified Threat Protection bundle includes antispam, antivirus, data sanitation, sandbox, application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intrusion prevention, virus outbreak protection and web filtering, along with FortiCare support services.</w:t>
      </w:r>
    </w:p>
    <w:p>
      <w:pPr>
        <w:spacing w:after="0" w:line="146" w:lineRule="exact"/>
        <w:rPr>
          <w:rFonts w:ascii="Arial" w:cs="Arial" w:eastAsia="Arial" w:hAnsi="Arial"/>
          <w:sz w:val="17"/>
          <w:szCs w:val="17"/>
          <w:color w:val="auto"/>
        </w:rPr>
      </w:pPr>
    </w:p>
    <w:p>
      <w:pPr>
        <w:ind w:left="1300" w:right="520" w:hanging="320"/>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Enterprise Protection</w:t>
      </w:r>
      <w:r>
        <w:rPr>
          <w:rFonts w:ascii="Arial" w:cs="Arial" w:eastAsia="Arial" w:hAnsi="Arial"/>
          <w:sz w:val="17"/>
          <w:szCs w:val="17"/>
          <w:color w:val="auto"/>
        </w:rPr>
        <w:t>—Our Enterprise Protection bundle includes application control, intrusion prevention, web filtering, sandbox,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antivirus, mobile security, IP reputation and anti-botnet security, antispam, cloud access security broker (“CASB”), industrial control systems, security rating, virus outbreak protection and data sanitation, along with FortiCare support services.</w:t>
      </w:r>
    </w:p>
    <w:p>
      <w:pPr>
        <w:spacing w:after="0" w:line="165" w:lineRule="exact"/>
        <w:rPr>
          <w:rFonts w:ascii="Arial" w:cs="Arial" w:eastAsia="Arial" w:hAnsi="Arial"/>
          <w:sz w:val="17"/>
          <w:szCs w:val="17"/>
          <w:color w:val="auto"/>
        </w:rPr>
      </w:pPr>
    </w:p>
    <w:p>
      <w:pPr>
        <w:ind w:left="1300" w:right="200" w:hanging="320"/>
        <w:spacing w:after="0" w:line="259" w:lineRule="auto"/>
        <w:tabs>
          <w:tab w:leader="none" w:pos="1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360 Protection</w:t>
      </w:r>
      <w:r>
        <w:rPr>
          <w:rFonts w:ascii="Arial" w:cs="Arial" w:eastAsia="Arial" w:hAnsi="Arial"/>
          <w:sz w:val="18"/>
          <w:szCs w:val="18"/>
          <w:color w:val="auto"/>
        </w:rPr>
        <w:t>—Our 360 Protection bundle includes application control, intrusion prevention, web filtering, sandbox, antivirus,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IP reputation and anti-botnet security, antispam, CASB, industrial control systems, security rating, virus outbreak protection and data sanitation, along with enhanced FortiCare support services and operational services such as SD-WAN orchestration and cloud-based management and visibility of the Fortinet Security Fabric platform.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and security architects for implementations.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TAMs and REs are dedicated support engineers available to help identify and eliminate issues before problems arise. Each TAM and RE acts as a single point of contact and customer advocate within Fortinet, offering a deep understanding of our customers’ businesses and security requirements.</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professional services consultants and security architects help to formulate customer-specific security strategies, develop roadmaps for securing digital initiatives and design product deployments. They work closely with end-customers to implement our products according to design, utilizing network analysis tools, traffic simulation software and scripts.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typically sell our security solutions to channel partners, who in turn sell to end-customers. At times, we also sell directly to end-customers. Our end-customers are located in over 80 countries and include small and medium-sized businesses,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 Customers may also access our products via the cloud through certain cloud providers such as Amazon Web Services, Microsoft Azure, Google Cloud, Oracle Cloud, Alibaba Cloud and IBM Cloud. Typically, our customers also purchase our FortiGuard security subscription services and FortiCare technical support services.</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2019, Exclusive Networks Group (“Exclusive”) and Ingram Micro Inc. (“Ingram Micro”) accounted for 31% and 11% of total revenue, respectively. During 2018, Exclusive and Ingram Micro accounted for 30% and 10% of total revenue, respectively. During 2017, Exclusive accounted for 25% of total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primarily sell our products and services through a two-tier distribution model. We sell to distributors that sell to networking security and enterprise-focused resellers and to service providers and managed security service providers (“MSSPs”), who, in turn, sell to our end-customers. In certain cases, we sell directly to large service providers and major systems integrators. We work with many technology distributors, including Exclusive, Ingram Micro, Synnex Corporation, Tech Data Corporation and Arrow Electronics, Inc.</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80 countries around the world.</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marketing strategy is focused on building our brand and driving end-customer demand for our security solutions. We use a combination of internal marketing professionals and a network of regional and global channel partners. Our internal marketing organization is responsible for messaging, branding, demand generation, product marketing, packaging support and subscription services into service bundles,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2019, we continued to invest in sales and marketing resources, particularly in the enterprise market where we believe there is an opportunity to expand our business. We intend to continue to make investments in our sales resources and infrastructure and marketing strategy, which are critical to support our growth.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outsource the manufacturing of our security appliance products to a variety of contract manufacturers and original design manufacturers. Our current manufacturing partners include ADLINK Technology, Inc. (“ADLINK”), IBASE Technology, Inc. (“IBASE”), Micro-Star International Co. (“Micro-Star”), Senao Networks, Inc. (“Senao”), Wistron Corporation (“Wistron”) and a number of other manufacturers. The majority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key to the performance of our appliances, are built by contract manufacturers including Toshiba America Electronic Components, Inc. (“Toshiba”) and Renesas Electronics America, Inc. (“Renesas”). These contract manufacturers use foundries in Taiwan and Japan operated by either Taiwan Semiconductor Manufacturing Company Limited (“TSMC”) or by the contract manufacturer itself.</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components included in our products are sourced from various suppliers by us or, more frequently, by our contract manufacturers. Some of the components important to our business, including certain CPUs from Intel Corporation (“Intel”); network chips from Broadcom Inc. (“Broadcom”), Marvell Technology Group Ltd. (“Marvell”) and Intel, and memory devices from Intel, ADATA Technology Co., Ltd. (“ADATA”), OCZ Technology Group, Inc., Samsung Electronics Co., Ltd. (“Samsung”), and Western Digital Technologies, Inc. (“Western Digital”), are available from limited or sole sources of supply.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focus our research and development efforts on developing new hardware and software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product selection, timely implementation of product design and development, product performance, costs of development, bills of materials, effective manufacturing and assembly processes and sales and marketing.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We periodically have discussions with third parties regarding licensing Fortinet’s intellectual property and have sometimes taken legal action against competitors to protect our intellectual property, and as a result third parties have paid us fees in return for licenses or covenants-not-to-sue related to Fortinet intellectual property. As of December 31, 2019, we had 626 U.S. and foreign-issued patents and 175 pending U.S. and foreign patent applications. We also license software from third parties for inclusion in our products, including open source software and other software.</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intellectual property of third parties.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information regarding seasonality in our sales, see the section entitled “Management’s Discussion and Analysis of Financial Condition and Results of Operations—Quarterly Results of Operations—Seasonality, Cyclicality and Quarterly Revenue Trends” in Part II, Item 7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70" w:lineRule="exact"/>
        <w:rPr>
          <w:sz w:val="20"/>
          <w:szCs w:val="20"/>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performance, throughput, features, effectiveness, interoperability and reliability;</w:t>
      </w:r>
    </w:p>
    <w:p>
      <w:pPr>
        <w:spacing w:after="0" w:line="23"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 and integration of new networking and security features and technological expertise;</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and support across varied and complex customer segments;</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financial stability; and</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Among others, our competitors include Barracuda Networks, Inc. (“Barracuda”), Check Point Software Technologies Ltd. (“Check Point”), Cisco Systems, Inc. (“Cisco”), CrowdStrike Holdings, Inc. (“CrowdStrike”), F5 Networks, Inc. (“F5 Networks”), FireEye, Inc. (“FireEye”), Forcepoint LLC (“Forcepoint”), Imperva, Inc. (“Imperva”), Juniper Networks, Inc. (“Juniper”), McAfee, LLC (“McAfee”), Palo Alto Networks, Inc. (“Palo Alto Networks”), Proofpoint, Inc. (“Proofpoint”), SonicWALL, Inc. (“SonicWALL”), Sophos Group Plc (“Sophos”), Trend Micro Incorporated (“Trend Micro”) and Zscaler, Inc (“Zscaler”).</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we compete favorably based on our products’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functionalities to our products.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market consolidation.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As of December 31, 2019, our total headcount was 7,082 employees and contractors. None of our U.S. employees are represented by a labor union; however, our employees in certain European and Latin American countries have the right to be represented by external labor organizations if they maintain up-to-date union membership. We have not experienced any work stoppages, and we consider our relations with our employees to be good.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https://www.sec.gov.</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and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21" w:right="3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component and product inventory shortages, including those caused by factors outside of our control such as natural disasters and health emergencies, including earthquakes, fires, power outages, typhoons, floods, pandemics or epidemics such as the coronavirus and manmade events such as civil unrest, labor disruption, international trade disputes, international conflicts, terrorism, wars and critical infrastructure attacks;</w:t>
      </w:r>
    </w:p>
    <w:p>
      <w:pPr>
        <w:spacing w:after="0" w:line="186"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fires, power outages, typhoons, floods, pandemics or epidemics such as the coronavirus and manmade events such as civil unrest, labor disruption, international trade disputes, international conflicts, terrorism, wars and critical infrastructure attacks;</w:t>
      </w:r>
    </w:p>
    <w:p>
      <w:pPr>
        <w:spacing w:after="0" w:line="186"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70"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14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SD-WAN, infrastructure security, cloud security and endpoint protection, IoT and OT security opportunities;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70"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existing laws and regulations that are applicable to our ability to conduct business with the public sector and other sectors;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 competition and increased competitiveness in our market, including the competitive pressure caused by product refresh cycles;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payment terms of our contracts with service providers and distributors;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right="30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70" w:lineRule="exact"/>
        <w:rPr>
          <w:rFonts w:ascii="Arial" w:cs="Arial" w:eastAsia="Arial" w:hAnsi="Arial"/>
          <w:sz w:val="18"/>
          <w:szCs w:val="18"/>
          <w:color w:val="auto"/>
        </w:rPr>
      </w:pPr>
    </w:p>
    <w:p>
      <w:pPr>
        <w:ind w:left="1300" w:right="9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6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coronavirus and manmade events such as civil unrest, labor disruption, international trade disputes, international conflicts, terrorism, wars and critical infrastructure attacks;</w:t>
      </w:r>
    </w:p>
    <w:p>
      <w:pPr>
        <w:spacing w:after="0" w:line="171"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186"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65" w:lineRule="exact"/>
        <w:rPr>
          <w:sz w:val="20"/>
          <w:szCs w:val="20"/>
          <w:color w:val="auto"/>
        </w:rPr>
      </w:pPr>
    </w:p>
    <w:p>
      <w:pPr>
        <w:ind w:left="1300" w:right="4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If we cannot manufacture and ship our products due to, for example, natural disasters and health emergencies such as earthquakes, fires, power outages, typhoons, floods, pandemics and epidemics such as the coronavirus or manmade events such as civil unrest, labor disruption, international trade disputes, international conflicts, terrorism, wars and critical infrastructure attacks, our business and financial results could be materially and adversely impacted.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Widespread health problems, such as the outbreak and spread of the coronavirus, could adversely affect our business in a material way.</w:t>
      </w:r>
    </w:p>
    <w:p>
      <w:pPr>
        <w:spacing w:after="0" w:line="23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While the majority of our products are manufactured outside of China, certain components for our products and certain of our products are manufactured in China and Taiwan. In addition, certain of our logistics and shipping operations are in Taiwan. We also have other operations in Asia. Pandemics and epidemics such as the current coronavirus outbreak or other widespread public health problems could negatively impact our business. If, for example, the coronavirus progresses in ways that disrupt the manufacture or shipment of our products or otherwise disrupt our operations, this may materially negatively impact our operating results for the first quarter of 2020 and subsequent periods, including billings, revenue, gross margins, operating margins, cash flows and other operating results and our overall business. If the coronavirus spreads in ways that continue to negatively impact the overall economy and buying patterns of partners or potential customers, this would negatively impact, and may materially negatively impact, our sales, operating results and business. If the spread of the coronavirus limits the manufacturing of our products, either by limiting components available or by limiting the actual manufacture and assembly, this likely would result in increased product backlog, lower billings, lower revenue and decreased profitability and would negatively impact, and may materially negatively impact, our operating results and business. In addition, the coronavirus has caused an increase in our expenses, including increased cancellation charges and reduced attendance fees due to the cancellation of our Accelerate Barcelona sales conference, and it may result in increased component and product manufacturing costs. These increases in expenses will likely negatively impact, and may materially negatively impact, our operating results for the first quarter 2020 and in subsequent periods. As a result of the foregoing, the coronavirus will likely negatively impact our operating results and may do so in a material way.</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distraction of our senior management for any reason could adversely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1" w:lineRule="exact"/>
        <w:rPr>
          <w:sz w:val="20"/>
          <w:szCs w:val="20"/>
          <w:color w:val="auto"/>
        </w:rPr>
      </w:pPr>
    </w:p>
    <w:p>
      <w:pPr>
        <w:jc w:val="both"/>
        <w:ind w:right="42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4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 and website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 system or data. For example, as we previously announced, in the second quarter of 2019 we discovered that an unauthorized party targeted us using sophisticated techniques, such as efforts to impersonate our firewall update servers, in order to try to gain access to certain of our customers’ systems. Although, based on our investigation of this incident, we do not believe that it had a material impact on our or our customers’ businesses, and in general we take numerous measures and implement multiple layers of security to protect our network and our customers’ networks, and, in this particular case, we took immediate additional action to protect our customers, we cannot guarantee that our security products and services will prevent all threats. Further, we cannot be sure that third parties have not been, or will not in the future be, successful in improperly accessing our system and our customers’ systems, which could negatively impact us and our customers. An actual or perceived breach, or any other actual or perceived data security incident, that involves our network, systems or website and/or our customers’ network, systems or websites, including the specific matter that is discussed above,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17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logistics partners’ inability to ship products prior to quarter-end to fulfill purchase orders received near the end of the quarter;</w:t>
      </w:r>
    </w:p>
    <w:p>
      <w:pPr>
        <w:spacing w:after="0" w:line="236" w:lineRule="exact"/>
        <w:rPr>
          <w:rFonts w:ascii="Arial" w:cs="Arial" w:eastAsia="Arial" w:hAnsi="Arial"/>
          <w:sz w:val="17"/>
          <w:szCs w:val="17"/>
          <w:color w:val="auto"/>
        </w:rPr>
      </w:pPr>
    </w:p>
    <w:p>
      <w:pPr>
        <w:ind w:left="1300" w:right="7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in manufacturing or shipping based on natural disasters or widespread public health problems including pandemics and epidemics such as the coronavirus outbreak;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36% of our total net accounts receivable as of December 31, 2019.</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Networks,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7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example, in July 2017, Exclusive, which distributes our solutions to a large group of resellers and end-customers, acquired Fine Tec U.S. Since the acquisition of Fine Tec U.S., Exclusive’s business with us has increased and may continue to increase in the future.</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Exclusive accounted for 36% and 38% of our total net accounts receivable as of December 31, 2019 and December 31, 2018, respectively. During 2017, 2018 and 2019, Exclusive accounted for 25%, 30% and 31% of our total revenue, respectively. In addition to other risks associated with the concentration of accounts receivable and revenue from these distributors, Exclusive is a private entity and we may not have sufficient information to assess its financial condition and, accordingly, if Exclusive were to experience financial difficulties, we might not have advance notice. Additionally, Exclusive may face liquidity risk as a private equity-backed company, which may harm our ability to collect on our accounts receivable.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5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6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natural disasters and health emergencies such as earthquakes, fires,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power outages, typhoons, floods, health pandemics and epidemics such as the coronavirus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proprietary SPUs, which are key to the performance of our appliances, are built by contract manufacturers including Renesas and Toshiba.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health emergencies such as earthquakes, fires, power outages, typhoons, floods, health pandemics and epidemics such as the coronavirus,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18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Brazilian real,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and risks. Failure to comply with these requirements by either us or our channel partners could subject us to investigations, fines, suspension or debarment from doing business with the U.S. government or one of its divisions, and other penalties and damages, which could have an adverse effect on our business, operating results, financial condition and prospects. As an example, the U.S. Department of Justice (the “DOJ”) has in the past pursued claims against, and obtained monetary settlements or damages from, companies, including us, under the False Claims Act and other statutes related to pricing, discount practices and compliance with laws related to sales to the federal government, such as the Trade Agreements Act (the “TAA”). The DOJ continues to actively pursue such claims.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16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Economic uncertainty in various global markets caused by political instability and conflict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election year instability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and developments resulting from the 2020 presidential election, instability in the United Kingdom and the EU as negotiations for the terms of Brexit continue, with the ultimate outcome still uncertain, and the United States’ ongoing trade disputes with China and other countries. The continuing effect of any or all of these events could adversely impact demand for our products, harm our operations and weaken our financial results.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during 2018 and 2019 the United States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9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Registration, Evaluation, Authorization and Restriction of Chemicals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17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On June 7, 2019, the Ninth Circuit issued an opinion in </w:t>
      </w:r>
      <w:r>
        <w:rPr>
          <w:rFonts w:ascii="Arial" w:cs="Arial" w:eastAsia="Arial" w:hAnsi="Arial"/>
          <w:sz w:val="16"/>
          <w:szCs w:val="16"/>
          <w:i w:val="1"/>
          <w:iCs w:val="1"/>
          <w:color w:val="auto"/>
        </w:rPr>
        <w:t>Altera Corporation and Subsidiaries vs. Commissioner of Internal Revenue</w:t>
      </w:r>
      <w:r>
        <w:rPr>
          <w:rFonts w:ascii="Arial" w:cs="Arial" w:eastAsia="Arial" w:hAnsi="Arial"/>
          <w:sz w:val="16"/>
          <w:szCs w:val="16"/>
          <w:color w:val="auto"/>
        </w:rPr>
        <w:t xml:space="preserve"> that reversed the Tax Court Decision in favor of the IRS. This ruling stated the IRS rule that stock compensation must be included in cost sharing was valid. Based on this decision, in second quarter of 2019, we recorded a reserve for uncertain tax positions for this potential tax liability. On February 10, 2020, the Ninth Circuit decision was appealed to the Supreme Court of the United States. We will continue to monitor and assess the impact as this case moves forward.</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enSilo and CyberSponse in the fourth quarter of 2019. For any possible future acquisitions, we may not be successful in negotiating the terms of the acquisition or financing the acquisition. For both our prior and future acquisitions, we may not be successful in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65" w:lineRule="exact"/>
        <w:rPr>
          <w:sz w:val="20"/>
          <w:szCs w:val="20"/>
          <w:color w:val="auto"/>
        </w:rPr>
      </w:pPr>
    </w:p>
    <w:p>
      <w:pPr>
        <w:jc w:val="both"/>
        <w:ind w:right="260"/>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0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in billings and revenues, and the coronavirus outbreak could materially negatively impact our ability to manufacture and ship products.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We face many competitors across the different cybersecurity markets. Our competitors include companies such as Barracuda, Check Point, Cisco, CrowdStrike, F5 Networks, FireEye, Forcepoint, Imperva, Juniper, McAfee, Palo Alto Networks, Proofpoint, SonicWALL, Sophos, Trend Micro and Zscaler.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providing protection from a single type of security threat are often able to deliver these specialized security products to the market more quickly than we can.</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Third parties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copyrights), royalties or other fees. Any of these events could seriously harm our business, financial condition and results of operations.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2019, our internal controls over financial reporting were effective, we cannot predict the outcome of our testing in 2020 or future periods. We may incur additional expenses and commitment of management’s time in connection with further evaluations, both of which could materially increase our operating expenses and accordingly reduce our operating results.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for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change in accounting standards or practices, and varying interpretations of existing or new accounting pronouncements, such as changes to standards related to revenue recognition (which became effective for us on January 1, 2018) and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3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revenue and lease standards are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2019, the closing price of our common stock ranged from $66.91 to $109.53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2019, our board of directors approved a $1.0 billion increase in the authorized stock repurchase under the Repurchase Program and extended the term of the Repurchase Program to February 28, 2021, bringing the aggregate amount authorized to be repurchased $2.5 billion. As of December 31, 2019, $1.6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of activist stockholder actions could result in the loss of potential business opportunities, as well as other negative business consequences. Actions of</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corporate headquarters is located in Sunnyvale, California and comprises approximately 160,000 square feet of building space on ten acres of land. In 2019, we began construction on a second building of approximately 170,000 square feet that will serve as the cornerstone of our headquarters campus. Along with our corporate headquarters, as of December 31, 2019, we also own approximately 200,000 square feet in Union City, California used as a manufacturing assembly and operations center; approximately 375,000 square feet of office and building space in Burnaby and Ottawa, Canada used for operations, support and research and development work; and 40,000 square feet of office space in Valbonne, France predominantly used as a sales and support office.</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maintain additional leased offices throughout the world, predominantly used as sales and support offices.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operating expenses and capital expenditures in connection with such new or expanded facilities.</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see Note 15 to our consolidated financial statements in Part II, Item 8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Select Market under the symbol “FTNT.”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February 21, 2020, there were 43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This performance graph shall not be deemed “filed” for purposes of Section 18 of the Securities and Exchange Act of 1934 </w:t>
      </w:r>
      <w:r>
        <w:rPr>
          <w:rFonts w:ascii="Arial" w:cs="Arial" w:eastAsia="Arial" w:hAnsi="Arial"/>
          <w:sz w:val="18"/>
          <w:szCs w:val="18"/>
          <w:color w:val="auto"/>
        </w:rPr>
        <w:t>(</w:t>
      </w:r>
      <w:r>
        <w:rPr>
          <w:rFonts w:ascii="Arial" w:cs="Arial" w:eastAsia="Arial" w:hAnsi="Arial"/>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Fortinet, Inc., the S&amp;P 500 Index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2821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6"/>
                <w:szCs w:val="16"/>
                <w:color w:val="auto"/>
                <w:w w:val="86"/>
              </w:rPr>
              <w:t>December</w:t>
            </w:r>
          </w:p>
        </w:tc>
      </w:t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color w:val="auto"/>
              </w:rPr>
              <w:t>2014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2019</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r>
    </w:tbl>
    <w:p>
      <w:pPr>
        <w:spacing w:after="0" w:line="197" w:lineRule="exact"/>
        <w:rPr>
          <w:sz w:val="20"/>
          <w:szCs w:val="20"/>
          <w:color w:val="auto"/>
        </w:rPr>
      </w:pPr>
    </w:p>
    <w:p>
      <w:pPr>
        <w:ind w:right="20" w:firstLine="8"/>
        <w:spacing w:after="0" w:line="273" w:lineRule="auto"/>
        <w:tabs>
          <w:tab w:leader="none" w:pos="108"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that $100 was invested on December 31, 2014 in stock or index, including reinvestment of dividends. Stockholder returns over the indicated period should not be considered indicative of future stockholder returns.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our board of directors approved our Share Repurchase Program (the “Repurchase Program”). In November 2019, our board of directors approved a $1.0 billion increase in the authorized stock repurchase under the Repurchase Program and extended the term of the Repurchase Program to February 28, 2021, bringing the aggregate amount authorized to be repurchased to $2.5 billion of our outstanding common stock through February 28, 2021.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Since its inception, we have repurchased 20.8 million shares of our common stock under the Repurchase Program for an aggregate purchase price of $907.2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December 31, 2019 (in millions,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2019</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1,592.9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57"/>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0.3</w:t>
            </w: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Number rounds to zero</w:t>
      </w:r>
    </w:p>
    <w:p>
      <w:pPr>
        <w:spacing w:after="0" w:line="3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2017</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91"/>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2,156.2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1,801.2</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1,494.9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1,275.4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1,009.3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1,650.3</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1,350.8</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1,109.6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344.2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231.0</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109.8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0.18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172.6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r>
      <w:tr>
        <w:trPr>
          <w:trHeight w:val="548"/>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w w:val="94"/>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2017</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Arial" w:cs="Arial" w:eastAsia="Arial" w:hAnsi="Arial"/>
                <w:sz w:val="16"/>
                <w:szCs w:val="16"/>
                <w:b w:val="1"/>
                <w:bCs w:val="1"/>
                <w:color w:val="auto"/>
                <w:w w:val="91"/>
              </w:rPr>
              <w:t>(in millions)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2,209.9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1,716.6</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1,349.3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1,310.5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1,164.3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3,885.5</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3,078.0</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2,257.9</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1,321.9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1,010.2</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589.4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837.7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755.4</w:t>
            </w:r>
          </w:p>
        </w:tc>
      </w:tr>
      <w:tr>
        <w:trPr>
          <w:trHeight w:val="675"/>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right="6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coronavirus and other public health issues and natural disasters;</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70"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2020;</w:t>
      </w:r>
    </w:p>
    <w:p>
      <w:pPr>
        <w:spacing w:after="0" w:line="170" w:lineRule="exact"/>
        <w:rPr>
          <w:rFonts w:ascii="Arial" w:cs="Arial" w:eastAsia="Arial" w:hAnsi="Arial"/>
          <w:sz w:val="18"/>
          <w:szCs w:val="18"/>
          <w:i w:val="1"/>
          <w:iCs w:val="1"/>
          <w:color w:val="auto"/>
        </w:rPr>
      </w:pPr>
    </w:p>
    <w:p>
      <w:pPr>
        <w:ind w:left="1300" w:right="3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2020;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2020;</w:t>
      </w:r>
    </w:p>
    <w:p>
      <w:pPr>
        <w:spacing w:after="0" w:line="225" w:lineRule="exact"/>
        <w:rPr>
          <w:rFonts w:ascii="Arial" w:cs="Arial" w:eastAsia="Arial" w:hAnsi="Arial"/>
          <w:sz w:val="18"/>
          <w:szCs w:val="18"/>
          <w:i w:val="1"/>
          <w:iCs w:val="1"/>
          <w:color w:val="auto"/>
        </w:rPr>
      </w:pPr>
    </w:p>
    <w:p>
      <w:pPr>
        <w:ind w:left="1300" w:right="200" w:hanging="644"/>
        <w:spacing w:after="0" w:line="277" w:lineRule="auto"/>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2020 spending on our headquarters expansion project;</w:t>
      </w:r>
    </w:p>
    <w:p>
      <w:pPr>
        <w:spacing w:after="0" w:line="225" w:lineRule="exact"/>
        <w:rPr>
          <w:rFonts w:ascii="Arial" w:cs="Arial" w:eastAsia="Arial" w:hAnsi="Arial"/>
          <w:sz w:val="18"/>
          <w:szCs w:val="18"/>
          <w:i w:val="1"/>
          <w:iCs w:val="1"/>
          <w:color w:val="auto"/>
        </w:rPr>
      </w:pPr>
    </w:p>
    <w:p>
      <w:pPr>
        <w:ind w:left="1300" w:right="12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expectations regarding uncertain tax benefits and our effective domestic and global tax rates, and the impact of the Tax Cuts and Jobs Act (the “2017 Tax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the Ninth Circuit’s Altera decision regarding stock-based compensation in cost sharing arrangements;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40" w:hanging="328"/>
        <w:spacing w:after="0" w:line="293" w:lineRule="auto"/>
        <w:tabs>
          <w:tab w:leader="none" w:pos="66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Network Security</w:t>
      </w:r>
      <w:r>
        <w:rPr>
          <w:rFonts w:ascii="Arial" w:cs="Arial" w:eastAsia="Arial" w:hAnsi="Arial"/>
          <w:sz w:val="16"/>
          <w:szCs w:val="16"/>
          <w:color w:val="auto"/>
        </w:rPr>
        <w:t>—We derive a majority of product sales from our FortiGate network security appliances. Our FortiGate network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appliances include a broad set of built-in security and networking features and functionalities, including firewall, next-generation firewall, secure web gateway, SSL inspection, SD-WAN, intrusion prevention, SSL data leak prevention, VPN, switch and wireless controller and wide area network edge. Our network security appliances are managed by our FortiOS network operating system, which provides the foundation for FortiGate security functions. We enhance the performance of our network security appliances from branch to data center by designing and implementing SPU technology within our appliances, enabling us to add security and network functionality with minimal impact to network throughput performance.</w:t>
      </w:r>
    </w:p>
    <w:p>
      <w:pPr>
        <w:spacing w:after="0" w:line="164" w:lineRule="exact"/>
        <w:rPr>
          <w:rFonts w:ascii="Arial" w:cs="Arial" w:eastAsia="Arial" w:hAnsi="Arial"/>
          <w:sz w:val="16"/>
          <w:szCs w:val="16"/>
          <w:b w:val="1"/>
          <w:bCs w:val="1"/>
          <w:i w:val="1"/>
          <w:iCs w:val="1"/>
          <w:color w:val="auto"/>
        </w:rPr>
      </w:pPr>
    </w:p>
    <w:p>
      <w:pPr>
        <w:ind w:left="660" w:right="4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Security</w:t>
      </w:r>
      <w:r>
        <w:rPr>
          <w:rFonts w:ascii="Arial" w:cs="Arial" w:eastAsia="Arial" w:hAnsi="Arial"/>
          <w:sz w:val="17"/>
          <w:szCs w:val="17"/>
          <w:color w:val="auto"/>
        </w:rPr>
        <w:t>—The Fortinet Security Fabric platform is a broad, automated and integrated security platform that extends beyond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to cover other attack vectors. Other infrastructure solutions covered include Secure Access (Wi-Fi and switch).</w:t>
      </w:r>
    </w:p>
    <w:p>
      <w:pPr>
        <w:spacing w:after="0" w:line="146" w:lineRule="exact"/>
        <w:rPr>
          <w:rFonts w:ascii="Arial" w:cs="Arial" w:eastAsia="Arial" w:hAnsi="Arial"/>
          <w:sz w:val="17"/>
          <w:szCs w:val="17"/>
          <w:color w:val="auto"/>
        </w:rPr>
      </w:pPr>
    </w:p>
    <w:p>
      <w:pPr>
        <w:ind w:left="660" w:right="6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hybrid, public and private cloud environments by offering security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virtual firewall and other software products in public and private cloud environments. Our cloud security solutions, including virtual appliances and hosted solutions, extend the core capabilities of the Fortinet Security Fabric platform to provide businesses with the same level of cybersecurity and threat intelligence in and across cloud environments that they receive on their physical networks. Fortinet cloud security offerings are available across all major cloud providers, including Amazon Web Services, Microsoft Azure, Google Cloud, Oracle Cloud, Alibaba Cloud and IBM Cloud. Our Cloud Security portfolio also includes securing applications, including email and web.</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6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and Operational Technology Security</w:t>
      </w:r>
      <w:r>
        <w:rPr>
          <w:rFonts w:ascii="Arial" w:cs="Arial" w:eastAsia="Arial" w:hAnsi="Arial"/>
          <w:sz w:val="18"/>
          <w:szCs w:val="18"/>
          <w:color w:val="auto"/>
        </w:rPr>
        <w:t>—We protect end-customers from advanced threats that target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 and the data that reside on them through our advanced endpoint solutions that provide core endpoint protection, advanced threat protection, incident monitoring, and response. Additionally, the proliferation of IoT and the digitization of OT devices has generated new opportunities for us to grow our business. We offer network access control solutions that provide visibility, control and automated event responses in order to secure IoT devices.</w:t>
      </w:r>
    </w:p>
    <w:p>
      <w:pPr>
        <w:spacing w:after="0" w:line="18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also develop and provide AI-driven security operations solutions, including FortiGuard security services that can be applied across the entire Fortinet Security Fabric platform. These solutions help customers better secure their environments by delivering deeper intelligence and insights and by narrowing the gaps in security skills and resources that are present in many organizations.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to our security solutions, our customers, channel partners and end-customers may purchase FortiGuard and other security subscription services to receive threat intelligence updates, FortiCare technical support services across all of our products and the support of Technical Account Managers, Resident Engineers and professional service consultants for implementations or training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revenue was $2.16 billion in 2019, an increase of 20% compared to $1.80 billion in 2018. Product revenue was $788.5 million in 2019, an increase of 17% compared to $674.4 million in 2018. Service revenue was $1.37 billion in 2019, an increase of 21% compared to $1.13 billion in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generated operating income of $344.2 million in 2019, an increase of 49% compared to $231.0 million in 2018.</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cash equivalents and investments were $2.21 billion as of December 31, 2019, an increase of $493.3 million, or 29%, from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revenue was $2.14 billion as of December 31, 2019, an increase of $449.1 million, or 27%, from December 31, 2018</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$808.0 million in 2019, an increase of $169.1 million, or 26%, compared to 2018.</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2019, we repurchased 1.9 million shares of common stock under the Repurchase Program for an aggregate purchase price of $140.9 million. In 2018, we repurchased 3.8 million shares of common stock for a total purchase price of $209.1 million.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globally, which remains a key strength of our business. Product revenue grew 17% in 2019. We experienced revenue growth across several of our hardware and software products, including FortiGate enabled with SD-WAN features. Service revenue growth of 21% in 2019 was driven by the strength of our FortiGuard and other security subscription revenue, which grew 24%.</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second quarter of 2019, we reclassified the 100 series of our FortiGate product from an entry-level product to a mid-range product. Prior periods have been reclassified to conform with current period presentation. Including this reclassification, we saw a mix shift from high-end to mid-range products in 2019.</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fourth quarter of 2019, we acquired enSilo Limited (“enSilo”) and CyberSponse Inc. (“CyberSponse”) to further strengthen our Fortinet Security Fabric platform by providing real-time automated endpoint detection and response capability (enSilo) and security orchestration, automation and response products and services (CyberSponse). The impact of these acquisitions, individually and in the aggregate, were not material to our consolidated financial statements.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2019, our revenue growth outpaced our growth in operating expenses. As a result, operating expenses as a percentage of revenue decreased by two percentage points compared to 2018. Headcount increased by 21% to 7,082 employees and contractors as of December 31, 2019, up from 5,845 as of December 31, 2018. The acquisition of enSilo and CyberSponse increased headcount by 135 employees. Excluding these two acquisitions, headcount would have increased 19% year over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impact of the coronavirus outbreak on our business remains uncertain, and, though the majority of our products are manufactured outside of China, certain components for our products and certain of our products are manufactured in China and Taiwan and we have international shipping and logistics centers in Taiwan. While any significant impact is uncertain at this point, if the coronavirus outbreak continues to spread, the business disruption caused thereby could have a material negative impact on our billings, revenue, gross margin, operating margin, cash flows and other financial results for the first quarter of 2020 and certain periods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primarily sell our products and services through a two-tier distribution model. We sell to distributors that sell to networking security and enterprise-focused resellers and to service providers and MSSPs, who, in turn, sell to our end-customers. In certain cases, we sell directly to large service providers and major systems integrators. In certain cases, we sell directly to large service providers and major systems integrators. We also offer our products across major cloud providers, and have recognized on-demand revenue from Amazon Web Services, Microsoft Azure, IBM Cloud, Google Cloud and Oracle Cloud. We have also recognized revenue from customers who deploy our products in a bring-your-own-license (“BYOL”) arrangement at a cloud provider such as Amazon Web Services, Microsoft Azure, Google Cloud, Oracle Cloud and Alibaba Cloud. In a BYOL arrangement, a customer purchases a software license from us through our channel partners and deploys the software in a cloud provider’s environment. Similarly, customers may purchase such a license from us and deploy in their private cloud.</w:t>
      </w:r>
    </w:p>
    <w:p>
      <w:pPr>
        <w:spacing w:after="0" w:line="17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typically payable within 30 to 45 days. We also invoice certain services on a monthly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3"/>
              <w:spacing w:after="0"/>
              <w:rPr>
                <w:sz w:val="20"/>
                <w:szCs w:val="20"/>
                <w:color w:val="auto"/>
              </w:rPr>
            </w:pPr>
            <w:r>
              <w:rPr>
                <w:rFonts w:ascii="Arial" w:cs="Arial" w:eastAsia="Arial" w:hAnsi="Arial"/>
                <w:sz w:val="16"/>
                <w:szCs w:val="16"/>
                <w:b w:val="1"/>
                <w:bCs w:val="1"/>
                <w:color w:val="auto"/>
                <w:w w:val="91"/>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0"/>
                <w:szCs w:val="20"/>
                <w:color w:val="auto"/>
              </w:rPr>
            </w:pPr>
          </w:p>
        </w:tc>
        <w:tc>
          <w:tcPr>
            <w:tcW w:w="128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2018</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2,156.2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2,135.9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1,686.8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2,602.9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2,153.3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638.9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715.8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585.9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459.1</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$2.14 billion as of December 31, 2019, an increase of $449.1 million, or 27%, from December 31, 2018</w:t>
      </w:r>
      <w:r>
        <w:rPr>
          <w:rFonts w:ascii="Arial" w:cs="Arial" w:eastAsia="Arial" w:hAnsi="Arial"/>
          <w:sz w:val="18"/>
          <w:szCs w:val="18"/>
          <w:color w:val="0000FF"/>
        </w:rPr>
        <w:t>.</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(“GAAP”) plus the change in deferred revenue from the beginning to the end of the period and adjustments to the deferred revenue balance due to adoption of Financial Accounting Standards Board (“FASB”) Topic 606, Revenue from Contracts with Customers (“Topic 606”), less any deferred revenue balances acquired from business combination(s) during the period. We consider billings to be a useful metric for management and investors because billings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security and support contractual service period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$2.60 billion for 2019, an increase of 21% compared to $2.15 billion in 2018.</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2,156.2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1,494.9</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Add: Deferred revenue adjustment due to adoption of Topic 606</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Deferred revenue balance acquired in business combinations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2,602.9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2,153.3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1,795.9</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purchases of property and equipment.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808.0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638.9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594.4</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585.9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459.1</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(195.6)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the majority of our revenue from sales of our hardware and software products and amortization of amounts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revenue related to previous sales of FortiGuard security subscription and FortiCare technical support services. We also recognize revenue from cloud security solutions, professional services and training.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225" w:lineRule="exact"/>
        <w:rPr>
          <w:sz w:val="20"/>
          <w:szCs w:val="20"/>
          <w:color w:val="auto"/>
        </w:rPr>
      </w:pPr>
    </w:p>
    <w:p>
      <w:pPr>
        <w:ind w:left="1300" w:right="520" w:hanging="644"/>
        <w:spacing w:after="0" w:line="276"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Product revenue</w:t>
      </w:r>
      <w:r>
        <w:rPr>
          <w:rFonts w:ascii="Arial" w:cs="Arial" w:eastAsia="Arial" w:hAnsi="Arial"/>
          <w:sz w:val="17"/>
          <w:szCs w:val="17"/>
          <w:color w:val="auto"/>
        </w:rPr>
        <w:t>. Product revenue is primarily generated from sales of our appliances. The majority of our product revenue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our FortiGate product line, and we do not expect this to change in the foreseeable future. Product revenue also includes revenue derived from sales of fabric hardware and software products, including FortiGate software licenses. As a percentage of total revenue, we expect that our product revenue may vary from quarter-to-quarter based on certain factors, as discussed below under “— Quarterly Results of Operations,” and we expect the trend to continue in 2020.</w:t>
      </w:r>
    </w:p>
    <w:p>
      <w:pPr>
        <w:spacing w:after="0" w:line="172" w:lineRule="exact"/>
        <w:rPr>
          <w:rFonts w:ascii="Arial" w:cs="Arial" w:eastAsia="Arial" w:hAnsi="Arial"/>
          <w:sz w:val="17"/>
          <w:szCs w:val="17"/>
          <w:color w:val="auto"/>
        </w:rPr>
      </w:pPr>
    </w:p>
    <w:p>
      <w:pPr>
        <w:ind w:left="1300" w:hanging="644"/>
        <w:spacing w:after="0" w:line="271"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Service revenue is generated primarily from FortiGuard security subscription services and FortiCare technical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We recognize revenue from FortiGuard security subscription and FortiCare technical support services over the contractual service period. Our typical contractual support and subscription term is one to three years and, to a lesser extent, five years. We also generate a small portion of our revenue from professional services and training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expansion and introduction of new service offerings and the renewal of service contracts by our existing customers.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jc w:val="both"/>
        <w:ind w:left="1300" w:right="220" w:hanging="644"/>
        <w:spacing w:after="0" w:line="288"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The majority of the cost of product revenue consists of third-party contract manufacturers’ costs and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w:t>
      </w:r>
    </w:p>
    <w:p>
      <w:pPr>
        <w:ind w:left="1300"/>
        <w:spacing w:after="0"/>
        <w:rPr>
          <w:rFonts w:ascii="Arial" w:cs="Arial" w:eastAsia="Arial" w:hAnsi="Arial"/>
          <w:sz w:val="16"/>
          <w:szCs w:val="16"/>
          <w:color w:val="auto"/>
        </w:rPr>
      </w:pPr>
      <w:r>
        <w:rPr>
          <w:rFonts w:ascii="Arial" w:cs="Arial" w:eastAsia="Arial" w:hAnsi="Arial"/>
          <w:sz w:val="18"/>
          <w:szCs w:val="18"/>
          <w:color w:val="auto"/>
        </w:rPr>
        <w:t>Personnel costs include direct compensation and benefits.</w:t>
      </w:r>
    </w:p>
    <w:p>
      <w:pPr>
        <w:spacing w:after="0" w:line="210"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salaries, benefits and bonuses, as well as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 of service revenue also includes third-party repair and contract fulfillment, data center and cloud hosting, supplies and facility-related costs.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profit as a percentage of revenue, or gross margin,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product costs, the mix of products sold and the mix of revenue between hardware products, software licenses and services and any excess inventory write-offs. Service revenue and software licenses have had a positive effect on our total gross margin given the higher gross margins compared to hardware product gross margins. During 2019, service gross margin benefited from renewals and continued sales of services and subscriptions, growing faster than related expenses. Product gross margin benefited from gains in average selling price, as well as lower direct and indirect product costs as a percentage of product revenue. It also benefited from deal mix, software revenue growth and a stable product transition environment. Cost of product revenue was comprised of direct product costs and indirect costs, including inventory reserves and other manufacturing overhead. Overall gross margin in 2020 will be impacted by service and product revenue mix, but we expect it to be comparable to overall gross margin in 2019.</w:t>
      </w:r>
    </w:p>
    <w:p>
      <w:pPr>
        <w:spacing w:after="0" w:line="166"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Our operating expenses consist of research and development, sales and marketing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costs are the most significant component of operating expenses and consist primarily of salaries, benefits, bonuses, stock-based compensation, and sales commissions, as applicable. We expect personnel costs to continue to increase in absolute dollars as we expand our workforce.</w:t>
      </w:r>
    </w:p>
    <w:p>
      <w:pPr>
        <w:spacing w:after="0" w:line="147" w:lineRule="exact"/>
        <w:rPr>
          <w:sz w:val="20"/>
          <w:szCs w:val="20"/>
          <w:color w:val="auto"/>
        </w:rPr>
      </w:pPr>
    </w:p>
    <w:p>
      <w:pPr>
        <w:ind w:left="1300" w:right="80" w:hanging="644"/>
        <w:spacing w:after="0" w:line="25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ASIC and system prototypes and certification-related expenses, depreciation of property and equipment and facility-related expenses. The majority of our research and development is focused on both software development and the ongoing development of our hardware platform. We record all research and development expenses as incurred. Our research and development teams are primarily located in Canada and the United States.</w:t>
      </w:r>
    </w:p>
    <w:p>
      <w:pPr>
        <w:spacing w:after="0" w:line="188"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product marketing, public relations, field marketing and channel marketing programs (e.g. partner cooperative marketing arrangements), as well as travel, depreciation of property and equipment and facility-related expenses.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intend to hire additional personnel focused on sales and marketing and expand our sales and marketing efforts worldwide in order to capture market share in the enterprise market.</w:t>
      </w:r>
    </w:p>
    <w:p>
      <w:pPr>
        <w:spacing w:after="0" w:line="170" w:lineRule="exact"/>
        <w:rPr>
          <w:sz w:val="20"/>
          <w:szCs w:val="20"/>
          <w:color w:val="auto"/>
        </w:rPr>
      </w:pPr>
    </w:p>
    <w:p>
      <w:pPr>
        <w:ind w:left="1300" w:right="260" w:hanging="644"/>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Interest income—net. </w:t>
      </w:r>
      <w:r>
        <w:rPr>
          <w:rFonts w:ascii="Arial" w:cs="Arial" w:eastAsia="Arial" w:hAnsi="Arial"/>
          <w:sz w:val="18"/>
          <w:szCs w:val="18"/>
          <w:color w:val="auto"/>
        </w:rPr>
        <w:t>Interest income—net consists of interest earned on our cash, cash equivalents and investments. We have historically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in corporate debt securities, certificates of deposit and term deposits, commercial paper, money market funds, and U.S. government and agency securities.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net</w:t>
      </w:r>
      <w:r>
        <w:rPr>
          <w:rFonts w:ascii="Arial" w:cs="Arial" w:eastAsia="Arial" w:hAnsi="Arial"/>
          <w:sz w:val="18"/>
          <w:szCs w:val="18"/>
          <w:color w:val="auto"/>
        </w:rPr>
        <w:t>. Other income (expense)—net consists primarily of foreign exchange gains and losses related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as well as the gain on the sale of an investment in a privately held company and the impairment charge on an investment in a privately held company.</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We are subject to income taxes in the United States, as well as other tax jurisdictions or countries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business. Earnings from our non-U.S. activities are subject to income taxes in local countries and may be subject to U.S. income taxes. Our effective tax rate differs from the U.S. statutory rate primarily due to foreign income subject to different tax rates than in the U.S., nondeductible stock-based compensation expense, federal research and development tax credit, state taxes, withholding taxes, excess tax benefits related to stock-based compensation expense and the tax impacts of the 2017 Tax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 2018, we adopted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ASC Topic 605 (“Topic 605”), Revenue Recognition.</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Beginning in 2018, revenues are recognized when control of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25"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320" w:hanging="320"/>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as to being distinct goods or services in a contract;</w:t>
      </w: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We evaluated the criteria to be distinct under Topic 606 and concluded that the hardware and software licenses were distinct and distinct in the context of a contract from the security subscription and technical support services, as a customer can benefit from the hardware and software licenses without the services and the services are separately identifiable within a contract. We allocate a transaction price to each performance obligation based on relative standalone selling price. If not observable through past transactions,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a service contract that fall within a reasonably range as a percentage of list price.</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previous standard, Topic 605, revenue from contracts that contain products and services is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an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Costs and Commission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Beginning in 2018, we recognized commission expense based on Topic 606’s guidance for contract costs. Under this new guidance, we recognize sales commissions related to product sales upfront while sales commissions for service contracts are deferred as deferred contract costs in the consolidated balance sheets and amortized over the applicable amortization period. Costs for initial contracts that are not commensurate with renewal commissions are amortized on a straight-line basis over the period of benefit, which we have determined to be five years and which is typically longer than the initial contract term. Significant estimates, assumptions, and judgments in accounting for deferred contract costs include, but are not limited to, identification of contract costs, anticipated billings and the expected period of benefit.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Inventory is recorded at the lower of cost or net realizable value. Cost is computed using the first-in, first-out method.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 Any write-downs could have an adverse impact on our gross margins and profitability.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Liabilities</w:t>
      </w:r>
    </w:p>
    <w:p>
      <w:pPr>
        <w:spacing w:after="0" w:line="225"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review significant new claims and litigation for the probability of an adverse outcome. Estimates can change as individual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claims develop. The actual liability in any such matters may be materially different from our estimates, which could result in the need to adjust our liability and record additional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Effective January 1, 2018, the 2017 Tax Act reduced the federal corporate income tax rate from 35% to 21% and created a territorial tax system with a one-time transition tax on foreign earnings of U.S. subsidiaries not previously subject to U.S. income tax. Our selection of an accounting policy for 2018 with respect to the Global Intangible Low-Taxed Income (“GILTI”) tax rules was to treat GILTI tax as a current period expense under the period cost method. For 2019, we were not subject to GILTI. We will continue to monitor and assess the impact of the 2017 Tax Act and ongoing guidance and accounting interpretations issued in response to the 2017 Tax Act.</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15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7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1,367.7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2,156.2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1,186.4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gross profit</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1,650.3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Restructuring charges</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1,306.1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72"/>
              <w:spacing w:after="0"/>
              <w:rPr>
                <w:sz w:val="20"/>
                <w:szCs w:val="20"/>
                <w:color w:val="auto"/>
              </w:rPr>
            </w:pPr>
            <w:r>
              <w:rPr>
                <w:rFonts w:ascii="Arial" w:cs="Arial" w:eastAsia="Arial" w:hAnsi="Arial"/>
                <w:sz w:val="18"/>
                <w:szCs w:val="18"/>
                <w:color w:val="auto"/>
              </w:rPr>
              <w:t>52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37465</wp:posOffset>
            </wp:positionV>
            <wp:extent cx="3507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gridSpan w:val="2"/>
          </w:tcPr>
          <w:p>
            <w:pPr>
              <w:ind w:left="6620"/>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880" w:type="dxa"/>
            <w:vAlign w:val="bottom"/>
            <w:gridSpan w:val="2"/>
          </w:tcPr>
          <w:p>
            <w:pPr>
              <w:jc w:val="right"/>
              <w:ind w:right="63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Arial" w:cs="Arial" w:eastAsia="Arial" w:hAnsi="Arial"/>
                <w:sz w:val="16"/>
                <w:szCs w:val="16"/>
                <w:b w:val="1"/>
                <w:bCs w:val="1"/>
                <w:color w:val="auto"/>
              </w:rPr>
              <w:t>2017</w:t>
            </w:r>
          </w:p>
        </w:tc>
      </w:tr>
      <w:tr>
        <w:trPr>
          <w:trHeight w:val="33"/>
        </w:trPr>
        <w:tc>
          <w:tcPr>
            <w:tcW w:w="5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(as percentage of revenue)</w:t>
            </w:r>
          </w:p>
        </w:tc>
        <w:tc>
          <w:tcPr>
            <w:tcW w:w="174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20" w:type="dxa"/>
            <w:vAlign w:val="bottom"/>
          </w:tcPr>
          <w:p>
            <w:pPr>
              <w:jc w:val="right"/>
              <w:spacing w:after="0"/>
              <w:rPr>
                <w:sz w:val="20"/>
                <w:szCs w:val="20"/>
                <w:color w:val="auto"/>
              </w:rPr>
            </w:pPr>
            <w:r>
              <w:rPr>
                <w:rFonts w:ascii="Arial" w:cs="Arial" w:eastAsia="Arial" w:hAnsi="Arial"/>
                <w:sz w:val="18"/>
                <w:szCs w:val="18"/>
                <w:color w:val="auto"/>
              </w:rPr>
              <w:t>37 %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37"/>
        </w:trPr>
        <w:tc>
          <w:tcPr>
            <w:tcW w:w="5900" w:type="dxa"/>
            <w:vAlign w:val="bottom"/>
          </w:tcPr>
          <w:p>
            <w:pPr>
              <w:ind w:left="82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37"/>
        </w:trPr>
        <w:tc>
          <w:tcPr>
            <w:tcW w:w="5900" w:type="dxa"/>
            <w:vAlign w:val="bottom"/>
          </w:tcPr>
          <w:p>
            <w:pPr>
              <w:ind w:left="820"/>
              <w:spacing w:after="0"/>
              <w:rPr>
                <w:sz w:val="20"/>
                <w:szCs w:val="20"/>
                <w:color w:val="auto"/>
              </w:rPr>
            </w:pPr>
            <w:r>
              <w:rPr>
                <w:rFonts w:ascii="Arial" w:cs="Arial" w:eastAsia="Arial" w:hAnsi="Arial"/>
                <w:sz w:val="18"/>
                <w:szCs w:val="18"/>
                <w:color w:val="auto"/>
              </w:rPr>
              <w:t>Total cost of revenue</w:t>
            </w:r>
          </w:p>
        </w:tc>
        <w:tc>
          <w:tcPr>
            <w:tcW w:w="1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r>
      <w:tr>
        <w:trPr>
          <w:trHeight w:val="237"/>
        </w:trPr>
        <w:tc>
          <w:tcPr>
            <w:tcW w:w="5900" w:type="dxa"/>
            <w:vAlign w:val="bottom"/>
          </w:tcPr>
          <w:p>
            <w:pPr>
              <w:ind w:left="820"/>
              <w:spacing w:after="0"/>
              <w:rPr>
                <w:sz w:val="20"/>
                <w:szCs w:val="20"/>
                <w:color w:val="auto"/>
              </w:rPr>
            </w:pPr>
            <w:r>
              <w:rPr>
                <w:rFonts w:ascii="Arial" w:cs="Arial" w:eastAsia="Arial" w:hAnsi="Arial"/>
                <w:sz w:val="18"/>
                <w:szCs w:val="18"/>
                <w:color w:val="auto"/>
              </w:rPr>
              <w:t>Total gross margin</w:t>
            </w:r>
          </w:p>
        </w:tc>
        <w:tc>
          <w:tcPr>
            <w:tcW w:w="1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74</w:t>
            </w:r>
          </w:p>
        </w:tc>
      </w:tr>
      <w:tr>
        <w:trPr>
          <w:trHeight w:val="27"/>
        </w:trPr>
        <w:tc>
          <w:tcPr>
            <w:tcW w:w="5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5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Interest income—net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8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57"/>
        </w:trPr>
        <w:tc>
          <w:tcPr>
            <w:tcW w:w="5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Percentages have been rounded for presentation purposes and may differ from unrounded results.</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Discussion regarding our financial condition and results of operations for 2018 as compared to 2017 can be found in Item 7 of our Annual Report on Form 10-K for the fiscal year ended December 31, 2018, filed with the SEC on February 27,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674.4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355.0</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917.3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762.9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425.0</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360.3</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1420" w:type="dxa"/>
            <w:vAlign w:val="bottom"/>
          </w:tcPr>
          <w:p>
            <w:pPr>
              <w:ind w:left="1060"/>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355.0</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Total revenue increased by $355.0 million, or 20%, in 2019 compared to 2018. We continued to experience diversification of revenue globally, and across both customer and industry segments. Revenue from all regions grew, with the Americas contributing the largest portion of our revenue growth on an absolute dollar basis.</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Product revenue increased by $114.1 million, or 17%, in 2019 compared to 2018. We experienced revenue growth across many of our hardware and software products due to an increase in product revenue from our SD-WAN FortiGate solutions and growth in sales of our Infrastructure Security solutions.</w:t>
      </w:r>
    </w:p>
    <w:p>
      <w:pPr>
        <w:spacing w:after="0" w:line="1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Service revenue increased by $240.9 million, or 21%, in 2019 compared to 2018. FortiGuard security subscription and FortiCare technical support and other revenues increased by $144.8 million, or 24%, and by $96.1 million, or 18%, respectively, in 2019 compared to 2018. The increases were primarily due to the recognition of revenue from our growing deferred revenue balance related to FortiGuard and other security subscriptions and FortiCare technical support and other contracts. Of the service revenue recognized in 2019, 68% was included in the deferred revenue balance as of December 31, 2018. Of the service revenue recognized in 2018, 67% was included in the deferred revenue balance as of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180" w:type="dxa"/>
            <w:vAlign w:val="bottom"/>
            <w:gridSpan w:val="4"/>
          </w:tcPr>
          <w:p>
            <w:pPr>
              <w:jc w:val="right"/>
              <w:ind w:right="234"/>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20"/>
                <w:szCs w:val="20"/>
                <w:color w:val="auto"/>
              </w:rPr>
            </w:pP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12%</w:t>
            </w: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14</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120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505.9</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12%</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Total gross margin increased by 1.5 percentage points in 2019 compared to 2018, driven by improvements to both product and service gross margins. Product gross margin increased by 1.9 percentage points in 2019 compared to 2018. Product gross margin benefited from gains in average selling price, as well as lower direct and indirect product costs as a percentage of product revenue. It also benefited from deal mix, software revenue growth and a stable product transition environment. Cost of</w:t>
      </w:r>
    </w:p>
    <w:p>
      <w:pPr>
        <w:sectPr>
          <w:pgSz w:w="11900" w:h="16838" w:orient="portrait"/>
          <w:cols w:equalWidth="0" w:num="1">
            <w:col w:w="11420"/>
          </w:cols>
          <w:pgMar w:left="240" w:top="122"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product revenue was comprised primarily of third-party contract manufacturers’ costs and the costs of materials used in production. Service gross margin increased by 0.8 percentage points in 2019 compared to 2018, as our service revenue growth outpaced our growth in related personnel costs. Cost of service revenue was comprised primarily of personnel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18</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w:t>
            </w:r>
          </w:p>
        </w:tc>
        <w:tc>
          <w:tcPr>
            <w:tcW w:w="1520" w:type="dxa"/>
            <w:vAlign w:val="bottom"/>
            <w:gridSpan w:val="3"/>
          </w:tcPr>
          <w:p>
            <w:pPr>
              <w:jc w:val="right"/>
              <w:ind w:right="11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420" w:type="dxa"/>
            <w:vAlign w:val="bottom"/>
          </w:tcPr>
          <w:p>
            <w:pPr>
              <w:ind w:left="1060"/>
              <w:spacing w:after="0"/>
              <w:rPr>
                <w:sz w:val="20"/>
                <w:szCs w:val="20"/>
                <w:color w:val="auto"/>
              </w:rPr>
            </w:pPr>
            <w:r>
              <w:rPr>
                <w:rFonts w:ascii="Arial" w:cs="Arial" w:eastAsia="Arial" w:hAnsi="Arial"/>
                <w:sz w:val="18"/>
                <w:szCs w:val="18"/>
                <w:color w:val="auto"/>
              </w:rPr>
              <w:t>10</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186.3</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17%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 increased by $32.6 million, or 13%, in 2019 compared to 2018, primarily due to an increase in personnel-related costs of $29.9 million as a result of increased headcount to support the development of new products and continued enhancements to our existing products. We intend to continue to invest in our research and development organization, and expect research and development expense to increase in absolute dollars in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Sales and marketing expense increased by $144.6 million, or 18%, in 2019 compared to 2018, primarily due to an increase in personnel-related costs of $103.9 million as a result of increases to sales and marketing headcount in order to drive global market share gains. In addition, marketing expenses increased by $16.8 million. We intend to continue to make investments in our sales resources and infrastructure and marketing strategy, which are critical to support growth, and expect sales and marketing expense to increase in absolute dollars in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General and administrative expense increased by $9.1 million, or 10%, in 2019 compared to 2018, primarily due to an increase in personnel-related costs of $6.1 million and an increase in litigation costs of $3.1 million. Certain facilities, depreciation, and information technology costs are allocated to other organizations based on headcount. We expect general and administrative expense to increase in absolute dollars in 2020.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generated operating income of $344.2 million in 2019, an increase of $113.2 million, or 49%, compared to $231.0 million in 2018. Operating income as a percentage of revenue increased to 16% in 2019 compared to 13% in 2018. The increase in operating margin is primarily due to the improvement in gross margin by 1.5 percentage points. In addition, as a percent of total revenue, research and development expense decreased by 0.7 percentage points, sales and marketing expense decreased by 0.4 percentage points and general and administrative expense decreased by 0.4 percentage 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income—net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3"/>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74"/>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3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16.0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(0.9)</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675"/>
        </w:trPr>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Interest income—net increased in 2019 as compared to 2018, primarily due to higher interest rates and, to a lesser extent, higher invested balances of cash, cash equivalents and investments. Interest income—net varies depending on our average investment balances during the period, types and mix of investments, and market interest rates. The change in other expense—net in 2019 as compared to 2018 was the result of a $3.8 million impairment charge on an investment in a privately held company during 2019 compared to a $2.2 million gain on the sale of an investment in a privately held company in the same period last year, partially offset by $3.5 million decrease in foreign currency exchange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180" w:type="dxa"/>
            <w:vAlign w:val="bottom"/>
            <w:gridSpan w:val="3"/>
          </w:tcPr>
          <w:p>
            <w:pPr>
              <w:jc w:val="right"/>
              <w:ind w:right="236"/>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20"/>
                <w:szCs w:val="20"/>
                <w:color w:val="auto"/>
              </w:rPr>
            </w:pPr>
          </w:p>
        </w:tc>
        <w:tc>
          <w:tcPr>
            <w:tcW w:w="1720" w:type="dxa"/>
            <w:vAlign w:val="bottom"/>
          </w:tcPr>
          <w:p>
            <w:pPr>
              <w:jc w:val="right"/>
              <w:ind w:right="51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00" w:type="dxa"/>
            <w:vAlign w:val="bottom"/>
            <w:gridSpan w:val="3"/>
          </w:tcPr>
          <w:p>
            <w:pPr>
              <w:jc w:val="right"/>
              <w:ind w:right="94"/>
              <w:spacing w:after="0"/>
              <w:rPr>
                <w:sz w:val="20"/>
                <w:szCs w:val="20"/>
                <w:color w:val="auto"/>
              </w:rPr>
            </w:pPr>
            <w:r>
              <w:rPr>
                <w:rFonts w:ascii="Arial" w:cs="Arial" w:eastAsia="Arial" w:hAnsi="Arial"/>
                <w:sz w:val="16"/>
                <w:szCs w:val="16"/>
                <w:b w:val="1"/>
                <w:bCs w:val="1"/>
                <w:color w:val="auto"/>
              </w:rPr>
              <w:t>(in millions, except percentages)</w:t>
            </w: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52.7</w:t>
            </w:r>
          </w:p>
        </w:tc>
        <w:tc>
          <w:tcPr>
            <w:tcW w:w="128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(81.3)</w:t>
            </w:r>
          </w:p>
        </w:tc>
        <w:tc>
          <w:tcPr>
            <w:tcW w:w="13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134.0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29"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 xml:space="preserve">Our provision for income taxes for 2019 reflects an effective tax rate of 14%, compared to an effective tax rate benefit of 32% for 2018. The provision for income taxes for 2019 was comprised primarily of an $88.8 million tax expense related to U.S. federal and state taxes, other foreign income taxes and foreign withholding taxes and a $10.1 million tax expense for an unrecognized tax benefit related to the Ninth Circuit’s opinion in </w:t>
      </w:r>
      <w:r>
        <w:rPr>
          <w:rFonts w:ascii="Arial" w:cs="Arial" w:eastAsia="Arial" w:hAnsi="Arial"/>
          <w:sz w:val="16"/>
          <w:szCs w:val="16"/>
          <w:i w:val="1"/>
          <w:iCs w:val="1"/>
          <w:color w:val="auto"/>
        </w:rPr>
        <w:t>Altera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 and Subsidiaries vs. Commissioner of Internal Revenue </w:t>
      </w:r>
      <w:r>
        <w:rPr>
          <w:rFonts w:ascii="Arial" w:cs="Arial" w:eastAsia="Arial" w:hAnsi="Arial"/>
          <w:sz w:val="16"/>
          <w:szCs w:val="16"/>
          <w:color w:val="auto"/>
        </w:rPr>
        <w:t>(“Altera”). The provision was partially offset by excess tax benefits of $39.3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stock-based compensation expense and tax benefits of $6.8 million from federal research and development tax credits.</w:t>
      </w:r>
    </w:p>
    <w:p>
      <w:pPr>
        <w:spacing w:after="0" w:line="15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2018, our effective tax rate benefit of 32% was comprised primarily of impacts related to the 2017 Tax Act, including a benefit of $164.0 million from the realignment of our tax structure and operations that resulted in a book-to-tax basis difference from previously taxed off-shore deferred revenue. These benefits were partially offset by a $32.6 million increase in the transition tax for finalization of the provisional estimates under Staff Accounting Bulletin No. 118, Income Tax Accounting Implications of the Tax Cuts and Jobs Act, $20.5 million of tax expense for the impact of the GILTI and $29.6 million of tax expense related to U.S. federal and state taxes, other foreign income taxes, foreign withholding taxes and a decrease in tax reserves.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income data for the last eight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10"/>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6"/>
                <w:szCs w:val="16"/>
                <w:b w:val="1"/>
                <w:bCs w:val="1"/>
                <w:color w:val="auto"/>
              </w:rPr>
              <w:t>Dec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1"/>
              </w:rPr>
              <w:t>Sept 30,</w:t>
            </w:r>
          </w:p>
        </w:tc>
        <w:tc>
          <w:tcPr>
            <w:tcW w:w="120" w:type="dxa"/>
            <w:vAlign w:val="bottom"/>
          </w:tcPr>
          <w:p>
            <w:pPr>
              <w:spacing w:after="0"/>
              <w:rPr>
                <w:sz w:val="18"/>
                <w:szCs w:val="18"/>
                <w:color w:val="auto"/>
              </w:rPr>
            </w:pPr>
          </w:p>
        </w:tc>
        <w:tc>
          <w:tcPr>
            <w:tcW w:w="1000" w:type="dxa"/>
            <w:vAlign w:val="bottom"/>
            <w:gridSpan w:val="5"/>
          </w:tcPr>
          <w:p>
            <w:pPr>
              <w:ind w:left="200"/>
              <w:spacing w:after="0"/>
              <w:rPr>
                <w:sz w:val="20"/>
                <w:szCs w:val="20"/>
                <w:color w:val="auto"/>
              </w:rPr>
            </w:pPr>
            <w:r>
              <w:rPr>
                <w:rFonts w:ascii="Arial" w:cs="Arial" w:eastAsia="Arial" w:hAnsi="Arial"/>
                <w:sz w:val="16"/>
                <w:szCs w:val="16"/>
                <w:b w:val="1"/>
                <w:bCs w:val="1"/>
                <w:color w:val="auto"/>
              </w:rPr>
              <w:t>Jun 30,</w:t>
            </w: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7"/>
              </w:rPr>
              <w:t>Mar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89"/>
              </w:rPr>
              <w:t>Dec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1"/>
              </w:rPr>
              <w:t>Sept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17"/>
          </w:tcPr>
          <w:p>
            <w:pPr>
              <w:jc w:val="right"/>
              <w:ind w:right="580"/>
              <w:spacing w:after="0"/>
              <w:rPr>
                <w:sz w:val="20"/>
                <w:szCs w:val="20"/>
                <w:color w:val="auto"/>
              </w:rPr>
            </w:pPr>
            <w:r>
              <w:rPr>
                <w:rFonts w:ascii="Arial" w:cs="Arial" w:eastAsia="Arial" w:hAnsi="Arial"/>
                <w:sz w:val="16"/>
                <w:szCs w:val="16"/>
                <w:b w:val="1"/>
                <w:bCs w:val="1"/>
                <w:color w:val="auto"/>
                <w:w w:val="93"/>
              </w:rPr>
              <w:t>(in millions, except per share 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Statements of Income Data: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197.1</w:t>
            </w:r>
          </w:p>
        </w:tc>
        <w:tc>
          <w:tcPr>
            <w:tcW w:w="38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8"/>
              </w:rPr>
              <w:t>162.7</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200.8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9"/>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jc w:val="right"/>
              <w:ind w:right="19"/>
              <w:spacing w:after="0"/>
              <w:rPr>
                <w:sz w:val="20"/>
                <w:szCs w:val="20"/>
                <w:color w:val="auto"/>
              </w:rPr>
            </w:pPr>
            <w:r>
              <w:rPr>
                <w:rFonts w:ascii="Arial" w:cs="Arial" w:eastAsia="Arial" w:hAnsi="Arial"/>
                <w:sz w:val="18"/>
                <w:szCs w:val="18"/>
                <w:color w:val="auto"/>
                <w:w w:val="88"/>
              </w:rPr>
              <w:t>309.9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ind w:right="19"/>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614.4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8"/>
              </w:rPr>
              <w:t>472.6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(1)(2)</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86.9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18"/>
                <w:szCs w:val="18"/>
                <w:color w:val="auto"/>
                <w:vertAlign w:val="superscript"/>
              </w:rPr>
              <w:t>(1)(2)</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5"/>
              </w:rPr>
              <w:t>41.6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3"/>
              </w:rPr>
              <w:t>Total cost of revenue</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140.5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8"/>
              </w:rPr>
              <w:t>113.0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7"/>
        </w:trPr>
        <w:tc>
          <w:tcPr>
            <w:tcW w:w="2420" w:type="dxa"/>
            <w:vAlign w:val="bottom"/>
            <w:gridSpan w:val="2"/>
          </w:tcPr>
          <w:p>
            <w:pPr>
              <w:ind w:left="820"/>
              <w:spacing w:after="0"/>
              <w:rPr>
                <w:sz w:val="20"/>
                <w:szCs w:val="20"/>
                <w:color w:val="auto"/>
              </w:rPr>
            </w:pPr>
            <w:r>
              <w:rPr>
                <w:rFonts w:ascii="Arial" w:cs="Arial" w:eastAsia="Arial" w:hAnsi="Arial"/>
                <w:sz w:val="18"/>
                <w:szCs w:val="18"/>
                <w:color w:val="auto"/>
              </w:rPr>
              <w:t>Total gross profit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473.9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8"/>
              </w:rPr>
              <w:t>359.6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342.3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gridSpan w:val="3"/>
          </w:tcPr>
          <w:p>
            <w:pPr>
              <w:ind w:left="380"/>
              <w:spacing w:after="0"/>
              <w:rPr>
                <w:sz w:val="20"/>
                <w:szCs w:val="20"/>
                <w:color w:val="auto"/>
              </w:rPr>
            </w:pPr>
            <w:r>
              <w:rPr>
                <w:rFonts w:ascii="Arial" w:cs="Arial" w:eastAsia="Arial" w:hAnsi="Arial"/>
                <w:sz w:val="18"/>
                <w:szCs w:val="18"/>
                <w:color w:val="auto"/>
                <w:w w:val="93"/>
              </w:rPr>
              <w:t xml:space="preserve">Research and development </w:t>
            </w:r>
            <w:r>
              <w:rPr>
                <w:rFonts w:ascii="Arial" w:cs="Arial" w:eastAsia="Arial" w:hAnsi="Arial"/>
                <w:sz w:val="18"/>
                <w:szCs w:val="18"/>
                <w:color w:val="auto"/>
                <w:w w:val="93"/>
                <w:vertAlign w:val="superscript"/>
              </w:rPr>
              <w:t>(1)</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39"/>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3"/>
          </w:tcPr>
          <w:p>
            <w:pPr>
              <w:jc w:val="right"/>
              <w:ind w:right="19"/>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w w:val="85"/>
              </w:rPr>
              <w:t>65.5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8"/>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(1)(2)</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8"/>
              </w:rPr>
              <w:t>215.9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3"/>
          </w:tcPr>
          <w:p>
            <w:pPr>
              <w:ind w:left="380"/>
              <w:spacing w:after="0"/>
              <w:rPr>
                <w:sz w:val="20"/>
                <w:szCs w:val="20"/>
                <w:color w:val="auto"/>
              </w:rPr>
            </w:pPr>
            <w:r>
              <w:rPr>
                <w:rFonts w:ascii="Arial" w:cs="Arial" w:eastAsia="Arial" w:hAnsi="Arial"/>
                <w:sz w:val="18"/>
                <w:szCs w:val="18"/>
                <w:color w:val="auto"/>
                <w:w w:val="95"/>
              </w:rPr>
              <w:t xml:space="preserve">General and administrative </w:t>
            </w:r>
            <w:r>
              <w:rPr>
                <w:rFonts w:ascii="Arial" w:cs="Arial" w:eastAsia="Arial" w:hAnsi="Arial"/>
                <w:sz w:val="18"/>
                <w:szCs w:val="18"/>
                <w:color w:val="auto"/>
                <w:w w:val="95"/>
                <w:vertAlign w:val="superscript"/>
              </w:rPr>
              <w:t>(1)</w:t>
            </w:r>
          </w:p>
        </w:tc>
        <w:tc>
          <w:tcPr>
            <w:tcW w:w="7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5"/>
              </w:rPr>
              <w:t>22.0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w w:val="89"/>
              </w:rPr>
              <w:t>Total operating expenses</w:t>
            </w: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355.5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8"/>
              </w:rPr>
              <w:t>309.0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5"/>
              </w:rPr>
              <w:t>85.1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62.8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9"/>
              </w:rPr>
              <w:t>Other income (expense)—net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3360" w:type="dxa"/>
            <w:vAlign w:val="bottom"/>
            <w:gridSpan w:val="5"/>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9"/>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79.8</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58.8</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182.6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4"/>
                <w:szCs w:val="14"/>
                <w:color w:val="auto"/>
              </w:rPr>
              <w:t>:</w:t>
            </w: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9"/>
              <w:spacing w:after="0"/>
              <w:rPr>
                <w:sz w:val="20"/>
                <w:szCs w:val="20"/>
                <w:color w:val="auto"/>
              </w:rPr>
            </w:pPr>
            <w:r>
              <w:rPr>
                <w:rFonts w:ascii="Arial" w:cs="Arial" w:eastAsia="Arial" w:hAnsi="Arial"/>
                <w:sz w:val="18"/>
                <w:szCs w:val="18"/>
                <w:color w:val="auto"/>
              </w:rPr>
              <w:t>0.46</w:t>
            </w:r>
          </w:p>
        </w:tc>
        <w:tc>
          <w:tcPr>
            <w:tcW w:w="3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9"/>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9"/>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w w:val="85"/>
              </w:rPr>
              <w:t>1.04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360" w:type="dxa"/>
            <w:vAlign w:val="bottom"/>
            <w:gridSpan w:val="5"/>
          </w:tcPr>
          <w:p>
            <w:pPr>
              <w:spacing w:after="0"/>
              <w:rPr>
                <w:sz w:val="20"/>
                <w:szCs w:val="20"/>
                <w:color w:val="auto"/>
              </w:rPr>
            </w:pPr>
            <w:r>
              <w:rPr>
                <w:rFonts w:ascii="Arial" w:cs="Arial" w:eastAsia="Arial" w:hAnsi="Arial"/>
                <w:sz w:val="14"/>
                <w:szCs w:val="14"/>
                <w:color w:val="auto"/>
              </w:rPr>
              <w:t>(1) Includes stock-based compensation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8"/>
          </w:tcPr>
          <w:p>
            <w:pPr>
              <w:jc w:val="center"/>
              <w:ind w:left="199"/>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Sept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Mar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74"/>
              <w:spacing w:after="0"/>
              <w:rPr>
                <w:sz w:val="20"/>
                <w:szCs w:val="20"/>
                <w:color w:val="auto"/>
              </w:rPr>
            </w:pPr>
            <w:r>
              <w:rPr>
                <w:rFonts w:ascii="Arial" w:cs="Arial" w:eastAsia="Arial" w:hAnsi="Arial"/>
                <w:sz w:val="16"/>
                <w:szCs w:val="16"/>
                <w:b w:val="1"/>
                <w:bCs w:val="1"/>
                <w:color w:val="auto"/>
              </w:rPr>
              <w:t>Dec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87"/>
              </w:rPr>
              <w:t>Sept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Mar 31,</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120" w:type="dxa"/>
            <w:vAlign w:val="bottom"/>
            <w:gridSpan w:val="5"/>
          </w:tcPr>
          <w:p>
            <w:pPr>
              <w:jc w:val="right"/>
              <w:ind w:right="1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center"/>
              <w:ind w:right="13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1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5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Cost of product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78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4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Cost of service revenue</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9"/>
              </w:rPr>
              <w:t>24.9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25.1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0"/>
        </w:trPr>
        <w:tc>
          <w:tcPr>
            <w:tcW w:w="2420" w:type="dxa"/>
            <w:vAlign w:val="bottom"/>
            <w:gridSpan w:val="2"/>
          </w:tcPr>
          <w:p>
            <w:pPr>
              <w:ind w:left="380"/>
              <w:spacing w:after="0"/>
              <w:rPr>
                <w:sz w:val="20"/>
                <w:szCs w:val="20"/>
                <w:color w:val="auto"/>
              </w:rPr>
            </w:pPr>
            <w:r>
              <w:rPr>
                <w:rFonts w:ascii="Arial" w:cs="Arial" w:eastAsia="Arial" w:hAnsi="Arial"/>
                <w:sz w:val="16"/>
                <w:szCs w:val="16"/>
                <w:color w:val="auto"/>
              </w:rPr>
              <w:t>Total stock-based</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6"/>
                <w:szCs w:val="16"/>
                <w:color w:val="auto"/>
                <w:w w:val="89"/>
              </w:rPr>
              <w:t>42.4</w:t>
            </w:r>
          </w:p>
        </w:tc>
        <w:tc>
          <w:tcPr>
            <w:tcW w:w="8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58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3"/>
              </w:rPr>
              <w:t>42.6</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7"/>
                <w:szCs w:val="17"/>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9"/>
        </w:trPr>
        <w:tc>
          <w:tcPr>
            <w:tcW w:w="2420" w:type="dxa"/>
            <w:vAlign w:val="bottom"/>
            <w:gridSpan w:val="2"/>
          </w:tcPr>
          <w:p>
            <w:pPr>
              <w:ind w:left="380"/>
              <w:spacing w:after="0"/>
              <w:rPr>
                <w:sz w:val="20"/>
                <w:szCs w:val="20"/>
                <w:color w:val="auto"/>
              </w:rPr>
            </w:pPr>
            <w:r>
              <w:rPr>
                <w:rFonts w:ascii="Arial" w:cs="Arial" w:eastAsia="Arial" w:hAnsi="Arial"/>
                <w:sz w:val="16"/>
                <w:szCs w:val="16"/>
                <w:color w:val="auto"/>
              </w:rPr>
              <w:t>compensation expense</w:t>
            </w:r>
          </w:p>
        </w:tc>
        <w:tc>
          <w:tcPr>
            <w:tcW w:w="2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(2) Total amortization included in product costs, service costs, and sales and marketing expense are as follows:</w:t>
      </w:r>
    </w:p>
    <w:p>
      <w:pPr>
        <w:spacing w:after="0" w:line="330"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37465</wp:posOffset>
            </wp:positionV>
            <wp:extent cx="5720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 31,</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Sept 30,</w:t>
            </w:r>
          </w:p>
        </w:tc>
        <w:tc>
          <w:tcPr>
            <w:tcW w:w="2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 30,</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Mar 31,</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Dec 31,</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 30,</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 30,</w:t>
            </w:r>
          </w:p>
        </w:tc>
        <w:tc>
          <w:tcPr>
            <w:tcW w:w="180" w:type="dxa"/>
            <w:vAlign w:val="bottom"/>
          </w:tcPr>
          <w:p>
            <w:pPr>
              <w:spacing w:after="0"/>
              <w:rPr>
                <w:sz w:val="17"/>
                <w:szCs w:val="17"/>
                <w:color w:val="auto"/>
              </w:rPr>
            </w:pPr>
          </w:p>
        </w:tc>
        <w:tc>
          <w:tcPr>
            <w:tcW w:w="84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Mar 31,</w:t>
            </w: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buying, followed by an increase in buying in the second quarter. The third quarter is often consistent with the second quarter.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Consistent with the seasonality note above, our total quarterly revenue over the past eight quarters has generally increased sequentially in each quarter, except in the first quarter of 2019 and 2018. Product revenue, in each quarter in 2019, increased as compared to the same quarter in 2018, which we believe was due to investments we made in our sales and marketing organizations, continued product innovation and a robust security market. We continue to see a shift from product revenue to higher-margin, recurring service revenue.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gross margin has fluctuated on a quarterly basis primarily due to seasonality of product sales and seasonality of cost increases. Product gross margin varies based on the types of products sold and the average selling prices of our products. In 2019, product gross margin was impacted by new product introductions and the mix of high-end, mid-range and entry-level products. Service gross margin benefited from the growth of our customer base and renewals.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538.3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1,349.3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689.6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associated with stock option exercises, issuances of common stock under our equity incentive plans and payment of taxes in connection with the net settlement of equity awards, real estate and other capital expenditures and business acquisitions.</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recent years, we have received significant capital resources from billings, the exercise of stock options and our Employee Stock Purchase Plan (“ESPP”) purchases. Additional increases in billings may depend on a number of factors, including demand for our products and services, competition, market or industry changes, and our ability to execute. We expect</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proceeds from the exercise of stock options in future years to be impacted by the increased mix of restricted stock units versus stock options granted and also to vary based on our share price. There will not be future proceeds from purchases under our ESPP, which was terminated in February 2019. As of December 31, 2019, $1.6 billion remained available for future share repurchases under the Repurchase Program.</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Construction of a second building at our headquarters campus started in the fourth quarter of 2018 and related spending will continue in 2020 and until project completion. We estimate 2020 real estate spending, including the headquarters campus project, to be between $150.0 million and $160.0 million dollars.</w:t>
      </w:r>
    </w:p>
    <w:p>
      <w:pPr>
        <w:spacing w:after="0" w:line="18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As of December 31, 2019, our cash, cash equivalents and investments of $2.21 billion were invested primarily in deposit accounts, money market funds, corporate debt securities, commercial paper, certificates of deposit and term deposits and U.S. government and agency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amount of cash, cash equivalents and investments held by our international subsidiaries was $109.3 million as of December 31, 2019 and $956.6 million as of December 31, 2018. The decrease in cash, cash equivalents and investments held by our international subsidiaries related to changes in our international tax structure.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timing and extent of spending to support development efforts, the expansion of sales and marketing activities, the introduction of new and enhanced products and services offerings, the continuing market acceptance of our products and our investments in purchasing or leasing real estate.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accounts receivable and inventory.</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operating activities during 2019 provided $808.0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$449.1 million, or 27%, during 2019.</w:t>
      </w:r>
    </w:p>
    <w:p>
      <w:pPr>
        <w:spacing w:after="0" w:line="18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operating activities during 2018 provided $638.9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as of December 31, 2018 of $1.69 billion represented a 26% increase year over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believed that purchasing rather than leasing is more in line with our long-term strategy. We expect to make similar decisions in the future. We may also make cash payments in connection with future business combinations.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2019, cash used in investing activities was primarily driven by $375.5 million expended on purchases of investments, net of maturities and sales of investments, $92.2 million spent on purchases of property and equipment and $34.6 million used for the acquisitions of enSilo and CyberSponse, net of cash acquired.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2018, cash used in investing activities was primarily due to $60.2 million spent for purchases of our investments, net of maturities and sales of investments, $53.0 million spent on capital expenditures and $21.7 million used for the acquisitions of Bradford Networks, Inc. and ZoneFox Limited, net of cash acquired.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proceeds from the issuance of common stock under our equity incentive plans, taxes paid related to net share settlement of equity awards and payments of debt assumed in business combinations.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2019, cash used in financing activities was $195.6 million, primarily due to $145.1 million used to repurchase shares of our common stock, $46.5 million used to pay tax withholding, net of proceeds, from the issuance of common stock and $3.7 million of payments of the debt assumed in business combinations.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2018, cash used in financing activities was $202.6 million, primarily due to $211.8 million used to repurchase shares of our common stock and $10.1 million of payments of the debt assumed in business combinations. This was partially offset by $19.3 million of proceeds from the issuance of common stock, net of tax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inventory purchase commitments as of December 31, 2019:</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90"/>
              </w:rPr>
              <w:t>Payments Due by Period</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rPr>
              <w:t>Less than 1 year</w:t>
            </w:r>
          </w:p>
        </w:tc>
        <w:tc>
          <w:tcPr>
            <w:tcW w:w="220" w:type="dxa"/>
            <w:vAlign w:val="bottom"/>
          </w:tcPr>
          <w:p>
            <w:pPr>
              <w:spacing w:after="0"/>
              <w:rPr>
                <w:sz w:val="18"/>
                <w:szCs w:val="18"/>
                <w:color w:val="auto"/>
              </w:rPr>
            </w:pPr>
          </w:p>
        </w:tc>
        <w:tc>
          <w:tcPr>
            <w:tcW w:w="1380" w:type="dxa"/>
            <w:vAlign w:val="bottom"/>
          </w:tcPr>
          <w:p>
            <w:pPr>
              <w:jc w:val="center"/>
              <w:ind w:right="356"/>
              <w:spacing w:after="0"/>
              <w:rPr>
                <w:sz w:val="20"/>
                <w:szCs w:val="20"/>
                <w:color w:val="auto"/>
              </w:rPr>
            </w:pPr>
            <w:r>
              <w:rPr>
                <w:rFonts w:ascii="Arial" w:cs="Arial" w:eastAsia="Arial" w:hAnsi="Arial"/>
                <w:sz w:val="16"/>
                <w:szCs w:val="16"/>
                <w:b w:val="1"/>
                <w:bCs w:val="1"/>
                <w:color w:val="auto"/>
                <w:w w:val="89"/>
              </w:rPr>
              <w:t>1 - 3 years</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auto"/>
              </w:rPr>
              <w:t>3 - 5 years</w:t>
            </w:r>
          </w:p>
        </w:tc>
        <w:tc>
          <w:tcPr>
            <w:tcW w:w="1080" w:type="dxa"/>
            <w:vAlign w:val="bottom"/>
          </w:tcPr>
          <w:p>
            <w:pPr>
              <w:jc w:val="center"/>
              <w:ind w:right="76"/>
              <w:spacing w:after="0"/>
              <w:rPr>
                <w:sz w:val="20"/>
                <w:szCs w:val="20"/>
                <w:color w:val="auto"/>
              </w:rPr>
            </w:pPr>
            <w:r>
              <w:rPr>
                <w:rFonts w:ascii="Arial" w:cs="Arial" w:eastAsia="Arial" w:hAnsi="Arial"/>
                <w:sz w:val="16"/>
                <w:szCs w:val="16"/>
                <w:b w:val="1"/>
                <w:bCs w:val="1"/>
                <w:color w:val="auto"/>
                <w:w w:val="85"/>
              </w:rPr>
              <w:t>years</w:t>
            </w: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416"/>
              <w:spacing w:after="0"/>
              <w:rPr>
                <w:sz w:val="20"/>
                <w:szCs w:val="20"/>
                <w:color w:val="auto"/>
              </w:rPr>
            </w:pPr>
            <w:r>
              <w:rPr>
                <w:rFonts w:ascii="Arial" w:cs="Arial" w:eastAsia="Arial" w:hAnsi="Arial"/>
                <w:sz w:val="16"/>
                <w:szCs w:val="16"/>
                <w:b w:val="1"/>
                <w:bCs w:val="1"/>
                <w:color w:val="auto"/>
                <w:w w:val="93"/>
              </w:rPr>
              <w:t>(in millions)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Inventory purchase commitments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231.9</w:t>
            </w:r>
          </w:p>
        </w:tc>
        <w:tc>
          <w:tcPr>
            <w:tcW w:w="5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Consists of minimum purchase commitments with independent contract manufacturers.</w:t>
      </w:r>
    </w:p>
    <w:p>
      <w:pPr>
        <w:spacing w:after="0" w:line="16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addition to commitments with contract manufacturers, we have open purchase orders and contractual obligations in the ordinary course of business for which we have not received goods or services. As of December 31, 2019, we had $12.8 million in other contractual commitments having a remaining term in excess of one year that may not be cancelable.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of December 31, 2019, we had $82.8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During 2019, 2018 and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certificates of deposit and term deposits, commercial paper, money market funds, and U.S. government and agency securities. The risk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associated with fluctuating interest rates is limited to our investment portfolio. A 10% decrease in interest rates in 2019, 2018 and 2017 would have resulted in an insignificant decrease in our interest income in each of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Brazilian real (“BRL”), the Euro (“EUR”)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income (expense)—net in the consolidated statements of income. We recognized an expense of $4.7 million in 2019 due to foreign currency transaction losses.</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BRL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$5.6 million change in the value of our foreign currency cash balances as of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122" w:right="3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Income</w:t>
              </w:r>
            </w:hyperlink>
          </w:p>
        </w:tc>
        <w:tc>
          <w:tcPr>
            <w:tcW w:w="8140" w:type="dxa"/>
            <w:vAlign w:val="bottom"/>
            <w:gridSpan w:val="6"/>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supplementary financial information required by this Item 8 is included in Part II, Item 7 of this Annual Report on Form 10-K under the caption “Management’s Discussion and Analysis of Financial Condition and Results of Operations—Quarterly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2019 and 2018, the related consolidated statements of income, comprehensive income, stockholders’ equity, and cash flows,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3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revenue in fiscal 2018 due to adoption of the new revenue standard.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Contingencies–Refer to Note 11 to the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involved in disputes, litigation and other legal actions in the normal course of business. Claims from third parties may result in a requirement to pay substantial damages and could prevent the Company from selling certain of their products. An estimated loss from a loss contingency is accrued by a charge to income if it is probable that a liability has been incurred and the amount of the loss can be reasonably estimated. Where a range of loss can be reasonably estimated with no best estimate in the range, management records the minimum estimated liability.</w:t>
      </w:r>
    </w:p>
    <w:p>
      <w:pPr>
        <w:spacing w:after="0" w:line="2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ectPr>
          <w:pgSz w:w="11900" w:h="16838" w:orient="portrait"/>
          <w:cols w:equalWidth="0" w:num="1">
            <w:col w:w="11400"/>
          </w:cols>
          <w:pgMar w:left="240" w:top="122"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22" w:right="25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inherent uncertainty of the outcome of identified current matters, auditing the valuation assertion of litigation contingencies required a high degree of auditor judgment and an increased extent of effort when performing audit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litigation contingencies included the following, among others:</w:t>
      </w:r>
    </w:p>
    <w:p>
      <w:pPr>
        <w:spacing w:after="0" w:line="3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litigation contingency accrual analysis and assessment of matters with potential impact.</w:t>
      </w:r>
    </w:p>
    <w:p>
      <w:pPr>
        <w:spacing w:after="0" w:line="356" w:lineRule="exact"/>
        <w:rPr>
          <w:rFonts w:ascii="Arial" w:cs="Arial" w:eastAsia="Arial" w:hAnsi="Arial"/>
          <w:sz w:val="16"/>
          <w:szCs w:val="16"/>
          <w:color w:val="auto"/>
        </w:rPr>
      </w:pPr>
    </w:p>
    <w:p>
      <w:pPr>
        <w:ind w:left="260" w:right="460" w:hanging="25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obtained and evaluated legal letters from internal and external legal counsel, and we discussed with internal legal counsel the pending litigation matters.</w:t>
      </w:r>
    </w:p>
    <w:p>
      <w:pPr>
        <w:spacing w:after="0" w:line="278"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made inquiries with management to obtain an understanding of litigation matters that the Company is currently undergoing.</w:t>
      </w:r>
    </w:p>
    <w:p>
      <w:pPr>
        <w:spacing w:after="0" w:line="33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read available court filings for litigation matters to search for contradictory information.</w:t>
      </w:r>
    </w:p>
    <w:p>
      <w:pPr>
        <w:spacing w:after="0" w:line="33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read Board of Directors meeting minutes to search for contradictory information.</w:t>
      </w:r>
    </w:p>
    <w:p>
      <w:pPr>
        <w:spacing w:after="0" w:line="333"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assumptions used by the Company to estimate the litigation contingency, including corroborating the assumptions with internal legal counsel.</w:t>
      </w:r>
    </w:p>
    <w:p>
      <w:pPr>
        <w:spacing w:after="0" w:line="278"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Company’s litigation contingencies disclosure for consistency with our knowledge of the Company’s litigation matters.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537.2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Accounts receivable—Net of reserves for doubtful accounts of $1.2 million and $0.9 million at December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31, 2019 and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255.0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3,078.0</w:t>
            </w:r>
          </w:p>
        </w:tc>
      </w:tr>
      <w:tr>
        <w:trPr>
          <w:trHeight w:val="176"/>
        </w:trPr>
        <w:tc>
          <w:tcPr>
            <w:tcW w:w="8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965.9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720.9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6"/>
              </w:rPr>
              <w:t>Common stock, $0.001 par value—300 shares authorized; 171.7 shares and 169.8 shares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outstanding at December 31, 2019 and 2018,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1,010.2</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3,078.0</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1,367.7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2,156.2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1,186.4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1,650.3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1,306.1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1,119.8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INCOME—NET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9):</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w w:val="99"/>
              </w:rPr>
              <w:t>Tax provision (benefit) related to change in unrealized gains (losses) on investments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328.5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2016</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837.7</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loss on investments - net of tax</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2017</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 effect adjustments from adoption of Topic 606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Cumulative-effect adjustment from adoption of ASU 2018-02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unrealized gain on investments - net of tax</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BALANCE—December 31, 2019</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1,180.3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1,321.9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2"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60" w:type="dxa"/>
            <w:vAlign w:val="bottom"/>
          </w:tcPr>
          <w:p>
            <w:pPr>
              <w:jc w:val="center"/>
              <w:ind w:left="3248"/>
              <w:spacing w:after="0"/>
              <w:rPr>
                <w:sz w:val="20"/>
                <w:szCs w:val="20"/>
                <w:color w:val="auto"/>
              </w:rPr>
            </w:pPr>
            <w:r>
              <w:rPr>
                <w:rFonts w:ascii="Arial" w:cs="Arial" w:eastAsia="Arial" w:hAnsi="Arial"/>
                <w:sz w:val="14"/>
                <w:szCs w:val="14"/>
                <w:b w:val="1"/>
                <w:bCs w:val="1"/>
                <w:color w:val="auto"/>
              </w:rPr>
              <w:t>FORTINET, INC.</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500" w:type="dxa"/>
            <w:vAlign w:val="bottom"/>
            <w:gridSpan w:val="2"/>
          </w:tcPr>
          <w:p>
            <w:pPr>
              <w:jc w:val="center"/>
              <w:ind w:left="2808"/>
              <w:spacing w:after="0"/>
              <w:rPr>
                <w:sz w:val="20"/>
                <w:szCs w:val="20"/>
                <w:color w:val="auto"/>
              </w:rPr>
            </w:pPr>
            <w:r>
              <w:rPr>
                <w:rFonts w:ascii="Arial" w:cs="Arial" w:eastAsia="Arial" w:hAnsi="Arial"/>
                <w:sz w:val="14"/>
                <w:szCs w:val="14"/>
                <w:b w:val="1"/>
                <w:bCs w:val="1"/>
                <w:color w:val="auto"/>
              </w:rPr>
              <w:t>CONSOLIDATED STATEMENTS OF CASH FLOWS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60" w:type="dxa"/>
            <w:vAlign w:val="bottom"/>
          </w:tcPr>
          <w:p>
            <w:pPr>
              <w:jc w:val="center"/>
              <w:ind w:left="3248"/>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60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Net income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326.5</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920"/>
              <w:spacing w:after="0"/>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92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(discounts)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920"/>
              <w:spacing w:after="0"/>
              <w:rPr>
                <w:sz w:val="20"/>
                <w:szCs w:val="20"/>
                <w:color w:val="auto"/>
              </w:rPr>
            </w:pPr>
            <w:r>
              <w:rPr>
                <w:rFonts w:ascii="Arial" w:cs="Arial" w:eastAsia="Arial" w:hAnsi="Arial"/>
                <w:sz w:val="14"/>
                <w:szCs w:val="14"/>
                <w:color w:val="auto"/>
              </w:rPr>
              <w:t>Other</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w w:val="97"/>
              </w:rPr>
              <w:t>Changes in operating assets and liabilities, net of assets acquired and liabilities assumed in business</w:t>
            </w:r>
          </w:p>
        </w:tc>
        <w:tc>
          <w:tcPr>
            <w:tcW w:w="44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combinations:</w:t>
            </w:r>
          </w:p>
        </w:tc>
        <w:tc>
          <w:tcPr>
            <w:tcW w:w="4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Accounts receivable—net</w:t>
            </w:r>
          </w:p>
        </w:tc>
        <w:tc>
          <w:tcPr>
            <w:tcW w:w="4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Inventory</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contract costs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Deferred tax assets</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assets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Accrued payroll and compensation</w:t>
            </w:r>
          </w:p>
        </w:tc>
        <w:tc>
          <w:tcPr>
            <w:tcW w:w="4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liabilities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6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 payable</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606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808.0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Purchases of investments</w:t>
            </w:r>
          </w:p>
        </w:tc>
        <w:tc>
          <w:tcPr>
            <w:tcW w:w="4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(1,332.3)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(669.2)</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Sales of investments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Maturities of investments</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925.5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578.8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Purchases of property and equipment</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(502.3)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060" w:type="dxa"/>
            <w:vAlign w:val="bottom"/>
            <w:gridSpan w:val="2"/>
          </w:tcPr>
          <w:p>
            <w:pPr>
              <w:ind w:left="2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4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Payments of debt assumed in connection with business combinations</w:t>
            </w:r>
          </w:p>
        </w:tc>
        <w:tc>
          <w:tcPr>
            <w:tcW w:w="4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44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606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used in financing activities</w:t>
            </w: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44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AND CASH EQUIVALENTS—Beginning of year</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year</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1,222.5</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06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Cash paid for income taxes—net</w:t>
            </w:r>
          </w:p>
        </w:tc>
        <w:tc>
          <w:tcPr>
            <w:tcW w:w="440" w:type="dxa"/>
            <w:vAlign w:val="bottom"/>
            <w:tcBorders>
              <w:bottom w:val="single" w:sz="8" w:color="auto"/>
            </w:tcBorders>
            <w:shd w:val="clear" w:color="auto" w:fill="BFE4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Finance lease liabilities arising from obtaining right-of-use assets</w:t>
            </w:r>
          </w:p>
        </w:tc>
        <w:tc>
          <w:tcPr>
            <w:tcW w:w="440" w:type="dxa"/>
            <w:vAlign w:val="bottom"/>
            <w:tcBorders>
              <w:bottom w:val="single" w:sz="8" w:color="auto"/>
            </w:tcBorders>
            <w:shd w:val="clear" w:color="auto" w:fill="BFE4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4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right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Liability incurred for repurchase of common stock</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Liability incurred in connection with business combination</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14" w:right="259" w:bottom="55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114" w:right="259" w:bottom="555"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360" w:firstLine="648"/>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—Fortinet, Inc. (“Fortinet”) was incorporated in Delaware in November 2000 and is a global leader in broad, integrated and automated</w:t>
      </w:r>
      <w:r>
        <w:rPr>
          <w:rFonts w:ascii="Arial" w:cs="Arial" w:eastAsia="Arial" w:hAnsi="Arial"/>
          <w:sz w:val="17"/>
          <w:szCs w:val="17"/>
          <w:b w:val="1"/>
          <w:bCs w:val="1"/>
          <w:color w:val="auto"/>
        </w:rPr>
        <w:t xml:space="preserve"> </w:t>
      </w:r>
      <w:r>
        <w:rPr>
          <w:rFonts w:ascii="Arial" w:cs="Arial" w:eastAsia="Arial" w:hAnsi="Arial"/>
          <w:sz w:val="17"/>
          <w:szCs w:val="17"/>
          <w:color w:val="auto"/>
        </w:rPr>
        <w:t>cybersecurity solutions. Fortinet provides high performance cybersecurity solutions to a wide variety of businesses, such as enterprises, communication service providers and small businesses. Fortinet’s cybersecurity solutions are designed to provide broad visibility and segmentation of the digital attack surface, through our integrated Security Fabric Platform with automated protection, detection and responses.</w:t>
      </w:r>
    </w:p>
    <w:p>
      <w:pPr>
        <w:spacing w:after="0" w:line="16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 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76"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accordance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Such management estimates include, but are not limited to, the standalone selling price for each distinct performance obligation included in customer contracts with multiple performance obligations, the period of benefit for deferred contract costs for commissions, stock-based compensation, inventory valuation, the fair value of assets acquired and liabilities assumed in business combinations, the measurement of liabilities for uncertain tax positions and deferred tax assets and liabilities, the assessment of recoverability of our goodwill and other long-lived assets, the determination of sales returns reserves and contingent liabilities. We base our estimates on historical experience and also on assumptions that we believe are reasonable. Actual results could differ from those estimates.</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Concentration Risk</w:t>
      </w:r>
      <w:r>
        <w:rPr>
          <w:rFonts w:ascii="Arial" w:cs="Arial" w:eastAsia="Arial" w:hAnsi="Arial"/>
          <w:sz w:val="18"/>
          <w:szCs w:val="18"/>
          <w:color w:val="auto"/>
        </w:rPr>
        <w:t>—Financial instruments that subject us to concentrations of credit risk consist primarily of cash, cash equivalents,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and long-term investments and accounts receivable. Our cash balances are maintained as deposits with various large financial institutions in the United States and around the world. Balances in the United States typically exceed the amount of insurance provided on such deposits. We maintain our cash equivalents and investments in money market funds, commercial paper and fixed income securities with major financial institutions that our management believes are financially sound.</w:t>
      </w:r>
    </w:p>
    <w:p>
      <w:pPr>
        <w:spacing w:after="0" w:line="18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accounts receivables are primarily derived from our channel partners in various geographic locations. We perform ongoing credit evaluations of our customers. We generally do not require collateral on accounts receivable, and we maintain reserves for estimated potential credit losses. As of December 31, 2019 and 2018, Exclusive Networks Group (“Exclusive”) accounted for 36% and 38% of total net accounts receivable, respectively. As of December 31, 2019, Ingram Micro Inc. (“Ingram Micro”) accounted for 10% of total net accounts receivable.</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2019, Exclusive and Ingram Micro accounted for 31% and 11% of total revenue, respectively. During 2018, Exclusive and Ingram Micro accounted for 30% and 10% of total revenue, respectively. During 2017, Exclusive accounted for 25% of total revenue.</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rely on a small number of manufacturing partners, primarily in Taiwan but also in China and the United States, to manufacture our products, and some of the components of our products are available from limited or sole sources of supply. Each of our proprietary Application-Specific Integrated Circuits is built by a sole contract manufacturer.</w:t>
      </w:r>
    </w:p>
    <w:p>
      <w:pPr>
        <w:spacing w:after="0" w:line="177"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t>
      </w:r>
      <w:r>
        <w:rPr>
          <w:rFonts w:ascii="Arial" w:cs="Arial" w:eastAsia="Arial" w:hAnsi="Arial"/>
          <w:sz w:val="16"/>
          <w:szCs w:val="16"/>
          <w:color w:val="333333"/>
        </w:rPr>
        <w:t>We define fair value as the price that would be received from selling an asset, or paid to transfer a liability,</w:t>
      </w:r>
      <w:r>
        <w:rPr>
          <w:rFonts w:ascii="Arial" w:cs="Arial" w:eastAsia="Arial" w:hAnsi="Arial"/>
          <w:sz w:val="16"/>
          <w:szCs w:val="16"/>
          <w:b w:val="1"/>
          <w:bCs w:val="1"/>
          <w:color w:val="auto"/>
        </w:rPr>
        <w:t xml:space="preserve"> </w:t>
      </w:r>
      <w:r>
        <w:rPr>
          <w:rFonts w:ascii="Arial" w:cs="Arial" w:eastAsia="Arial" w:hAnsi="Arial"/>
          <w:sz w:val="16"/>
          <w:szCs w:val="16"/>
          <w:color w:val="333333"/>
        </w:rPr>
        <w:t xml:space="preserve">in an orderly transaction between market participants at the measurement date. </w:t>
      </w:r>
      <w:r>
        <w:rPr>
          <w:rFonts w:ascii="Arial" w:cs="Arial" w:eastAsia="Arial" w:hAnsi="Arial"/>
          <w:sz w:val="16"/>
          <w:szCs w:val="16"/>
          <w:color w:val="000000"/>
        </w:rPr>
        <w:t>When determining the fair value measurements for assets and liabilities which</w:t>
      </w:r>
      <w:r>
        <w:rPr>
          <w:rFonts w:ascii="Arial" w:cs="Arial" w:eastAsia="Arial" w:hAnsi="Arial"/>
          <w:sz w:val="16"/>
          <w:szCs w:val="16"/>
          <w:color w:val="333333"/>
        </w:rPr>
        <w:t xml:space="preserve"> </w:t>
      </w:r>
      <w:r>
        <w:rPr>
          <w:rFonts w:ascii="Arial" w:cs="Arial" w:eastAsia="Arial" w:hAnsi="Arial"/>
          <w:sz w:val="16"/>
          <w:szCs w:val="16"/>
          <w:color w:val="000000"/>
        </w:rPr>
        <w:t>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15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unrealized gains and losses on available-for-sale investments and the related tax impact.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firstLine="648"/>
        <w:spacing w:after="0" w:line="258" w:lineRule="auto"/>
        <w:rPr>
          <w:sz w:val="20"/>
          <w:szCs w:val="20"/>
          <w:color w:val="auto"/>
        </w:rPr>
      </w:pPr>
      <w:r>
        <w:rPr>
          <w:rFonts w:ascii="Arial" w:cs="Arial" w:eastAsia="Arial" w:hAnsi="Arial"/>
          <w:sz w:val="18"/>
          <w:szCs w:val="18"/>
          <w:b w:val="1"/>
          <w:bCs w:val="1"/>
          <w:color w:val="auto"/>
        </w:rPr>
        <w:t>Foreign Currency and Transaction Gains and Losses</w:t>
      </w:r>
      <w:r>
        <w:rPr>
          <w:rFonts w:ascii="Arial" w:cs="Arial" w:eastAsia="Arial" w:hAnsi="Arial"/>
          <w:sz w:val="18"/>
          <w:szCs w:val="18"/>
          <w:color w:val="auto"/>
        </w:rPr>
        <w:t>—The functional currency of our foreign subsidiaries is the U.S. dollar.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assets and liabilities denominated in foreign currencies have been remeasured into U.S. dollars using the exchange rates in effect at the balance sheet dates. Foreign currency denominated income and expenses have been remeasured using the exchange rates in effect during each period. Foreign currency remeasurement gains (losses) of $(4.7) million, $(8.2) million and $1.0 million are included in other income (expense)—net for 2019, 2018 and 2017, respectively.</w:t>
      </w:r>
    </w:p>
    <w:p>
      <w:pPr>
        <w:spacing w:after="0" w:line="184"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commercial paper, term deposits and corporate debt.</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Once an impairment is determined to be other-than-temporary, an impairment charge is recorded and a new cost basis in the investment is established. The difference between the investment’s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income (loss).</w:t>
      </w:r>
    </w:p>
    <w:p>
      <w:pPr>
        <w:spacing w:after="0" w:line="15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or net realizable value. Cost is computed using the first-in, first-out method. In assessing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80" w:type="dxa"/>
            <w:vAlign w:val="bottom"/>
          </w:tcPr>
          <w:p>
            <w:pPr>
              <w:jc w:val="right"/>
              <w:ind w:right="75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0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30 years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28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7"/>
        </w:trPr>
        <w:tc>
          <w:tcPr>
            <w:tcW w:w="81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80" w:type="dxa"/>
            <w:vAlign w:val="bottom"/>
          </w:tcPr>
          <w:p>
            <w:pPr>
              <w:jc w:val="right"/>
              <w:spacing w:after="0"/>
              <w:rPr>
                <w:sz w:val="20"/>
                <w:szCs w:val="20"/>
                <w:color w:val="auto"/>
              </w:rPr>
            </w:pPr>
            <w:r>
              <w:rPr>
                <w:rFonts w:ascii="Arial" w:cs="Arial" w:eastAsia="Arial" w:hAnsi="Arial"/>
                <w:sz w:val="18"/>
                <w:szCs w:val="18"/>
                <w:color w:val="auto"/>
              </w:rPr>
              <w:t>3 to 5 years</w:t>
            </w:r>
          </w:p>
        </w:tc>
      </w:tr>
      <w:tr>
        <w:trPr>
          <w:trHeight w:val="27"/>
        </w:trPr>
        <w:tc>
          <w:tcPr>
            <w:tcW w:w="81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0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Other Investments</w:t>
      </w:r>
      <w:r>
        <w:rPr>
          <w:rFonts w:ascii="Arial" w:cs="Arial" w:eastAsia="Arial" w:hAnsi="Arial"/>
          <w:sz w:val="16"/>
          <w:szCs w:val="16"/>
          <w:color w:val="auto"/>
        </w:rPr>
        <w:t>—Investments in privately held companies where we own less than 20% of the voting stock and have no indicators of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operating and financial policies of those companies are included in other assets in the consolidated balance sheets. As of December 31, 2017, these investments were accounted for under the cost method. As of December 31, 2018, with the adoption of the Accounting Standards Update (“ASU”)</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2016-01—Financial Instruments—Overall (Subtopic 825-10): Recognition and Measurement of Financial Assets and Financial Liabilities, these investments are accounted for at cost, adjusted for changes in observable prices minus impairment. Adoption of ASU 2016-01 did not have an impact on our consolidated financial statements. For these non-quoted investments, we regularly review the assumptions underlying the operating performance and cash flow forecasts as well as current fundraising activities and valuations based on information provided by these privately held companies. If it is determined that an other-than-temporary decline or increase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value exists in an investment without readily determinable value, we adjust the value of the investment to its fair value and record the related impairment or increase in value as an investment loss or gain in our consolidated statements of income.</w:t>
      </w:r>
    </w:p>
    <w:p>
      <w:pPr>
        <w:spacing w:after="0" w:line="16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—We include the results of operations of the businesses that we acquire as of the respective dates of acquisition. We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amounts are recorded in the period in which they are identified.</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purchase consideration over the estimated fair value of net assets of businesses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unit’s goodwill over its fair value is recognized as an impairment loss, limited to the total amount of goodwill allocated to that reporting unit.</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performed our annual goodwill impairment analysis and did not identify any impairment indicators as a result of the review. As of December 31, 2019, we had one reporting unit.</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Other Intangible Assets</w:t>
      </w:r>
      <w:r>
        <w:rPr>
          <w:rFonts w:ascii="Arial" w:cs="Arial" w:eastAsia="Arial" w:hAnsi="Arial"/>
          <w:sz w:val="18"/>
          <w:szCs w:val="18"/>
          <w:color w:val="auto"/>
        </w:rPr>
        <w:t>—Intangible assets with finite lives are carried at cost, less accumulated amortization. Amortization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or accelerated method over the estimated economic lives of the assets, which range from three to five years.</w:t>
      </w:r>
    </w:p>
    <w:p>
      <w:pPr>
        <w:spacing w:after="0" w:line="162" w:lineRule="exact"/>
        <w:rPr>
          <w:sz w:val="20"/>
          <w:szCs w:val="20"/>
          <w:color w:val="auto"/>
        </w:rPr>
      </w:pPr>
    </w:p>
    <w:p>
      <w:pPr>
        <w:jc w:val="both"/>
        <w:ind w:right="160" w:firstLine="648"/>
        <w:spacing w:after="0" w:line="347" w:lineRule="auto"/>
        <w:rPr>
          <w:sz w:val="20"/>
          <w:szCs w:val="20"/>
          <w:color w:val="auto"/>
        </w:rPr>
      </w:pPr>
      <w:r>
        <w:rPr>
          <w:rFonts w:ascii="Arial" w:cs="Arial" w:eastAsia="Arial" w:hAnsi="Arial"/>
          <w:sz w:val="16"/>
          <w:szCs w:val="16"/>
          <w:b w:val="1"/>
          <w:bCs w:val="1"/>
          <w:color w:val="auto"/>
        </w:rPr>
        <w:t>Deferred Revenue</w:t>
      </w:r>
      <w:r>
        <w:rPr>
          <w:rFonts w:ascii="Arial" w:cs="Arial" w:eastAsia="Arial" w:hAnsi="Arial"/>
          <w:sz w:val="16"/>
          <w:szCs w:val="16"/>
          <w:color w:val="auto"/>
        </w:rPr>
        <w:t>—Deferred revenue consists of amounts that have been invoiced but that have not yet been recognized as revenue. The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deferred revenue is comprised of security subscription and technical support services which are invoiced upfront and delivered over 12 months or longer.</w:t>
      </w:r>
    </w:p>
    <w:p>
      <w:pPr>
        <w:spacing w:after="0" w:line="11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7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fair value of restricted stock units (“RSUs”) is based on the closing market price of our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We have elected to use the Black-Scholes-Merton (“Black-Scholes”) pricing model to determine the fair value of our employee stock options and our equity incentive plans. Stock-based compensation expense is amortized on a straight-line basis over the service period. We account for forfeitures of all stock-based payment awards when they occur.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firstLine="648"/>
        <w:spacing w:after="0" w:line="274" w:lineRule="auto"/>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—We rent certain facilities under operating lease agreements. On January 1, 2019, we adopted Financial Accounting Standards Board</w:t>
      </w:r>
      <w:r>
        <w:rPr>
          <w:rFonts w:ascii="Arial" w:cs="Arial" w:eastAsia="Arial" w:hAnsi="Arial"/>
          <w:sz w:val="17"/>
          <w:szCs w:val="17"/>
          <w:b w:val="1"/>
          <w:bCs w:val="1"/>
          <w:color w:val="auto"/>
        </w:rPr>
        <w:t xml:space="preserve"> </w:t>
      </w:r>
      <w:r>
        <w:rPr>
          <w:rFonts w:ascii="Arial" w:cs="Arial" w:eastAsia="Arial" w:hAnsi="Arial"/>
          <w:sz w:val="17"/>
          <w:szCs w:val="17"/>
          <w:color w:val="auto"/>
        </w:rPr>
        <w:t>(“FASB”) Topic 842, Leases (“Topic 842”), which requires the recognition of right-of-use (“ROU”) assets and lease liabilities for operating leases on the consolidated balance sheet. Under Topic 842, we determine if an arrangement is a lease at inception. The ROU assets and the short and long-term lease liabilities from our operating leases are included in other assets, accrued liabilities and other liabilities in our consolidated balance sheets, respectively. The corresponding assets, the short and long-term lease liabilities from our finance leases are included in property and equipment, accrued liabilities and other liabilities in our consolidated balance sheets, respectively.</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166"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166" w:lineRule="exact"/>
        <w:rPr>
          <w:sz w:val="20"/>
          <w:szCs w:val="20"/>
          <w:color w:val="auto"/>
        </w:rPr>
      </w:pPr>
    </w:p>
    <w:p>
      <w:pPr>
        <w:jc w:val="both"/>
        <w:ind w:right="300" w:firstLine="648"/>
        <w:spacing w:after="0" w:line="276" w:lineRule="auto"/>
        <w:rPr>
          <w:sz w:val="20"/>
          <w:szCs w:val="20"/>
          <w:color w:val="auto"/>
        </w:rPr>
      </w:pPr>
      <w:r>
        <w:rPr>
          <w:rFonts w:ascii="Arial" w:cs="Arial" w:eastAsia="Arial" w:hAnsi="Arial"/>
          <w:sz w:val="17"/>
          <w:szCs w:val="17"/>
          <w:color w:val="auto"/>
        </w:rPr>
        <w:t>Prior to 2019, leases were recognized under FASB Topic 840, Leases (“Topic 840”). Under Topic 840, related rent expense was recognized on a straight-line basis over the term of the lease. Rent holidays and scheduled rent increases were included in the determination of rent expense to be recorded over the lease term. Lease incentives were recognized as a reduction of rent expense on a straight-line basis over the term of the lease. Renewals were not assumed in the determination of the lease term unless they were deemed to be reasonably assured at the inception of the lease. We began recognizing rent expense on the date that we obtained the legal right to use and control the leased space.</w:t>
      </w:r>
    </w:p>
    <w:p>
      <w:pPr>
        <w:spacing w:after="0" w:line="169"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Deferred Contract Costs and Commission Expense</w:t>
      </w:r>
      <w:r>
        <w:rPr>
          <w:rFonts w:ascii="Arial" w:cs="Arial" w:eastAsia="Arial" w:hAnsi="Arial"/>
          <w:sz w:val="18"/>
          <w:szCs w:val="18"/>
          <w:color w:val="auto"/>
        </w:rPr>
        <w:t>—In 2017, we recognized commission expense on both product sales and service contracts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sale. Beginning on January 1, 2018, we recognize sales commissions related to product sales upfront while sales commissions for service contracts are deferred as Deferred contract costs in the consolidated balance sheets and amortized over the applicable amortization period. Costs for initial contracts that are not commensurate with renewal commissions are amortized on a straight-line basis over the period of benefit, which we have determined to be five years and which is typically longer than the initial contract term.</w:t>
      </w:r>
    </w:p>
    <w:p>
      <w:pPr>
        <w:spacing w:after="0" w:line="184" w:lineRule="exact"/>
        <w:rPr>
          <w:sz w:val="20"/>
          <w:szCs w:val="20"/>
          <w:color w:val="auto"/>
        </w:rPr>
      </w:pPr>
    </w:p>
    <w:p>
      <w:pPr>
        <w:jc w:val="both"/>
        <w:ind w:right="56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2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—On January 1, 2018 we adopted ASU 2014-09, Revenue from Contracts with Customers (Topic 606) (“Topic 606”)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modified retrospective method applied to those contracts which were not completed as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January 1, 2018. Results for reporting periods beginning after January 1, 2018 are presented under Topic 606, while prior period amounts are not adjusted and continue to be reported under ASU 2009-13, Revenue Recognition (Topic 605) (“Topic 605”). The details of significant changes and quantitative impact of the changes are discussed below.</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Beginning in 2018, revenues are recognized when control of these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25" w:lineRule="exact"/>
        <w:rPr>
          <w:sz w:val="20"/>
          <w:szCs w:val="20"/>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80" w:right="380" w:hanging="400"/>
        <w:spacing w:after="0" w:line="250"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and evaluating the distinct goods or services in a contract,</w:t>
      </w: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1" w:lineRule="exact"/>
        <w:rPr>
          <w:sz w:val="20"/>
          <w:szCs w:val="20"/>
          <w:color w:val="auto"/>
        </w:rPr>
      </w:pPr>
    </w:p>
    <w:p>
      <w:pPr>
        <w:jc w:val="both"/>
        <w:ind w:right="640" w:firstLine="648"/>
        <w:spacing w:after="0" w:line="312" w:lineRule="auto"/>
        <w:rPr>
          <w:sz w:val="20"/>
          <w:szCs w:val="20"/>
          <w:color w:val="auto"/>
        </w:rPr>
      </w:pPr>
      <w:r>
        <w:rPr>
          <w:rFonts w:ascii="Arial" w:cs="Arial" w:eastAsia="Arial" w:hAnsi="Arial"/>
          <w:sz w:val="16"/>
          <w:szCs w:val="16"/>
          <w:color w:val="auto"/>
        </w:rPr>
        <w:t>We derive a majority of product sales from our FortiGate products which include a broad set of built-in security and networking features and functionalities, including firewall, next-generation firewall, secure web gateway, secure sockets layer (“SSL”) inspection, software-defined wide-area network, intrusion prevention, SSL data leak prevention, virtual private network, switch and wireless controller and wide area network edge.</w:t>
      </w:r>
    </w:p>
    <w:p>
      <w:pPr>
        <w:spacing w:after="0" w:line="14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previously recognized product revenue for sales to distributors that had no general right of return and direct sales to end-customers upon shipment, based on general revenue recognition accounting guidance once all other revenue recognition criteria were met. Certain distributors are granted stock rotation rights, limited rights of return or rebates for sales of our products. The arrangement fee for this group of distributors was not fixed or determinable when products were shipped and revenue was therefore deferred and recognized upon sell-through. Under Topic 606, we recognize product revenue upon shipment when control of the promised goods is transferred to the customer. Our term software licenses represent multiple performance obligations, which include software licenses and software support services where the term licenses are recognized upfront upon transfer of control, with the associated software support services recognized ratably over the contract term as services and software updates are provided. Previously, term licenses were recognized over the license period.</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Service revenue relates to sales of our FortiGuard security subscription, FortiCare technical support services and other services. Our typical subscription and contractual support term is one to three years, and to a lesser extent, five years. Our revenue recognition for service arrangements did not significantly change under Topic 606. We continue to recognize revenue from these services ratably over the contractual service period because of continuous transfer of control to the customer over the support period. Revenue related to subsequent renewals of these services are recognized over the support term of the renewal agreement. We also generate a small portion of our revenue from other services consisting of professional services, training and software-as-a-service (“SaaS”) which is either hosted or cloud-based services.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1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sales contracts typically contain multiple performance obligations, such as hardware, software license, security subscription, technical support services and other services. These are distinct from our security subscriptions, technical support services and other services in that the customer can benefit from the product without these services and such services are separately identifiable within the contract. We allocate the transaction price to each performance obligation based on relative standalone selling price. We determine standalone selling price based on the historical pricing and discounting practices for those services when sold separately. If not observable through past transactions, we may require judgment to determine the standalone selling price for distinct performance obligations by considering multiple historical factors including, but not limited to, cost of products, gross margin objectives, pricing practices, geographies and the term of the service contract that fall within a reasonably range as a percentage of list price. Revenue is reported net of sales tax.</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Topic 605, revenue from contracts that contain our products and services were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the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$27.6 million and $24.1 million as of December 31, 2019 and 2018, respectively, and is included in current liabilities in our consolidated balance sheet.</w:t>
      </w:r>
    </w:p>
    <w:p>
      <w:pPr>
        <w:spacing w:after="0" w:line="16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generally invoice at the time of our sale for the total price of the hardware, software licenses, security and technical support and other services, and the invoice is payable within 30 to 45 days. We also invoice certain services on a monthly basis. Amounts billed and due from our customers are classified as receivables on the balance sheet and do not bear interest. Our deferred revenue primarily consists of amounts that have been invoiced but have not been recognized as revenue as of period end.</w:t>
      </w:r>
    </w:p>
    <w:p>
      <w:pPr>
        <w:spacing w:after="0" w:line="18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Shipping and handling fees charged to our customers are recognized as revenue in the period shipped and the related costs for providing these services are recorded in cost of revenue. Shipping and handling fees recognized were not significant during 2019, 2018 and 2017.</w:t>
      </w:r>
    </w:p>
    <w:p>
      <w:pPr>
        <w:spacing w:after="0" w:line="120"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most hardware products and a 90-day warranty on software. We also provide extended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was not significant as of December 31, 2019 and 2018.</w:t>
      </w:r>
    </w:p>
    <w:p>
      <w:pPr>
        <w:spacing w:after="0" w:line="1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Contingent Liabilities</w:t>
      </w:r>
      <w:r>
        <w:rPr>
          <w:rFonts w:ascii="Arial" w:cs="Arial" w:eastAsia="Arial" w:hAnsi="Arial"/>
          <w:sz w:val="17"/>
          <w:szCs w:val="17"/>
          <w:color w:val="auto"/>
        </w:rPr>
        <w:t>—From time to time, we are involved in disputes, litigation, and other legal actions. There are many uncertainties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intellectual property litigation may require us to make royalty payments, which could adversely affect our gross margins in future periods. We review significant new claims and litigation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February 2016, the FASB issued Topic 842, which requires the recognition of ROU assets and lease liabilities for operating leases on the consolidated balance sheet. We adopted Topic 842 and its related amendments as of January 1, 2019 using a modified retrospective transition approach by applying the new standard to all leases existing at the date of initial application and not restating comparative periods. We elected the package of practical expedients permitted under the transition guidance, which allowed us to waive reassessing the lease classification for any expired or existing leases, the initial direct costs for any existing leases and whether any expired or existing contracts contained leases.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 new guidance, we determine if an arrangement contains a lease and the classification of that lease, if applicable, at inception or upon modification of a contract. We have elected to not recognize a lease liability or ROU asset for short-term leases (leases that, at the commencement date, have a lease term of 12 months or less and do not include an option to purchase the underlying asset that we are reasonably certain to exercise). We have elected to not allocate the contract consideration for operating lease contracts with lease and non-lease components, and account for the lease and non-lease components as a single lease component.</w:t>
      </w:r>
    </w:p>
    <w:p>
      <w:pPr>
        <w:spacing w:after="0" w:line="18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primary impact of adopting Topic 842 was the recognition of ROU assets and lease liabilities for operating leases of $39.1 million and $40.6 million, respectively, on January 1, 2019, which included reclassifying prepaid rent and deferred rent as a component of the ROU asset. Topic 842 did not have a material impact on our consolidated statements of income and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accounting for finance leases (formerly referred to as capital leases prior to the adoption of Topic 842) remained substantially unchanged.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Finance leases are not material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Tax Cuts and Jobs Act (the “2017 Tax Act”) from accumulated other comprehensive income to retained earnings. We adopted ASU 2018-02 on January 1, 2019 and elected to reclassify $0.1 million of stranded tax effects as of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ASU 2018-07 expands the scope of Accounting Standards Codification (“ASC”) Topic 718, Compensation— Stock Compensation (“ASC 718”), to include share-based payments granted to nonemployees in exchange for goods or services used or consumed in an entity’s own operations and supersedes the guidance in ASC 505, Equity, by moving it to ASC 718. We adopted ASU 2018-07 on January 1, 2019. ASU 2018-07 did not have a material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us beginning on January 1, 2021. Early adoption of the amendments is permitted. We are currently evaluating the impact of ASU 2019-12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Topic 350, Intangibles—Goodwill and Other, to determine which implementation costs to capitalize as assets or expense as incurred. Companies can choose to adopt the ASU 2018-15 prospectively or retrospectively. ASU 2018-15 is effective for us beginning January 1, 2020. The adoption of this standard will not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that relate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The adoption of this standard will not have a material impact on our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June 2016, the FASB issued ASU 2016-13—Financial Instruments—Credit Losses (Topic 326): Measurement of Credit Losses on Financial Instruments and in November 2018, the FASB issued ASU 2018-19—Codification Improvements to Topic 326, Financial Instruments—Credit Losses, as a subsequent amendment to the initial guidance (collectively, Topic 326). In April 2019, the FASB issued ASU 2019-04—Codification Improvements to Topic</w:t>
      </w: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Instruments—Credit Losses, Topic 815, Derivatives and Hedging, and Topic 825, Financial Instruments, in May 2019, the FASB issued ASU</w:t>
      </w:r>
    </w:p>
    <w:p>
      <w:pPr>
        <w:spacing w:after="0" w:line="32" w:lineRule="exact"/>
        <w:rPr>
          <w:rFonts w:ascii="Arial" w:cs="Arial" w:eastAsia="Arial" w:hAnsi="Arial"/>
          <w:sz w:val="16"/>
          <w:szCs w:val="16"/>
          <w:color w:val="auto"/>
        </w:rPr>
      </w:pPr>
    </w:p>
    <w:p>
      <w:pPr>
        <w:ind w:right="120"/>
        <w:spacing w:after="0" w:line="292" w:lineRule="auto"/>
        <w:rPr>
          <w:rFonts w:ascii="Arial" w:cs="Arial" w:eastAsia="Arial" w:hAnsi="Arial"/>
          <w:sz w:val="16"/>
          <w:szCs w:val="16"/>
          <w:color w:val="auto"/>
        </w:rPr>
      </w:pPr>
      <w:r>
        <w:rPr>
          <w:rFonts w:ascii="Arial" w:cs="Arial" w:eastAsia="Arial" w:hAnsi="Arial"/>
          <w:sz w:val="16"/>
          <w:szCs w:val="16"/>
          <w:color w:val="auto"/>
        </w:rPr>
        <w:t>2019-05—Financial Instruments—Credit Losses (Topic 326): Targeted Transition Relief, and in November 2019, the FASB issued ASU 2019-11— Codification Improvements to Topic 326 to clarify and address certain items related to the amendments in ASU 2016-13. Topic 326 requires a financial asset (or a group of financial assets) measured at an amortized cost basis to be presented at the net amount expected to be collected. The new approach to estimating credit losses (referred to as the current expected credit losses model) generally accelerates recognition of credit losses. The new guidance is effective for us beginning on January 1, 2020. The adoption of this standard will not have a material impact on our consolidated financial statements.</w:t>
      </w:r>
    </w:p>
    <w:p>
      <w:pPr>
        <w:spacing w:after="0" w:line="15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revenue consists of product and service revenue. Product revenue is generated by sales of our FortiGate products and other hardware and software solutions. Service revenue relates to sales of our FortiGuard security subscription, FortiCare technical support services and other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73"/>
              <w:spacing w:after="0"/>
              <w:rPr>
                <w:sz w:val="20"/>
                <w:szCs w:val="20"/>
                <w:color w:val="auto"/>
              </w:rPr>
            </w:pPr>
            <w:r>
              <w:rPr>
                <w:rFonts w:ascii="Arial" w:cs="Arial" w:eastAsia="Arial" w:hAnsi="Arial"/>
                <w:sz w:val="16"/>
                <w:szCs w:val="16"/>
                <w:b w:val="1"/>
                <w:bCs w:val="1"/>
                <w:color w:val="auto"/>
              </w:rPr>
              <w:t>Years Ended</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1520" w:type="dxa"/>
            <w:vAlign w:val="bottom"/>
          </w:tcPr>
          <w:p>
            <w:pPr>
              <w:jc w:val="right"/>
              <w:ind w:right="333"/>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540" w:type="dxa"/>
            <w:vAlign w:val="bottom"/>
          </w:tcPr>
          <w:p>
            <w:pPr>
              <w:jc w:val="right"/>
              <w:ind w:right="353"/>
              <w:spacing w:after="0"/>
              <w:rPr>
                <w:sz w:val="20"/>
                <w:szCs w:val="20"/>
                <w:color w:val="auto"/>
              </w:rPr>
            </w:pPr>
            <w:r>
              <w:rPr>
                <w:rFonts w:ascii="Arial" w:cs="Arial" w:eastAsia="Arial" w:hAnsi="Arial"/>
                <w:sz w:val="16"/>
                <w:szCs w:val="16"/>
                <w:b w:val="1"/>
                <w:bCs w:val="1"/>
                <w:color w:val="auto"/>
              </w:rPr>
              <w:t>December 31,</w:t>
            </w:r>
          </w:p>
        </w:tc>
      </w:tr>
      <w:tr>
        <w:trPr>
          <w:trHeight w:val="243"/>
        </w:trPr>
        <w:tc>
          <w:tcPr>
            <w:tcW w:w="58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577.2</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Security subscription</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504.8</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Technical support and other</w:t>
            </w:r>
          </w:p>
        </w:tc>
        <w:tc>
          <w:tcPr>
            <w:tcW w:w="2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412.9</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3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917.7</w:t>
            </w:r>
          </w:p>
        </w:tc>
      </w:tr>
      <w:tr>
        <w:trPr>
          <w:trHeight w:val="257"/>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2,156.2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1,801.2</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1,494.9</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80" w:hanging="131"/>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December 31, 2017 amounts have not been adjusted under the modified retrospective method.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deferred revenue consists of amounts that have been invoiced but have not been recognized as revenue as of period end. During 2019, we recognized $930.4 million in revenue that was included in the deferred revenue balance as of December 31, 2018. During 2018, we recognized $753.3 million in revenue that was included in the deferred revenue balance as of January 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2019, the aggregate amount of the transaction price allocated to remaining performance obligations was $2.14 billion, which was substantially comprised of deferred security subscription and technical support services. We expect to recognize approximately $1.17 billion as revenue over the next 12 months and the remainder thereafter.</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ectPr>
          <w:pgSz w:w="11900" w:h="16838" w:orient="portrait"/>
          <w:cols w:equalWidth="0" w:num="1">
            <w:col w:w="11420"/>
          </w:cols>
          <w:pgMar w:left="240" w:top="125" w:right="239" w:bottom="0" w:gutter="0" w:footer="0" w:header="0"/>
          <w:type w:val="continuous"/>
        </w:sectPr>
      </w:pPr>
    </w:p>
    <w:bookmarkStart w:id="80" w:name="page81"/>
    <w:bookmarkEnd w:id="80"/>
    <w:p>
      <w:pPr>
        <w:jc w:val="both"/>
        <w:ind w:right="20" w:firstLine="648"/>
        <w:spacing w:after="0" w:line="264" w:lineRule="auto"/>
        <w:rPr>
          <w:sz w:val="20"/>
          <w:szCs w:val="20"/>
          <w:color w:val="auto"/>
        </w:rPr>
      </w:pPr>
      <w:r>
        <w:rPr>
          <w:rFonts w:ascii="Arial" w:cs="Arial" w:eastAsia="Arial" w:hAnsi="Arial"/>
          <w:sz w:val="18"/>
          <w:szCs w:val="18"/>
          <w:color w:val="auto"/>
        </w:rPr>
        <w:t>Trade accounts receivable are recorded at the invoiced amount. Trade accounts receivable are reduced by an allowance for doubtful accounts which is determined based on our assessment of the collectability of customer accounts. The allowance for doubtful accounts was $1.2 million as of December 31, 2019 and $0.9 million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Our contract assets as of December 31, 2019 and December 31, 2018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Sales commissions for the sale of products and software licenses are recognized at the time of sale. Sales commissions for initial service contracts are deferred and then amortized as an expense on a straight-line basis over the period of benefit which we have determined to be five years. We determined the period of benefit taking into consideration our customer contracts, our technology and other factors. Sales commissions for renewal contracts are deferred and then amortized on a straight-line basis over the contractual period of the underlying contracts which ranges from one to three years and, to a lesser extent, five years. The amortization of deferred contract costs is included in sales and marketing expense in our consolidated statements of income. Amortization of deferred contract costs during 2019 and 2018 was $107.9 million and $90.9 million, respectively. No impairment loss was recognized during 2019 and 2018.</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577.0</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148.8</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195.2</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987.4</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35"/>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298.3</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180" w:hanging="131"/>
        <w:spacing w:after="0"/>
        <w:tabs>
          <w:tab w:leader="none" w:pos="180" w:val="left"/>
        </w:tabs>
        <w:numPr>
          <w:ilvl w:val="0"/>
          <w:numId w:val="44"/>
        </w:numPr>
        <w:rPr>
          <w:rFonts w:ascii="Arial" w:cs="Arial" w:eastAsia="Arial" w:hAnsi="Arial"/>
          <w:sz w:val="9"/>
          <w:szCs w:val="9"/>
          <w:color w:val="auto"/>
        </w:rPr>
      </w:pPr>
      <w:r>
        <w:rPr>
          <w:rFonts w:ascii="Arial" w:cs="Arial" w:eastAsia="Arial" w:hAnsi="Arial"/>
          <w:sz w:val="14"/>
          <w:szCs w:val="14"/>
          <w:color w:val="auto"/>
        </w:rPr>
        <w:t>The majority of our certificates of deposit and term deposits are foreign deposits.</w:t>
      </w:r>
    </w:p>
    <w:p>
      <w:pPr>
        <w:spacing w:after="0" w:line="200" w:lineRule="exact"/>
        <w:rPr>
          <w:sz w:val="20"/>
          <w:szCs w:val="20"/>
          <w:color w:val="auto"/>
        </w:rPr>
      </w:pPr>
    </w:p>
    <w:p>
      <w:pPr>
        <w:spacing w:after="0" w:line="25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December 31, 2019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12 Months or Greater</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3"/>
              </w:rPr>
              <w:t>Total</w:t>
            </w:r>
          </w:p>
        </w:tc>
        <w:tc>
          <w:tcPr>
            <w:tcW w:w="9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260" w:type="dxa"/>
            <w:vAlign w:val="bottom"/>
          </w:tcPr>
          <w:p>
            <w:pPr>
              <w:spacing w:after="0"/>
              <w:rPr>
                <w:sz w:val="18"/>
                <w:szCs w:val="18"/>
                <w:color w:val="auto"/>
              </w:rPr>
            </w:pPr>
          </w:p>
        </w:tc>
        <w:tc>
          <w:tcPr>
            <w:tcW w:w="780" w:type="dxa"/>
            <w:vAlign w:val="bottom"/>
          </w:tcPr>
          <w:p>
            <w:pPr>
              <w:jc w:val="center"/>
              <w:ind w:right="73"/>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60" w:type="dxa"/>
            <w:vAlign w:val="bottom"/>
          </w:tcPr>
          <w:p>
            <w:pPr>
              <w:spacing w:after="0"/>
              <w:rPr>
                <w:sz w:val="18"/>
                <w:szCs w:val="18"/>
                <w:color w:val="auto"/>
              </w:rPr>
            </w:pPr>
          </w:p>
        </w:tc>
        <w:tc>
          <w:tcPr>
            <w:tcW w:w="78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91"/>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December 31, 2018</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12 Months or Greater</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3"/>
              </w:rPr>
              <w:t>Total</w:t>
            </w:r>
          </w:p>
        </w:tc>
        <w:tc>
          <w:tcPr>
            <w:tcW w:w="9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260" w:type="dxa"/>
            <w:vAlign w:val="bottom"/>
          </w:tcPr>
          <w:p>
            <w:pPr>
              <w:spacing w:after="0"/>
              <w:rPr>
                <w:sz w:val="18"/>
                <w:szCs w:val="18"/>
                <w:color w:val="auto"/>
              </w:rPr>
            </w:pPr>
          </w:p>
        </w:tc>
        <w:tc>
          <w:tcPr>
            <w:tcW w:w="780" w:type="dxa"/>
            <w:vAlign w:val="bottom"/>
          </w:tcPr>
          <w:p>
            <w:pPr>
              <w:jc w:val="center"/>
              <w:ind w:right="73"/>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60" w:type="dxa"/>
            <w:vAlign w:val="bottom"/>
          </w:tcPr>
          <w:p>
            <w:pPr>
              <w:spacing w:after="0"/>
              <w:rPr>
                <w:sz w:val="18"/>
                <w:szCs w:val="18"/>
                <w:color w:val="auto"/>
              </w:rPr>
            </w:pPr>
          </w:p>
        </w:tc>
        <w:tc>
          <w:tcPr>
            <w:tcW w:w="78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20" w:type="dxa"/>
            <w:vAlign w:val="bottom"/>
          </w:tcPr>
          <w:p>
            <w:pPr>
              <w:spacing w:after="0"/>
              <w:rPr>
                <w:sz w:val="18"/>
                <w:szCs w:val="18"/>
                <w:color w:val="auto"/>
              </w:rPr>
            </w:pPr>
          </w:p>
        </w:tc>
        <w:tc>
          <w:tcPr>
            <w:tcW w:w="1420" w:type="dxa"/>
            <w:vAlign w:val="bottom"/>
          </w:tcPr>
          <w:p>
            <w:pPr>
              <w:jc w:val="right"/>
              <w:ind w:right="194"/>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654"/>
              <w:spacing w:after="0"/>
              <w:rPr>
                <w:sz w:val="20"/>
                <w:szCs w:val="20"/>
                <w:color w:val="auto"/>
              </w:rPr>
            </w:pPr>
            <w:r>
              <w:rPr>
                <w:rFonts w:ascii="Arial" w:cs="Arial" w:eastAsia="Arial" w:hAnsi="Arial"/>
                <w:sz w:val="16"/>
                <w:szCs w:val="16"/>
                <w:b w:val="1"/>
                <w:bCs w:val="1"/>
                <w:color w:val="auto"/>
              </w:rPr>
              <w:t>2018</w:t>
            </w:r>
          </w:p>
        </w:tc>
      </w:tr>
      <w:tr>
        <w:trPr>
          <w:trHeight w:val="33"/>
        </w:trPr>
        <w:tc>
          <w:tcPr>
            <w:tcW w:w="75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537.2</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Due within one to three years</w:t>
            </w:r>
          </w:p>
        </w:tc>
        <w:tc>
          <w:tcPr>
            <w:tcW w:w="14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67.0</w:t>
            </w:r>
          </w:p>
        </w:tc>
      </w:tr>
      <w:tr>
        <w:trPr>
          <w:trHeight w:val="27"/>
        </w:trPr>
        <w:tc>
          <w:tcPr>
            <w:tcW w:w="75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987.4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604.2</w:t>
            </w:r>
          </w:p>
        </w:tc>
      </w:tr>
      <w:tr>
        <w:trPr>
          <w:trHeight w:val="20"/>
        </w:trPr>
        <w:tc>
          <w:tcPr>
            <w:tcW w:w="7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insignificant in the periods presented and are included in Other income (expense)—net in our consolidated statements of income. We use the specific identification method to determine the cost basis of investments sold.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We consider these investments to be temporarily impaired as of December 31, 2019 because (i) the decline in market value was attributable to changes in market conditions and not credit quality, and (ii) we have concluded currently that neither do we intend to sell nor is it more likely than not that we will be required to sell these investments prior to recovery of their amortized cost basis.</w:t>
      </w:r>
    </w:p>
    <w:p>
      <w:pPr>
        <w:spacing w:after="0" w:line="16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6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48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26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577.0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299.3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195.2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1,019.4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809.2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843.1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1,019.4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years ended December 31, 2019 and December 31, 2018.</w:t>
      </w:r>
    </w:p>
    <w:p>
      <w:pPr>
        <w:spacing w:after="0" w:line="244"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54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480" w:type="dxa"/>
            <w:vAlign w:val="bottom"/>
            <w:tcBorders>
              <w:bottom w:val="single" w:sz="8" w:color="CCEEFF"/>
            </w:tcBorders>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48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1552"/>
              <w:spacing w:after="0"/>
              <w:rPr>
                <w:sz w:val="20"/>
                <w:szCs w:val="20"/>
                <w:color w:val="auto"/>
              </w:rPr>
            </w:pPr>
            <w:r>
              <w:rPr>
                <w:rFonts w:ascii="Arial" w:cs="Arial" w:eastAsia="Arial" w:hAnsi="Arial"/>
                <w:sz w:val="18"/>
                <w:szCs w:val="18"/>
                <w:color w:val="auto"/>
              </w:rPr>
              <w:t>80</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3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95.9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$50.7 million, $46.7 million and $46.9 million in 2019, 2018 and 2017, respectively.</w:t>
      </w:r>
    </w:p>
    <w:p>
      <w:pPr>
        <w:spacing w:after="0" w:line="221"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investments in the equity securities of privately held companies totaled $5.3 million and $9.1 million as of December 31, 2019 and 2018, respectively.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consolidated balance sheets and would be measured at fair value if indicators of an increase in value or impairment existed. During the third quarter of 2019, we determined that one of our investments was other-than-temporarily impaired. As a result, we recognized a non-cash impairment charge of $3.8 million to Other income (expense)—net in our consolidated statements of income. During the third quarter of 2018, we sold equity securities of a privately held company for $5.2 million and recognized a gain of $2.2 million to Other income (expense)—net in our consolidated statements of income. As of December 31, 2019, no other events have occurred that would affect the carrying value of these investments.</w:t>
      </w:r>
    </w:p>
    <w:p>
      <w:pPr>
        <w:spacing w:after="0" w:line="162"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2019 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CyberSponse, Inc.</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December 12, 2019, we acquired all outstanding shares of CyberSponse, Inc. (“CyberSponse”), a provider of security orchestration, automation and response products and services. We expect that the CyberSponse acquisition will further extend the automation and incident response capabilities of our FortiAnalyzer, FortiSIEM and FortiGate solutions.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Under the business combination method of accounting in accordance with ASC Topic 805, Business Combinations (“ASC 805”), the total preliminary purchase price was allocated to CyberSponse’s identifiable tangible and intangible assets acquired and liabilities assumed based on their estimated fair values using management’s best estimates and assumptions to assign fair value as of the acquisition date. The preliminary purchase price for CyberSponse was $26.1 million, of which $18.6 million was allocated to goodwill that was non-deductible for tax purposes and $9.1 million was allocated to identifiable intangible assets, the majority of which was developed technology, offset by $1.6 million of net liabilities assumed, which predominantly included cash, accounts receivable, accrued payroll and compensation liabilities and deferred tax liabilities. We incurred a $4.1 million liability in connection with this business combination, the majority of which related to the settlement of CyberSponse’s equity awards in cash, which we included in accrued liabilities in our consolidated balance sheet as of December 31, 2019. The preliminary purchase price included $3.0 million of this liability and the remaining $1.1 million was recognized as compensation cost in the consolidated statement of income for the year ended December 31, 2019. The preliminary purchase price also included $3.8 million held in indemnity escrow, of which $2.8 million will be held for 12 months and the remaining $1.0 million will be held for 36 months after the transaction closing date. The amount recognized for acquired indemnification assets as of the acquisition date was not material. Goodwill recorded in connection with this acquisition represents the value we expect to be created through expansion into markets within our existing business, and potential cost savings and synergies.</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estimates and assumptions are subject to change within the measurement period.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enSilo Limited</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October 28, 2019, we acquired all outstanding shares of enSilo Limited (“enSilo”), a provider of endpoint detection and response products and services. We expect that the enSilo acquisition will further enhance the Fortinet Security Fabric platform and strengthen endpoint and network security solutions by providing customers with advanced endpoint security.</w:t>
      </w:r>
    </w:p>
    <w:p>
      <w:pPr>
        <w:sectPr>
          <w:pgSz w:w="11900" w:h="16838" w:orient="portrait"/>
          <w:cols w:equalWidth="0" w:num="1">
            <w:col w:w="11420"/>
          </w:cols>
          <w:pgMar w:left="240" w:top="125" w:right="239" w:bottom="137" w:gutter="0" w:footer="0" w:header="0"/>
        </w:sectPr>
      </w:pPr>
    </w:p>
    <w:bookmarkStart w:id="85" w:name="page86"/>
    <w:bookmarkEnd w:id="85"/>
    <w:p>
      <w:pPr>
        <w:ind w:firstLine="648"/>
        <w:spacing w:after="0" w:line="259" w:lineRule="auto"/>
        <w:rPr>
          <w:sz w:val="20"/>
          <w:szCs w:val="20"/>
          <w:color w:val="auto"/>
        </w:rPr>
      </w:pPr>
      <w:r>
        <w:rPr>
          <w:rFonts w:ascii="Arial" w:cs="Arial" w:eastAsia="Arial" w:hAnsi="Arial"/>
          <w:sz w:val="18"/>
          <w:szCs w:val="18"/>
          <w:color w:val="auto"/>
        </w:rPr>
        <w:t>Under the business combination method of accounting in accordance with ASC 805, the total preliminary purchase price was allocated to enSilo’s identifiable tangible and intangible assets acquired and liabilities assumed based on their estimated fair values using management’s best estimates and assumptions to assign fair value as of the acquisition date. The preliminary purchase price for enSilo was $15.8 million, of which $10.4 million was allocated to goodwill, $10.8 million was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125" w:right="319" w:bottom="1440" w:gutter="0" w:footer="0" w:header="0"/>
        </w:sectPr>
      </w:pPr>
    </w:p>
    <w:bookmarkStart w:id="86" w:name="page87"/>
    <w:bookmarkEnd w:id="86"/>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allocated to identifiable intangible assets, the majority of which was developed technology, offset by $5.4 million of net liabilities assumed, which predominantly included cash, accounts receivable, operating lease right-of-use asset and liability, deferred revenue, accrued payroll and compensation liabilities, assumed debt and deferred tax liabilities. The preliminary purchase price included $2.0 million held in indemnity escrow for 12 months after the transaction closing date. The amount recognized for acquired indemnification assets as of the acquisition date was not material. Goodwill recorded in connection with this acquisition represents the value we expect to be created through expansion into markets within our existing business, and potential cost savings and synergies and goodwill is non-deductible for tax purposes.</w:t>
      </w:r>
    </w:p>
    <w:p>
      <w:pPr>
        <w:spacing w:after="0" w:line="19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estimates and assumptions are subject to change within the measurement period.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ZoneFox Holdings Limited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October 22, 2018, we acquired all outstanding shares of ZoneFox Holdings Limited (“ZoneFox”), a privately held cloud-based company providing insider threat detection and response. The purchase price for ZoneFox was $16.1 million, of which $12.5 million was allocated to goodwill that was non-deductible for tax purposes and $6.8 million was allocated to identifiable intangible assets, the majority of which was developed technology, offset by $3.2 million of net liabilities assumed.</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acquisition included a $2.0 million cash earn-out that was subject in full to satisfaction of certain performance conditions. The performance conditions were not met and the cash earn-out will not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acquisition included a $2.0 million cash earn-out that was subject in full to satisfaction of certain performance conditions. The performance conditions were not met and the cash earn-out will not be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Acquisition-Related Information</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as the impact of these acquisitions, individually and in the aggregate, were not material to our consolidated financial statements.</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92"/>
              <w:spacing w:after="0"/>
              <w:rPr>
                <w:sz w:val="20"/>
                <w:szCs w:val="20"/>
                <w:color w:val="auto"/>
              </w:rPr>
            </w:pPr>
            <w:r>
              <w:rPr>
                <w:rFonts w:ascii="Arial" w:cs="Arial" w:eastAsia="Arial" w:hAnsi="Arial"/>
                <w:sz w:val="16"/>
                <w:szCs w:val="16"/>
                <w:b w:val="1"/>
                <w:bCs w:val="1"/>
                <w:color w:val="auto"/>
              </w:rPr>
              <w:t>Amount</w:t>
            </w:r>
          </w:p>
        </w:tc>
      </w:tr>
      <w:tr>
        <w:trPr>
          <w:trHeight w:val="33"/>
        </w:trPr>
        <w:tc>
          <w:tcPr>
            <w:tcW w:w="9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Additions due to business combinations</w:t>
            </w:r>
          </w:p>
        </w:tc>
        <w:tc>
          <w:tcPr>
            <w:tcW w:w="4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9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r>
      <w:tr>
        <w:trPr>
          <w:trHeight w:val="20"/>
        </w:trPr>
        <w:tc>
          <w:tcPr>
            <w:tcW w:w="9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2019, 2018, 2017 or any previous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200" w:lineRule="exact"/>
        <w:rPr>
          <w:sz w:val="20"/>
          <w:szCs w:val="20"/>
          <w:color w:val="auto"/>
        </w:rPr>
      </w:pPr>
    </w:p>
    <w:p>
      <w:pPr>
        <w:spacing w:after="0" w:line="20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5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4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r>
      <w:tr>
        <w:trPr>
          <w:trHeight w:val="243"/>
        </w:trPr>
        <w:tc>
          <w:tcPr>
            <w:tcW w:w="548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r>
      <w:tr>
        <w:trPr>
          <w:trHeight w:val="20"/>
        </w:trPr>
        <w:tc>
          <w:tcPr>
            <w:tcW w:w="5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1">
            <w:col w:w="11400"/>
          </w:cols>
          <w:pgMar w:left="240" w:top="125" w:right="259" w:bottom="0" w:gutter="0" w:footer="0" w:header="0"/>
        </w:sectPr>
      </w:pPr>
    </w:p>
    <w:bookmarkStart w:id="87" w:name="page88"/>
    <w:bookmarkEnd w:id="87"/>
    <w:p>
      <w:pPr>
        <w:ind w:left="778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37465</wp:posOffset>
            </wp:positionV>
            <wp:extent cx="3756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48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80" w:type="dxa"/>
            <w:vAlign w:val="bottom"/>
            <w:vMerge w:val="restart"/>
          </w:tcPr>
          <w:p>
            <w:pPr>
              <w:jc w:val="right"/>
              <w:ind w:right="109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679"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Amortization expense of finite-lived intangible assets was $10.9 million, $9.0 million and $8.6 million in 2019, 2018, and 2017, respectively. The following table summarizes estimated future amortization expense of finite-lived intangible assets (in millions):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ind w:right="75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jc w:val="right"/>
              <w:ind w:right="8290"/>
              <w:spacing w:after="0"/>
              <w:rPr>
                <w:sz w:val="20"/>
                <w:szCs w:val="20"/>
                <w:color w:val="auto"/>
              </w:rPr>
            </w:pPr>
            <w:r>
              <w:rPr>
                <w:rFonts w:ascii="Arial" w:cs="Arial" w:eastAsia="Arial" w:hAnsi="Arial"/>
                <w:sz w:val="18"/>
                <w:szCs w:val="18"/>
                <w:color w:val="auto"/>
              </w:rPr>
              <w:t>2020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9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jc w:val="right"/>
              <w:ind w:right="829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9120" w:type="dxa"/>
            <w:vAlign w:val="bottom"/>
          </w:tcPr>
          <w:p>
            <w:pPr>
              <w:jc w:val="right"/>
              <w:ind w:right="829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9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jc w:val="right"/>
              <w:ind w:right="829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r>
      <w:tr>
        <w:trPr>
          <w:trHeight w:val="20"/>
        </w:trPr>
        <w:tc>
          <w:tcPr>
            <w:tcW w:w="9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our Employee Stock Purchase Plan (“ESPP”), which was terminated in February 2019 at the completion of the prior offering period. Dilutive shares of common stock are determined by applying the treasury stock method.</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326.5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311"/>
        </w:trPr>
        <w:tc>
          <w:tcPr>
            <w:tcW w:w="538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171.0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1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171.0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RSUs</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ESPP</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1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5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vMerge w:val="restart"/>
          </w:tcPr>
          <w:p>
            <w:pPr>
              <w:jc w:val="right"/>
              <w:ind w:right="1192"/>
              <w:spacing w:after="0"/>
              <w:rPr>
                <w:sz w:val="20"/>
                <w:szCs w:val="20"/>
                <w:color w:val="auto"/>
              </w:rPr>
            </w:pPr>
            <w:r>
              <w:rPr>
                <w:rFonts w:ascii="Arial" w:cs="Arial" w:eastAsia="Arial" w:hAnsi="Arial"/>
                <w:sz w:val="18"/>
                <w:szCs w:val="18"/>
                <w:color w:val="auto"/>
              </w:rPr>
              <w:t>83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0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gridSpan w:val="2"/>
          </w:tcPr>
          <w:p>
            <w:pPr>
              <w:ind w:left="7060"/>
              <w:spacing w:after="0"/>
              <w:rPr>
                <w:sz w:val="20"/>
                <w:szCs w:val="20"/>
                <w:color w:val="auto"/>
              </w:rPr>
            </w:pPr>
            <w:r>
              <w:rPr>
                <w:rFonts w:ascii="Arial" w:cs="Arial" w:eastAsia="Arial" w:hAnsi="Arial"/>
                <w:sz w:val="16"/>
                <w:szCs w:val="16"/>
                <w:b w:val="1"/>
                <w:bCs w:val="1"/>
                <w:color w:val="auto"/>
              </w:rPr>
              <w:t>2019</w:t>
            </w:r>
          </w:p>
        </w:tc>
        <w:tc>
          <w:tcPr>
            <w:tcW w:w="17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five years. We do not include renewal options in our lease terms for calculating our lease liability, as the renewal options allow us to maintain operational flexibility and we are not reasonably certain we will exercise these renewal options at the time of the lease commencement.</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consolidated financial statements. The related assumptions and further disclosures for finance leases are not material.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operating lease expense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center"/>
              <w:ind w:right="634"/>
              <w:spacing w:after="0"/>
              <w:rPr>
                <w:sz w:val="20"/>
                <w:szCs w:val="20"/>
                <w:color w:val="auto"/>
              </w:rPr>
            </w:pPr>
            <w:r>
              <w:rPr>
                <w:rFonts w:ascii="Arial" w:cs="Arial" w:eastAsia="Arial" w:hAnsi="Arial"/>
                <w:sz w:val="16"/>
                <w:szCs w:val="16"/>
                <w:b w:val="1"/>
                <w:bCs w:val="1"/>
                <w:color w:val="auto"/>
                <w:w w:val="93"/>
              </w:rPr>
              <w:t>Year Ended</w:t>
            </w:r>
          </w:p>
        </w:tc>
      </w:tr>
      <w:tr>
        <w:trPr>
          <w:trHeight w:val="33"/>
        </w:trPr>
        <w:tc>
          <w:tcPr>
            <w:tcW w:w="7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09"/>
        </w:trPr>
        <w:tc>
          <w:tcPr>
            <w:tcW w:w="7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center"/>
              <w:ind w:right="63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center"/>
              <w:ind w:right="634"/>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7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2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5"/>
                <w:szCs w:val="25"/>
                <w:color w:val="auto"/>
                <w:vertAlign w:val="superscript"/>
              </w:rPr>
              <w:t>(1)</w:t>
            </w:r>
          </w:p>
        </w:tc>
        <w:tc>
          <w:tcPr>
            <w:tcW w:w="720" w:type="dxa"/>
            <w:vAlign w:val="bottom"/>
          </w:tcPr>
          <w:p>
            <w:pPr>
              <w:spacing w:after="0"/>
              <w:rPr>
                <w:sz w:val="23"/>
                <w:szCs w:val="23"/>
                <w:color w:val="auto"/>
              </w:rPr>
            </w:pPr>
          </w:p>
        </w:tc>
        <w:tc>
          <w:tcPr>
            <w:tcW w:w="2820" w:type="dxa"/>
            <w:vAlign w:val="bottom"/>
          </w:tcPr>
          <w:p>
            <w:pPr>
              <w:jc w:val="right"/>
              <w:ind w:right="34"/>
              <w:spacing w:after="0"/>
              <w:rPr>
                <w:sz w:val="20"/>
                <w:szCs w:val="20"/>
                <w:color w:val="auto"/>
              </w:rPr>
            </w:pPr>
            <w:r>
              <w:rPr>
                <w:rFonts w:ascii="Arial" w:cs="Arial" w:eastAsia="Arial" w:hAnsi="Arial"/>
                <w:sz w:val="18"/>
                <w:szCs w:val="18"/>
                <w:color w:val="auto"/>
              </w:rPr>
              <w:t>2.6</w:t>
            </w: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expense</w:t>
            </w:r>
          </w:p>
        </w:tc>
        <w:tc>
          <w:tcPr>
            <w:tcW w:w="7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r>
      <w:tr>
        <w:trPr>
          <w:trHeight w:val="257"/>
        </w:trPr>
        <w:tc>
          <w:tcPr>
            <w:tcW w:w="7860" w:type="dxa"/>
            <w:vAlign w:val="bottom"/>
          </w:tcPr>
          <w:p>
            <w:pPr>
              <w:ind w:left="380"/>
              <w:spacing w:after="0"/>
              <w:rPr>
                <w:sz w:val="20"/>
                <w:szCs w:val="20"/>
                <w:color w:val="auto"/>
              </w:rPr>
            </w:pPr>
            <w:r>
              <w:rPr>
                <w:rFonts w:ascii="Arial" w:cs="Arial" w:eastAsia="Arial" w:hAnsi="Arial"/>
                <w:sz w:val="18"/>
                <w:szCs w:val="18"/>
                <w:color w:val="auto"/>
              </w:rPr>
              <w:t>Total lease expense</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2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w:t>
            </w:r>
          </w:p>
        </w:tc>
      </w:tr>
      <w:tr>
        <w:trPr>
          <w:trHeight w:val="20"/>
        </w:trPr>
        <w:tc>
          <w:tcPr>
            <w:tcW w:w="7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9"/>
          <w:szCs w:val="9"/>
          <w:color w:val="auto"/>
        </w:rPr>
      </w:pPr>
      <w:r>
        <w:rPr>
          <w:rFonts w:ascii="Arial" w:cs="Arial" w:eastAsia="Arial" w:hAnsi="Arial"/>
          <w:sz w:val="14"/>
          <w:szCs w:val="14"/>
          <w:color w:val="auto"/>
        </w:rPr>
        <w:t>Variable lease expense for the year ended December 31, 2019 predominantly included common area maintenance charges and parking expense.</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Rent expense was $17.1 million and $16.7 million for 2018 and 2017, respectively. Rent expense was recognized in accordance with Topic 840 using the straight-line method over the term of a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jc w:val="right"/>
              <w:ind w:right="6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32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Classification</w:t>
            </w:r>
          </w:p>
        </w:tc>
        <w:tc>
          <w:tcPr>
            <w:tcW w:w="400" w:type="dxa"/>
            <w:vAlign w:val="bottom"/>
          </w:tcPr>
          <w:p>
            <w:pPr>
              <w:spacing w:after="0"/>
              <w:rPr>
                <w:sz w:val="18"/>
                <w:szCs w:val="18"/>
                <w:color w:val="auto"/>
              </w:rPr>
            </w:pPr>
          </w:p>
        </w:tc>
        <w:tc>
          <w:tcPr>
            <w:tcW w:w="1960" w:type="dxa"/>
            <w:vAlign w:val="bottom"/>
          </w:tcPr>
          <w:p>
            <w:pPr>
              <w:jc w:val="right"/>
              <w:ind w:right="932"/>
              <w:spacing w:after="0"/>
              <w:rPr>
                <w:sz w:val="20"/>
                <w:szCs w:val="20"/>
                <w:color w:val="auto"/>
              </w:rPr>
            </w:pPr>
            <w:r>
              <w:rPr>
                <w:rFonts w:ascii="Arial" w:cs="Arial" w:eastAsia="Arial" w:hAnsi="Arial"/>
                <w:sz w:val="16"/>
                <w:szCs w:val="16"/>
                <w:b w:val="1"/>
                <w:bCs w:val="1"/>
                <w:color w:val="auto"/>
              </w:rPr>
              <w:t>2019</w:t>
            </w:r>
          </w:p>
        </w:tc>
      </w:tr>
      <w:tr>
        <w:trPr>
          <w:trHeight w:val="33"/>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 non-current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44.3</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Operating lease liabilities – non-current</w:t>
            </w:r>
          </w:p>
        </w:tc>
        <w:tc>
          <w:tcPr>
            <w:tcW w:w="27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960" w:type="dxa"/>
            <w:vAlign w:val="bottom"/>
          </w:tcPr>
          <w:p>
            <w:pPr>
              <w:jc w:val="right"/>
              <w:ind w:right="112"/>
              <w:spacing w:after="0"/>
              <w:rPr>
                <w:sz w:val="20"/>
                <w:szCs w:val="20"/>
                <w:color w:val="auto"/>
              </w:rPr>
            </w:pPr>
            <w:r>
              <w:rPr>
                <w:rFonts w:ascii="Arial" w:cs="Arial" w:eastAsia="Arial" w:hAnsi="Arial"/>
                <w:sz w:val="18"/>
                <w:szCs w:val="18"/>
                <w:color w:val="auto"/>
              </w:rPr>
              <w:t>30.6</w:t>
            </w:r>
          </w:p>
        </w:tc>
      </w:tr>
      <w:tr>
        <w:trPr>
          <w:trHeight w:val="27"/>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46.1</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 – operating leases</w:t>
            </w:r>
          </w:p>
        </w:tc>
        <w:tc>
          <w:tcPr>
            <w:tcW w:w="2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tcPr>
          <w:p>
            <w:pPr>
              <w:jc w:val="center"/>
              <w:ind w:right="395"/>
              <w:spacing w:after="0"/>
              <w:rPr>
                <w:sz w:val="20"/>
                <w:szCs w:val="20"/>
                <w:color w:val="auto"/>
              </w:rPr>
            </w:pPr>
            <w:r>
              <w:rPr>
                <w:rFonts w:ascii="Arial" w:cs="Arial" w:eastAsia="Arial" w:hAnsi="Arial"/>
                <w:sz w:val="16"/>
                <w:szCs w:val="16"/>
                <w:b w:val="1"/>
                <w:bCs w:val="1"/>
                <w:color w:val="auto"/>
                <w:w w:val="93"/>
              </w:rPr>
              <w:t>Year Ended</w:t>
            </w:r>
          </w:p>
        </w:tc>
      </w:tr>
      <w:tr>
        <w:trPr>
          <w:trHeight w:val="33"/>
        </w:trPr>
        <w:tc>
          <w:tcPr>
            <w:tcW w:w="8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9"/>
        </w:trPr>
        <w:tc>
          <w:tcPr>
            <w:tcW w:w="8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tcPr>
          <w:p>
            <w:pPr>
              <w:jc w:val="center"/>
              <w:ind w:right="395"/>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tcPr>
          <w:p>
            <w:pPr>
              <w:jc w:val="center"/>
              <w:ind w:right="415"/>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30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flows used for operating leases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16.2</w:t>
            </w:r>
          </w:p>
        </w:tc>
      </w:tr>
      <w:tr>
        <w:trPr>
          <w:trHeight w:val="284"/>
        </w:trPr>
        <w:tc>
          <w:tcPr>
            <w:tcW w:w="8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4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as of December 31, 2019 were as follows (in millions):</w:t>
      </w:r>
    </w:p>
    <w:p>
      <w:pPr>
        <w:sectPr>
          <w:pgSz w:w="11900" w:h="16838" w:orient="portrait"/>
          <w:cols w:equalWidth="0" w:num="1">
            <w:col w:w="11400"/>
          </w:cols>
          <w:pgMar w:left="240" w:top="125" w:right="25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34290</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1"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16.4</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8.4</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48.6</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46355</wp:posOffset>
            </wp:positionV>
            <wp:extent cx="72294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440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40"/>
          </w:cols>
          <w:pgMar w:left="240" w:top="125" w:right="259" w:bottom="1440" w:gutter="0" w:footer="0" w:header="0"/>
          <w:type w:val="continuous"/>
        </w:sectPr>
      </w:pPr>
    </w:p>
    <w:p>
      <w:pPr>
        <w:spacing w:after="0" w:line="29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of December 31, 2019, we had additional minimum lease payments of $4.4 million relating to the operating leases that had been signed but had not yet commenced and therefore were excluded from the table above. These leases will commence during 2020 and will have lease term of approximately five to seven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future principal contractual obligations for operating lease commitments as of December 31, 2018 (in millions):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Total future principal contractual obligations for operating lease commitments as of December 31, 2018 exceeded our undiscounted lease liability as of the Topic 842 adoption date, primarily because the lease liability excluded short-term lease payments (due to the adoption of the short-term lease exemption) and excluded minimum lease payments relating to an operating lease that had been signed but had not yet commenced.</w:t>
      </w:r>
    </w:p>
    <w:p>
      <w:pPr>
        <w:sectPr>
          <w:pgSz w:w="11900" w:h="16838" w:orient="portrait"/>
          <w:cols w:equalWidth="0" w:num="1">
            <w:col w:w="11400"/>
          </w:cols>
          <w:pgMar w:left="240" w:top="125" w:right="259" w:bottom="1440" w:gutter="0" w:footer="0" w:header="0"/>
          <w:type w:val="continuous"/>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December 31, 2019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4"/>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100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2023</w:t>
            </w:r>
          </w:p>
        </w:tc>
        <w:tc>
          <w:tcPr>
            <w:tcW w:w="1000" w:type="dxa"/>
            <w:vAlign w:val="bottom"/>
          </w:tcPr>
          <w:p>
            <w:pPr>
              <w:jc w:val="right"/>
              <w:ind w:right="314"/>
              <w:spacing w:after="0"/>
              <w:rPr>
                <w:sz w:val="20"/>
                <w:szCs w:val="20"/>
                <w:color w:val="auto"/>
              </w:rPr>
            </w:pPr>
            <w:r>
              <w:rPr>
                <w:rFonts w:ascii="Arial" w:cs="Arial" w:eastAsia="Arial" w:hAnsi="Arial"/>
                <w:sz w:val="16"/>
                <w:szCs w:val="16"/>
                <w:b w:val="1"/>
                <w:bCs w:val="1"/>
                <w:color w:val="auto"/>
              </w:rPr>
              <w:t>2024</w:t>
            </w:r>
          </w:p>
        </w:tc>
        <w:tc>
          <w:tcPr>
            <w:tcW w:w="1060" w:type="dxa"/>
            <w:vAlign w:val="bottom"/>
          </w:tcPr>
          <w:p>
            <w:pPr>
              <w:ind w:left="18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purchase commitments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231.9</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2019, we had $231.9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December 31, 2019, we had $12.8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6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b w:val="1"/>
          <w:bCs w:val="1"/>
          <w:color w:val="auto"/>
        </w:rPr>
        <w:t>Indemnification and Other Matters</w:t>
      </w:r>
      <w:r>
        <w:rPr>
          <w:rFonts w:ascii="Arial" w:cs="Arial" w:eastAsia="Arial" w:hAnsi="Arial"/>
          <w:sz w:val="16"/>
          <w:szCs w:val="16"/>
          <w:color w:val="auto"/>
        </w:rPr>
        <w:t>—Under the indemnification provisions of our standard sales contracts, we agree to defend our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third-party claims 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6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Periodically we, like other security companies and companies in other industries, may experience cybersecurity threats, malicious activity directed against our information technology infrastructure and unauthorized attempts to gain access to our and our customers’ sensitive information and systems. For example, as previously disclosed, in the second quarter of 2019, we discovered that an unauthorized party illegally targeted us using sophisticated techniques, such as stealing technical data in order to both impersonate our firewall update servers and possibly attempt other attack methodologies, in an effort to try to gain access to certain of our customers’ systems. We have completed our investigation of this incident and we do not believe that it had a material impact on our or our customers’ businesses. We are currently not aware of any claims arising from this matter.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620" w:firstLine="8"/>
        <w:spacing w:after="0" w:line="533" w:lineRule="auto"/>
        <w:tabs>
          <w:tab w:leader="none" w:pos="45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right="760" w:firstLine="648"/>
        <w:spacing w:after="0" w:line="277" w:lineRule="auto"/>
        <w:rPr>
          <w:sz w:val="20"/>
          <w:szCs w:val="20"/>
          <w:color w:val="auto"/>
        </w:rPr>
      </w:pPr>
      <w:r>
        <w:rPr>
          <w:rFonts w:ascii="Arial" w:cs="Arial" w:eastAsia="Arial" w:hAnsi="Arial"/>
          <w:sz w:val="18"/>
          <w:szCs w:val="18"/>
          <w:color w:val="auto"/>
        </w:rPr>
        <w:t>We have one primary stock incentive plan, the 2009 Equity Incentive Plan, under which we have granted RSUs and stock options. We also previously had an ESPP for eligible employees, which was terminated in February 2019.</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2009 Equity Incentive Plan</w:t>
      </w:r>
      <w:r>
        <w:rPr>
          <w:rFonts w:ascii="Arial" w:cs="Arial" w:eastAsia="Arial" w:hAnsi="Arial"/>
          <w:sz w:val="17"/>
          <w:szCs w:val="17"/>
          <w:color w:val="auto"/>
        </w:rPr>
        <w:t>—Our board of directors approved the 2009 Equity Incentive Plan in 2009. On June 21, 2019, our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the Amended and Restated Fortinet, Inc. 2009 Equity Incentive Plan (the “Amended Plan”). Among other things, the Amended Plan provided for a net decrease in the number of shares of common stock that were authorized and available for issuance pursuant to future awards granted on or following the effective date of the Amended Plan. On June 28, 2019, we deregistered from various registration statements on Form S-8 an aggregate of 46.2 million shares of common stock that were originally registered for issuance under our 2009 Equity Incentive Plan.</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maximum aggregate number of shares that may be issued under the Amended Plan is 47,873,531 shares; provided, however, that only 13,500,000 shares may be issued or transferred pursuant to new awards granted on or following the effective date of the Amended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there were a total of 13.4 million shares of common stock available for grant under the Amended Plan.</w:t>
      </w:r>
    </w:p>
    <w:p>
      <w:pPr>
        <w:spacing w:after="0" w:line="2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2011 Employee Stock Purchase Plan</w:t>
      </w:r>
      <w:r>
        <w:rPr>
          <w:rFonts w:ascii="Arial" w:cs="Arial" w:eastAsia="Arial" w:hAnsi="Arial"/>
          <w:sz w:val="17"/>
          <w:szCs w:val="17"/>
          <w:color w:val="auto"/>
        </w:rPr>
        <w:t>—In June 2011, our stockholders approved the ESPP. The ESPP permitted eligible employees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 Our board of directors voluntarily determined to terminate the ESPP, effective February 2019 at the completion of the prior offering period.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1"/>
              <w:spacing w:after="0"/>
              <w:rPr>
                <w:sz w:val="20"/>
                <w:szCs w:val="20"/>
                <w:color w:val="auto"/>
              </w:rPr>
            </w:pPr>
            <w:r>
              <w:rPr>
                <w:rFonts w:ascii="Arial" w:cs="Arial" w:eastAsia="Arial" w:hAnsi="Arial"/>
                <w:sz w:val="16"/>
                <w:szCs w:val="16"/>
                <w:b w:val="1"/>
                <w:bCs w:val="1"/>
                <w:color w:val="auto"/>
                <w:w w:val="97"/>
              </w:rPr>
              <w:t>Date Fair Value per</w:t>
            </w:r>
          </w:p>
        </w:tc>
      </w:tr>
      <w:tr>
        <w:trPr>
          <w:trHeight w:val="210"/>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tcPr>
          <w:p>
            <w:pPr>
              <w:jc w:val="right"/>
              <w:ind w:right="631"/>
              <w:spacing w:after="0"/>
              <w:rPr>
                <w:sz w:val="20"/>
                <w:szCs w:val="20"/>
                <w:color w:val="auto"/>
              </w:rPr>
            </w:pPr>
            <w:r>
              <w:rPr>
                <w:rFonts w:ascii="Arial" w:cs="Arial" w:eastAsia="Arial" w:hAnsi="Arial"/>
                <w:sz w:val="16"/>
                <w:szCs w:val="16"/>
                <w:b w:val="1"/>
                <w:bCs w:val="1"/>
                <w:color w:val="auto"/>
              </w:rPr>
              <w:t>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37.60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29.42</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57.37</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34.67</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87.09</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43.31</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64.56</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As of December 31, 2019, total compensation expense related to unvested RSUs granted to employees and non-employees under the 2009 Plan, but not yet recognized, was $341.1 million. This expense is expected to be amortized on a straight-line basis over a weighted-average vesting period of 2.7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requirements. Total payment of the employees’ tax obligations to the tax authorities is reflected as a financing activity within the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pacing w:after="0" w:line="14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our common stock is the closing sales price of the common stock effective on the date of grant.</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Pr>
          <w:p>
            <w:pPr>
              <w:spacing w:after="0"/>
              <w:rPr>
                <w:sz w:val="18"/>
                <w:szCs w:val="18"/>
                <w:color w:val="auto"/>
              </w:rPr>
            </w:pPr>
          </w:p>
        </w:tc>
      </w:tr>
      <w:tr>
        <w:trPr>
          <w:trHeight w:val="33"/>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460" w:type="dxa"/>
            <w:vAlign w:val="bottom"/>
            <w:gridSpan w:val="2"/>
          </w:tcPr>
          <w:p>
            <w:pPr>
              <w:ind w:left="708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r>
      <w:tr>
        <w:trPr>
          <w:trHeight w:val="33"/>
        </w:trPr>
        <w:tc>
          <w:tcPr>
            <w:tcW w:w="6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34.3%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6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vest—December 31, 2019</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150.3</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2019</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99.3</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December 31, 2019 for all in-the-money stock options. As of December 31, 2019, total compensation expense related to unvested stock options granted to employees but not yet recognized was $23.9 million. This expense is expected to be amortized on a straight-line basis over a weighted-average period of 2.7 years.</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27.19</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options vested</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2019, as follows (in millions, except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Outstanding</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w:t>
            </w:r>
          </w:p>
        </w:tc>
        <w:tc>
          <w:tcPr>
            <w:tcW w:w="1840" w:type="dxa"/>
            <w:vAlign w:val="bottom"/>
          </w:tcPr>
          <w:p>
            <w:pPr>
              <w:jc w:val="right"/>
              <w:ind w:right="393"/>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tcPr>
          <w:p>
            <w:pPr>
              <w:jc w:val="right"/>
              <w:ind w:right="41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74"/>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$19.94-$24.51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$26.49-$39.49</w:t>
            </w:r>
          </w:p>
        </w:tc>
        <w:tc>
          <w:tcPr>
            <w:tcW w:w="12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35.92</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$48.83-$72.75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50.44</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$76.22-$100.12</w:t>
            </w:r>
          </w:p>
        </w:tc>
        <w:tc>
          <w:tcPr>
            <w:tcW w:w="12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78.93</w:t>
            </w: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grants under the ESPP during the year ended December 31, 2019. In determining the grant date fair value of the ESPP, we used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model. The following table summarizes the assumptions used and the resulting grant-date fair values of our ESPP:</w:t>
      </w:r>
    </w:p>
    <w:p>
      <w:pPr>
        <w:spacing w:after="0" w:line="398"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282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0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14.14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8.73</w:t>
            </w:r>
          </w:p>
        </w:tc>
      </w:tr>
      <w:tr>
        <w:trPr>
          <w:trHeight w:val="27"/>
        </w:trPr>
        <w:tc>
          <w:tcPr>
            <w:tcW w:w="6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the ESPP</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price per share issued</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64.79</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equity award grants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Outstanding stock options and RSUs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common stock reserved for future issuances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Stock-based Compensation Expense</w:t>
            </w: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ind w:left="660"/>
              <w:spacing w:after="0"/>
              <w:rPr>
                <w:sz w:val="20"/>
                <w:szCs w:val="20"/>
                <w:color w:val="auto"/>
              </w:rPr>
            </w:pPr>
            <w:r>
              <w:rPr>
                <w:rFonts w:ascii="Arial" w:cs="Arial" w:eastAsia="Arial" w:hAnsi="Arial"/>
                <w:sz w:val="18"/>
                <w:szCs w:val="18"/>
                <w:color w:val="auto"/>
                <w:w w:val="92"/>
              </w:rPr>
              <w:t>Stock-based compensation expense is included in costs and expenses as follows (in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6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0"/>
              </w:rPr>
              <w:t>Year Ended December 31,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174.1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160.2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174.1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w:t>
            </w: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income is as follows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6"/>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January 2016, our board of directors approved the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In July 2018, our board of directors approved a $500.0 million increase in the authorized stock repurchase under the Repurchase program and extended the term of the Repurchase Program to December 31, 2019, bringing the aggregate amount authorized to be repurchased to $1.5 billion of our outstanding common stock through December 31, 2019. In November 2019, our board of directors approved a $1 billion increase in the authorized stock repurchase under the Repurchase program and extended the term of the Repurchase Program to</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February 28, 2021, bringing the aggregate amount authorized to be repurchased to $2.5 billion of our outstanding common stock through February 28, 2021.Under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2019, we repurchased 1.9 million shares of common stock under the Repurchase Program in open market transactions for an aggregate purchase price of $140.9 million. As of December 31, 2019, $1.6 billion remained available for future share repurchases under the Repurchase Program.</w:t>
      </w:r>
    </w:p>
    <w:p>
      <w:pPr>
        <w:spacing w:after="0" w:line="18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consisted of the following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364.9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164.7</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379.2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Due to the realignment of our tax structure, income before income taxes moved from foreign jurisdictions to domestic jurisdiction in the year ended December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(benefit from) income taxes consisted of the following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Federal</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34.7</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640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10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foreign tax provision included the tax impacts from U.S. GAAP to local tax return book to tax differences and return to provision adjustments that create a permanent addback including but not limited to stock compensation, meals and entertainment, and settlement of prior year tax audits with foreign jurisdiction adjustments.</w:t>
      </w:r>
    </w:p>
    <w:p>
      <w:pPr>
        <w:spacing w:after="0" w:line="1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provision for (benefit from) income taxes differs from the amount computed by applying the statutory federal income tax rate as follows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tax rate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taxes—net of federal benefit</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distribution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Impact of the 2017 Tax Act:</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Deferred tax asset remeasurement due to reduction in the federal corporate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rate</w:t>
            </w: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r>
      <w:tr>
        <w:trPr>
          <w:trHeight w:val="27"/>
        </w:trPr>
        <w:tc>
          <w:tcPr>
            <w:tcW w:w="6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One-time transition tax</w:t>
            </w: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Global Intangible Low-Taxed Income</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Book-to-Tax Basis differences</w:t>
            </w:r>
          </w:p>
        </w:tc>
        <w:tc>
          <w:tcPr>
            <w:tcW w:w="6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92.6</w:t>
            </w:r>
          </w:p>
        </w:tc>
      </w:tr>
      <w:tr>
        <w:trPr>
          <w:trHeight w:val="20"/>
        </w:trPr>
        <w:tc>
          <w:tcPr>
            <w:tcW w:w="6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There are permanent differences that arise from the portion of stock-based compensation expense that is not expected to generate a tax deduction, such as stock-based compensation expense on stock grants to certain foreign employees. This is offset by the actual tax benefits in the current periods from shares held by our U.S. and certain foreign employees. In 2019 and 2018, this excess tax benefit was greater than the non-deductible stock-based compensation expense.</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have realigned our tax structure in order to maximize the tax efficiency of our group structure and better align with our business operations as a result of the 2017 Tax Act. This realignment resulted in a book-to-tax basis difference for previously taxed off-shore deferred revenue as well as other book-to-tax difference. The basis differences resulted in a $164.0 million benefit to the 2018 tax provision.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fourth quarter of 2018, we completed our analysis to determine the effect of the 2017 Tax Act within the measurement period under the SEC guidance, and reflected an additional $32.6 million increase related to the transition tax in the 2018 income tax expense. In the fourth quarter of 2019, we recorded a $2.1 million tax benefit related to the transition tax due to the adjustments on prior 2018 foreign tax amounts. The 2017 Tax Act also created a new requirement that Global Intangible Low-Taxed Income (“GILTI”) earned by controlled foreign corporations (“CFCs”) must be included currently in the gross income of a CFC’s U.S. shareholder. In 2018, there was also a $20.5 million expense for the GILTI tax regime that was introduced by the 2017 Tax Act. In 2019, we were not subject to GILTI. We will continue to monitor and assess the impact of the 2017 Tax Act and ongoing guidance and accounting interpretations issued in response to the 2017 Tax Act.</w:t>
      </w:r>
    </w:p>
    <w:p>
      <w:pPr>
        <w:spacing w:after="0" w:line="18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On June 7, 2019, the Ninth Circuit overturned the U.S. Tax Court’s decision on </w:t>
      </w:r>
      <w:r>
        <w:rPr>
          <w:rFonts w:ascii="Arial" w:cs="Arial" w:eastAsia="Arial" w:hAnsi="Arial"/>
          <w:sz w:val="16"/>
          <w:szCs w:val="16"/>
          <w:i w:val="1"/>
          <w:iCs w:val="1"/>
          <w:color w:val="auto"/>
        </w:rPr>
        <w:t>Altera Corporation and Subsidiaries vs. Commissioner of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w:t>
      </w:r>
      <w:r>
        <w:rPr>
          <w:rFonts w:ascii="Arial" w:cs="Arial" w:eastAsia="Arial" w:hAnsi="Arial"/>
          <w:sz w:val="16"/>
          <w:szCs w:val="16"/>
          <w:color w:val="auto"/>
        </w:rPr>
        <w:t>and ruled in favor of the Commissioner, validating the regulations requiring stock-based compensation to be included in a cost sharing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A rehearing of the case was requested, but the rehearing request was denied by the Ninth Circuit on November 12, 2019. A petition for Writ of Certiorari was filed with the U.S. Supreme Court on February 10, 2020. Due to the uncertainty surrounding the status of the current regulations and questions related to the scope of potential benefits or obligations, we incurred an unrecognized tax benefit of $10.1 million related to the Ninth Circuit’s Altera decision regarding stock-based compensation in cost sharing arrangements. We continue to monitor developments in this case and any impact it could have on our tax provision.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Reserves and accruals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Operating lease ROU assets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December 31, 2019, we recorded a deferred tax asset of $232.6 million and a deferred tax liability of $5.0 million. 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(“R&amp;D”) credits carryforward, certain impairment losses in business investments, certain foreign tax credits from foreign disregarded entities and certain tax attributes from business acquisitions. We anticipate having sufficient current year generated California R&amp;D credits to cover the same year California tax liability for tax year 2019 and subsequent years. We also believe that it is more likely than not that the deferred tax assets for impairment losses, foreign tax credits from foreign disregarded entities and acquired foreign tax attributes will not be realized. As a result, we recorded a valuation allowance of $43.0 million against deferred tax assets for California R&amp;D credits carryforwards (net of the unrecognized tax benefits), impairment losses, certain foreign tax credits and certain acquired tax attributes.</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December 31, 2019, we had $46.7 million in federal net operating loss carryforwards to offset future income, which are limited by Section 382 of the Internal Revenue Code (“Section 382”) due to the acquisition of Meru, AccelOps and Bradford. With the acquisition of Meru, we had $22.6 million in federal net operating loss carryforwards which are limited by Section 382 available from year 2020. With the acquisition of AccelOps, we had $16.3 million in federal net operating loss carryforwards from 2016 that are limited by Section 382. With the acquisition of Bradford, we had $7.8 million in federal net operating loss carryforwards from 2018 that are limited by Section 382 available from July 2018. In 2019, it is estimated that a federal net operating loss of $169.4 million will be generated. We had $14.7 million in federal tax credits to offset future federal taxes. As of December 31, 2019, we had $35.5 million in California net operating loss carryforwards including $10.7 million from Meru and $13.4 million from AccelOps, both of which are limited by Section 382. In 2019, it is estimated that a California net operating loss of $11.3 million will be generated. We had state tax credit carryforwards of $30.6 million available to offset our future state taxes. The state credits carry forward indefinitely.</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the 2017 Tax Act,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For those investments from which we were not able to make a reasonable estimate, we have not recorded any deferred taxes.</w:t>
      </w:r>
    </w:p>
    <w:p>
      <w:pPr>
        <w:sectPr>
          <w:pgSz w:w="11900" w:h="16838" w:orient="portrait"/>
          <w:cols w:equalWidth="0" w:num="1">
            <w:col w:w="11420"/>
          </w:cols>
          <w:pgMar w:left="240" w:top="125"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operate under a tax incentive agreement in Singapore, which is effective through December 31, 2020. The tax incentive agreement is conditional upon our meeting certain employment and investment thresholds.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2019, we had $67.5 million of unrecognized tax benefits, of which, if recognized, $62.4 million would favorably affect our effective tax rate. Our policy is to include accrued interest and penalties related to uncertain tax benefits in income tax expense. As of December 31, 2019, 2018 and 2017, accrued interest and penalties were $14.1 million, $11.6 million and $13.5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current year</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the current year</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prior year</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prior year</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decreases for tax positions related to prior year audit settlements</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year</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72.5</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2019, 2018 and 2017, $82.8 million, $77.5 million and $90.2 million, respectively, of the amounts reflected above were recorded as Income tax liabilities—non-current in our consolidated balance sheets.</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a net increase of gross unrecognized tax benefits of approximately $4.0 million during the year ended December 31, 2019. The net increase was primarily due to the increase in gross unrecognized tax benefits related to the Altera case, offset by the reversal of gross unrecognized tax benefits in connection with the lapse of statutes of limitations and the settlement of tax audits in foreign jurisdictions.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It is reasonably possible that our gross unrecognized tax benefits will decrease by up to $11.6 million in the next 12 months, primarily due to the lapse of the statute of limitations. These adjustments, if recognized, would positively impact our effective tax rate, and would be recognized as additional tax benefits.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18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2019, 2018 and 2017 were $6.6 million, $5.7 million and $4.7 million, respectively.</w:t>
      </w:r>
    </w:p>
    <w:p>
      <w:pPr>
        <w:spacing w:after="0" w:line="16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46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693.3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496.9</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6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Other Americas </w:t>
            </w:r>
            <w:r>
              <w:rPr>
                <w:rFonts w:ascii="Arial" w:cs="Arial" w:eastAsia="Arial" w:hAnsi="Arial"/>
                <w:sz w:val="18"/>
                <w:szCs w:val="18"/>
                <w:color w:val="auto"/>
                <w:vertAlign w:val="superscript"/>
              </w:rPr>
              <w:t>(1)</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Total Americas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642.3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Asia Pacific (“APAC”)</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298.0</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6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2,156.2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1,494.9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180" w:hanging="145"/>
        <w:spacing w:after="0"/>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In 2019, Canada and Latin America revenue were combined and presented as Other Americas. Prior periods have been reclassified to conform with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4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w:t>
            </w:r>
            <w:r>
              <w:rPr>
                <w:rFonts w:ascii="Arial" w:cs="Arial" w:eastAsia="Arial" w:hAnsi="Arial"/>
                <w:sz w:val="16"/>
                <w:szCs w:val="16"/>
                <w:b w:val="1"/>
                <w:bCs w:val="1"/>
                <w:color w:val="auto"/>
              </w:rPr>
              <w:t>net</w:t>
            </w:r>
          </w:p>
        </w:tc>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3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460"/>
              <w:spacing w:after="0"/>
              <w:rPr>
                <w:sz w:val="20"/>
                <w:szCs w:val="20"/>
                <w:color w:val="auto"/>
              </w:rPr>
            </w:pPr>
            <w:r>
              <w:rPr>
                <w:rFonts w:ascii="Arial" w:cs="Arial" w:eastAsia="Arial" w:hAnsi="Arial"/>
                <w:sz w:val="18"/>
                <w:szCs w:val="18"/>
                <w:color w:val="auto"/>
              </w:rPr>
              <w:t>United States</w:t>
            </w:r>
          </w:p>
        </w:tc>
        <w:tc>
          <w:tcPr>
            <w:tcW w:w="4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Canada</w:t>
            </w:r>
          </w:p>
        </w:tc>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460"/>
              <w:spacing w:after="0"/>
              <w:rPr>
                <w:sz w:val="20"/>
                <w:szCs w:val="20"/>
                <w:color w:val="auto"/>
              </w:rPr>
            </w:pPr>
            <w:r>
              <w:rPr>
                <w:rFonts w:ascii="Arial" w:cs="Arial" w:eastAsia="Arial" w:hAnsi="Arial"/>
                <w:sz w:val="18"/>
                <w:szCs w:val="18"/>
                <w:color w:val="auto"/>
              </w:rPr>
              <w:t>Latin America</w:t>
            </w:r>
          </w:p>
        </w:tc>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Americas</w:t>
            </w:r>
          </w:p>
        </w:tc>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3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38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0" w:type="dxa"/>
            <w:vAlign w:val="bottom"/>
            <w:vMerge w:val="restart"/>
          </w:tcPr>
          <w:p>
            <w:pPr>
              <w:jc w:val="right"/>
              <w:ind w:right="2230"/>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 (in millions):</w:t>
      </w:r>
    </w:p>
    <w:p>
      <w:pPr>
        <w:spacing w:after="0" w:line="38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34290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Tax provision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(benefit) related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Gains</w:t>
            </w: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unrealized gains 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(Losses) on</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losses 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investments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adopted ASU 2018-02 on January 1, 2019, and elected to reclassify the income tax effects of the 2017 Tax Act to retained earnings at the beginning of the period. Other amounts reclassified from accumulated other comprehensive income (loss) for unrealized losses on investments and tax provision related to unrealized gains or losses on investments are recorded in other income (expense)—net and in provision for (benefit from) income taxes, respectively. We did not have any material changes to accumulated other comprehensive income (loss) during 2018.</w:t>
      </w:r>
    </w:p>
    <w:p>
      <w:pPr>
        <w:spacing w:after="0" w:line="16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this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for an aggregate payment of $100.0 million by the competitor to us. This agreement arose after expiration of previous agreements between the parties whereby the competitor had paid us additional sums for a limited term license to certain of our intellectual property and a limited term mutual covenant-not-to-sue.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2019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2019. Management reviewed the results of its assessment with our Audit Committee. The effectiveness of our internal control over financial reporting as of December 31, 2019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January 2019, we implemented certain internal controls over financial reporting in connection with our adoption of Topic 842. There were no other changes in our internal control over financial reporting (as defined in Rules 13a-15(f) or 15d-15(f) under the Exchange Act) during 2019 that have materially affected, or are reasonably likely to materially affect, our internal control over financial reporting.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121" w:right="31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Fortinet, Inc. and subsidiaries (the “Company”)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25, 2020, expressed an unqualified opinion on those financial statements and included an explanatory paragraph related to the Company’s change in its method of accounting for revenue due to adoption of the new revenue standard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121" w:right="29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60" w:hanging="644"/>
        <w:spacing w:after="0" w:line="26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The following financial statement schedule of Fortinet, Inc., for the fiscal years ended December 31,</w:t>
      </w:r>
    </w:p>
    <w:p>
      <w:pPr>
        <w:spacing w:after="0" w:line="34" w:lineRule="exact"/>
        <w:rPr>
          <w:rFonts w:ascii="Arial" w:cs="Arial" w:eastAsia="Arial" w:hAnsi="Arial"/>
          <w:sz w:val="17"/>
          <w:szCs w:val="17"/>
          <w:i w:val="1"/>
          <w:iCs w:val="1"/>
          <w:color w:val="auto"/>
        </w:rPr>
      </w:pPr>
    </w:p>
    <w:p>
      <w:pPr>
        <w:ind w:left="1300" w:right="4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2019, 2018 and 2017, is filed as part of this Annual Report on Form 10-K and should be read in conjunction with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17"/>
        </w:trPr>
        <w:tc>
          <w:tcPr>
            <w:tcW w:w="6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 and Allowance for Doubtful Accounts: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Beginning balance</w:t>
            </w: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Charged to costs and expenses, net of deductions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70"/>
        </w:trPr>
        <w:tc>
          <w:tcPr>
            <w:tcW w:w="64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Reclassification due to adoption of Topic 606 </w:t>
            </w:r>
            <w:r>
              <w:rPr>
                <w:rFonts w:ascii="Arial" w:cs="Arial" w:eastAsia="Arial" w:hAnsi="Arial"/>
                <w:sz w:val="25"/>
                <w:szCs w:val="25"/>
                <w:color w:val="auto"/>
                <w:vertAlign w:val="superscript"/>
              </w:rPr>
              <w:t>(1)</w:t>
            </w:r>
          </w:p>
        </w:tc>
        <w:tc>
          <w:tcPr>
            <w:tcW w:w="118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0"/>
        </w:trPr>
        <w:tc>
          <w:tcPr>
            <w:tcW w:w="6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40" w:right="120" w:hanging="5"/>
        <w:spacing w:after="0" w:line="256" w:lineRule="auto"/>
        <w:tabs>
          <w:tab w:leader="none" w:pos="211" w:val="left"/>
        </w:tabs>
        <w:numPr>
          <w:ilvl w:val="0"/>
          <w:numId w:val="61"/>
        </w:numPr>
        <w:rPr>
          <w:rFonts w:ascii="Arial" w:cs="Arial" w:eastAsia="Arial" w:hAnsi="Arial"/>
          <w:sz w:val="21"/>
          <w:szCs w:val="21"/>
          <w:color w:val="auto"/>
          <w:vertAlign w:val="superscript"/>
        </w:rPr>
      </w:pPr>
      <w:r>
        <w:rPr>
          <w:rFonts w:ascii="Arial" w:cs="Arial" w:eastAsia="Arial" w:hAnsi="Arial"/>
          <w:sz w:val="17"/>
          <w:szCs w:val="17"/>
          <w:color w:val="auto"/>
        </w:rPr>
        <w:t>Effective January 1, 2018, we reclassified our sales returns reserve in the amount of $13.6 million from accounts receivable to accrued liabilities, in connection with the adoption of Topic 606. The ending balances for the years ended December 31, 2019 and 2018 consist only of the allowance for doubtful accounts.</w:t>
      </w:r>
    </w:p>
    <w:p>
      <w:pPr>
        <w:spacing w:after="0" w:line="2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preceding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preceding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00" w:type="dxa"/>
            <w:vAlign w:val="bottom"/>
            <w:gridSpan w:val="4"/>
          </w:tcPr>
          <w:p>
            <w:pPr>
              <w:ind w:left="140"/>
              <w:spacing w:after="0"/>
              <w:rPr>
                <w:sz w:val="20"/>
                <w:szCs w:val="20"/>
                <w:color w:val="auto"/>
              </w:rPr>
            </w:pPr>
            <w:r>
              <w:rPr>
                <w:rFonts w:ascii="Arial" w:cs="Arial" w:eastAsia="Arial" w:hAnsi="Arial"/>
                <w:sz w:val="14"/>
                <w:szCs w:val="14"/>
                <w:b w:val="1"/>
                <w:bCs w:val="1"/>
                <w:color w:val="auto"/>
              </w:rPr>
              <w:t>Exhibit</w:t>
            </w:r>
          </w:p>
        </w:tc>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ind w:left="1760"/>
              <w:spacing w:after="0"/>
              <w:rPr>
                <w:sz w:val="20"/>
                <w:szCs w:val="20"/>
                <w:color w:val="auto"/>
              </w:rPr>
            </w:pPr>
            <w:r>
              <w:rPr>
                <w:rFonts w:ascii="Arial" w:cs="Arial" w:eastAsia="Arial" w:hAnsi="Arial"/>
                <w:sz w:val="14"/>
                <w:szCs w:val="14"/>
                <w:b w:val="1"/>
                <w:bCs w:val="1"/>
                <w:color w:val="auto"/>
              </w:rPr>
              <w:t>Form</w:t>
            </w:r>
          </w:p>
        </w:tc>
        <w:tc>
          <w:tcPr>
            <w:tcW w:w="0" w:type="dxa"/>
            <w:vAlign w:val="bottom"/>
          </w:tcPr>
          <w:p>
            <w:pPr>
              <w:spacing w:after="0"/>
              <w:rPr>
                <w:sz w:val="1"/>
                <w:szCs w:val="1"/>
                <w:color w:val="auto"/>
              </w:rPr>
            </w:pPr>
          </w:p>
        </w:tc>
      </w:tr>
      <w:tr>
        <w:trPr>
          <w:trHeight w:val="296"/>
        </w:trPr>
        <w:tc>
          <w:tcPr>
            <w:tcW w:w="220" w:type="dxa"/>
            <w:vAlign w:val="bottom"/>
            <w:gridSpan w:val="2"/>
          </w:tcPr>
          <w:p>
            <w:pPr>
              <w:ind w:left="40"/>
              <w:spacing w:after="0"/>
              <w:rPr>
                <w:rFonts w:ascii="Arial" w:cs="Arial" w:eastAsia="Arial" w:hAnsi="Arial"/>
                <w:sz w:val="14"/>
                <w:szCs w:val="14"/>
                <w:color w:val="0000FF"/>
                <w:w w:val="81"/>
              </w:rPr>
            </w:pPr>
            <w:hyperlink r:id="rId24">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gridSpan w:val="2"/>
          </w:tcPr>
          <w:p>
            <w:pPr>
              <w:ind w:left="40"/>
              <w:spacing w:after="0"/>
              <w:rPr>
                <w:rFonts w:ascii="Arial" w:cs="Arial" w:eastAsia="Arial" w:hAnsi="Arial"/>
                <w:sz w:val="14"/>
                <w:szCs w:val="14"/>
                <w:color w:val="0000FF"/>
                <w:w w:val="81"/>
              </w:rPr>
            </w:pPr>
            <w:hyperlink r:id="rId25">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Amended and Restated Bylaws</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gridSpan w:val="2"/>
          </w:tcPr>
          <w:p>
            <w:pPr>
              <w:ind w:left="40"/>
              <w:spacing w:after="0"/>
              <w:rPr>
                <w:rFonts w:ascii="Arial" w:cs="Arial" w:eastAsia="Arial" w:hAnsi="Arial"/>
                <w:sz w:val="14"/>
                <w:szCs w:val="14"/>
                <w:color w:val="0000FF"/>
                <w:w w:val="81"/>
              </w:rPr>
            </w:pPr>
            <w:hyperlink r:id="rId26">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3860" w:type="dxa"/>
            <w:vAlign w:val="bottom"/>
          </w:tcPr>
          <w:p>
            <w:pPr>
              <w:ind w:left="20"/>
              <w:spacing w:after="0"/>
              <w:rPr>
                <w:sz w:val="20"/>
                <w:szCs w:val="20"/>
                <w:color w:val="auto"/>
              </w:rPr>
            </w:pPr>
            <w:r>
              <w:rPr>
                <w:rFonts w:ascii="Arial" w:cs="Arial" w:eastAsia="Arial" w:hAnsi="Arial"/>
                <w:sz w:val="14"/>
                <w:szCs w:val="14"/>
                <w:color w:val="auto"/>
                <w:w w:val="97"/>
              </w:rPr>
              <w:t>Registration Statement on Form S-l, as amended (File No. 333-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161190)</w:t>
            </w:r>
          </w:p>
        </w:tc>
        <w:tc>
          <w:tcPr>
            <w:tcW w:w="0" w:type="dxa"/>
            <w:vAlign w:val="bottom"/>
          </w:tcPr>
          <w:p>
            <w:pPr>
              <w:spacing w:after="0" w:line="20" w:lineRule="exact"/>
              <w:rPr>
                <w:sz w:val="1"/>
                <w:szCs w:val="1"/>
                <w:color w:val="auto"/>
              </w:rPr>
            </w:pPr>
          </w:p>
        </w:tc>
      </w:tr>
      <w:tr>
        <w:trPr>
          <w:trHeight w:val="162"/>
        </w:trPr>
        <w:tc>
          <w:tcPr>
            <w:tcW w:w="280" w:type="dxa"/>
            <w:vAlign w:val="bottom"/>
            <w:gridSpan w:val="3"/>
            <w:vMerge w:val="restart"/>
          </w:tcPr>
          <w:p>
            <w:pPr>
              <w:ind w:left="40"/>
              <w:spacing w:after="0"/>
              <w:rPr>
                <w:rFonts w:ascii="Arial" w:cs="Arial" w:eastAsia="Arial" w:hAnsi="Arial"/>
                <w:sz w:val="14"/>
                <w:szCs w:val="14"/>
                <w:color w:val="0000FF"/>
                <w:w w:val="97"/>
              </w:rPr>
            </w:pPr>
            <w:hyperlink w:anchor="page112">
              <w:r>
                <w:rPr>
                  <w:rFonts w:ascii="Arial" w:cs="Arial" w:eastAsia="Arial" w:hAnsi="Arial"/>
                  <w:sz w:val="14"/>
                  <w:szCs w:val="14"/>
                  <w:color w:val="0000FF"/>
                  <w:w w:val="97"/>
                </w:rPr>
                <w:t>4.</w:t>
              </w:r>
              <w:r>
                <w:rPr>
                  <w:rFonts w:ascii="Arial" w:cs="Arial" w:eastAsia="Arial" w:hAnsi="Arial"/>
                  <w:sz w:val="14"/>
                  <w:szCs w:val="14"/>
                  <w:u w:val="single" w:color="auto"/>
                  <w:color w:val="0000FF"/>
                  <w:w w:val="97"/>
                </w:rPr>
                <w:t>2</w:t>
              </w:r>
            </w:hyperlink>
            <w:r>
              <w:rPr>
                <w:rFonts w:ascii="Arial" w:cs="Arial" w:eastAsia="Arial" w:hAnsi="Arial"/>
                <w:sz w:val="8"/>
                <w:szCs w:val="8"/>
                <w:color w:val="000000"/>
                <w:w w:val="97"/>
              </w:rPr>
              <w: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2"/>
            <w:vMerge w:val="restart"/>
          </w:tcPr>
          <w:p>
            <w:pPr>
              <w:ind w:left="20"/>
              <w:spacing w:after="0"/>
              <w:rPr>
                <w:sz w:val="20"/>
                <w:szCs w:val="20"/>
                <w:color w:val="auto"/>
              </w:rPr>
            </w:pPr>
            <w:r>
              <w:rPr>
                <w:rFonts w:ascii="Arial" w:cs="Arial" w:eastAsia="Arial" w:hAnsi="Arial"/>
                <w:sz w:val="14"/>
                <w:szCs w:val="14"/>
                <w:color w:val="auto"/>
                <w:w w:val="97"/>
              </w:rPr>
              <w:t>Description of Securities Registered Pursuant to Section 12 of the</w:t>
            </w:r>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vMerge w:val="continue"/>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Exchange Act</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FF"/>
              </w:rPr>
            </w:pPr>
            <w:hyperlink r:id="rId27">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8"/>
                <w:szCs w:val="8"/>
                <w:color w:val="000000"/>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Indemnification Agreement between the Company and</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its directors and officers</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FF"/>
              </w:rPr>
            </w:pPr>
            <w:hyperlink r:id="rId28">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8"/>
                <w:szCs w:val="8"/>
                <w:color w:val="000000"/>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Amended and Restated 2009 Equity Incentive Plan</w:t>
            </w:r>
          </w:p>
        </w:tc>
        <w:tc>
          <w:tcPr>
            <w:tcW w:w="386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FF"/>
              </w:rPr>
            </w:pPr>
            <w:hyperlink r:id="rId29">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8"/>
                <w:szCs w:val="8"/>
                <w:color w:val="000000"/>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stock option agreement under Amended and Restated</w:t>
            </w:r>
          </w:p>
        </w:tc>
        <w:tc>
          <w:tcPr>
            <w:tcW w:w="386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2009 Equity Incentive Plan</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FF"/>
              </w:rPr>
            </w:pPr>
            <w:hyperlink r:id="rId30">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8"/>
                <w:szCs w:val="8"/>
                <w:color w:val="000000"/>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7"/>
              </w:rPr>
              <w:t>Form of performance stock unit award agreement under Amended</w:t>
            </w:r>
          </w:p>
        </w:tc>
        <w:tc>
          <w:tcPr>
            <w:tcW w:w="386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and Restated 2009 Equity Incentive Plan</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FF"/>
              </w:rPr>
            </w:pPr>
            <w:hyperlink r:id="rId31">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8"/>
                <w:szCs w:val="8"/>
                <w:color w:val="000000"/>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restricted stock unit award and performance stock unit</w:t>
            </w:r>
          </w:p>
        </w:tc>
        <w:tc>
          <w:tcPr>
            <w:tcW w:w="386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award agreement under Amended and Restated 2009 Equity</w:t>
            </w:r>
          </w:p>
        </w:tc>
        <w:tc>
          <w:tcPr>
            <w:tcW w:w="3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Incentive Plan (Additional Forms)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6"/>
        </w:trPr>
        <w:tc>
          <w:tcPr>
            <w:tcW w:w="132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4"/>
                <w:szCs w:val="14"/>
                <w:color w:val="auto"/>
              </w:rPr>
              <w:t>June 28, 2018</w:t>
            </w:r>
          </w:p>
        </w:tc>
        <w:tc>
          <w:tcPr>
            <w:tcW w:w="940" w:type="dxa"/>
            <w:vAlign w:val="bottom"/>
          </w:tcPr>
          <w:p>
            <w:pPr>
              <w:jc w:val="right"/>
              <w:ind w:right="4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June 28, 2018</w:t>
            </w:r>
          </w:p>
        </w:tc>
        <w:tc>
          <w:tcPr>
            <w:tcW w:w="940" w:type="dxa"/>
            <w:vAlign w:val="bottom"/>
          </w:tcPr>
          <w:p>
            <w:pPr>
              <w:jc w:val="right"/>
              <w:ind w:right="4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940" w:type="dxa"/>
            <w:vAlign w:val="bottom"/>
          </w:tcPr>
          <w:p>
            <w:pPr>
              <w:jc w:val="right"/>
              <w:ind w:right="4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-926465</wp:posOffset>
            </wp:positionV>
            <wp:extent cx="1577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 2019</w:t>
            </w: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5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6, 2013</w:t>
            </w:r>
          </w:p>
        </w:tc>
        <w:tc>
          <w:tcPr>
            <w:tcW w:w="520" w:type="dxa"/>
            <w:vAlign w:val="bottom"/>
          </w:tcPr>
          <w:p>
            <w:pPr>
              <w:jc w:val="right"/>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March 2, 2015</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r>
    </w:tbl>
    <w:p>
      <w:pPr>
        <w:spacing w:after="0" w:line="432" w:lineRule="exact"/>
        <w:rPr>
          <w:sz w:val="20"/>
          <w:szCs w:val="20"/>
          <w:color w:val="auto"/>
        </w:rPr>
      </w:pPr>
    </w:p>
    <w:p>
      <w:pPr>
        <w:sectPr>
          <w:pgSz w:w="11900" w:h="16838" w:orient="portrait"/>
          <w:cols w:equalWidth="0" w:num="2">
            <w:col w:w="8820" w:space="140"/>
            <w:col w:w="2260"/>
          </w:cols>
          <w:pgMar w:left="240" w:top="122" w:right="439" w:bottom="1440" w:gutter="0" w:footer="0" w:header="0"/>
        </w:sectPr>
      </w:pPr>
    </w:p>
    <w:tbl>
      <w:tblPr>
        <w:tblLayout w:type="fixed"/>
        <w:tblInd w:w="40" w:type="dxa"/>
        <w:tblCellMar>
          <w:top w:w="0" w:type="dxa"/>
          <w:left w:w="0" w:type="dxa"/>
          <w:bottom w:w="0" w:type="dxa"/>
          <w:right w:w="0" w:type="dxa"/>
        </w:tblCellMar>
      </w:tblPr>
      <w:tr>
        <w:trPr>
          <w:trHeight w:val="161"/>
        </w:trPr>
        <w:tc>
          <w:tcPr>
            <w:tcW w:w="640" w:type="dxa"/>
            <w:vAlign w:val="bottom"/>
            <w:gridSpan w:val="3"/>
          </w:tcPr>
          <w:p>
            <w:pPr>
              <w:spacing w:after="0"/>
              <w:rPr>
                <w:rFonts w:ascii="Arial" w:cs="Arial" w:eastAsia="Arial" w:hAnsi="Arial"/>
                <w:sz w:val="14"/>
                <w:szCs w:val="14"/>
                <w:color w:val="0000FF"/>
              </w:rPr>
            </w:pPr>
            <w:hyperlink w:anchor="page117">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7"/>
              </w:rPr>
              <w:t>Form of restricted stock unit award agreement under Amended</w:t>
            </w:r>
          </w:p>
        </w:tc>
      </w:tr>
      <w:tr>
        <w:trPr>
          <w:trHeight w:val="162"/>
        </w:trPr>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and Restated 2009 Equity Incentive Plan (Additional Form)</w:t>
            </w:r>
          </w:p>
        </w:tc>
      </w:tr>
      <w:tr>
        <w:trPr>
          <w:trHeight w:val="290"/>
        </w:trPr>
        <w:tc>
          <w:tcPr>
            <w:tcW w:w="640" w:type="dxa"/>
            <w:vAlign w:val="bottom"/>
            <w:gridSpan w:val="3"/>
          </w:tcPr>
          <w:p>
            <w:pPr>
              <w:spacing w:after="0"/>
              <w:rPr>
                <w:rFonts w:ascii="Arial" w:cs="Arial" w:eastAsia="Arial" w:hAnsi="Arial"/>
                <w:sz w:val="14"/>
                <w:szCs w:val="14"/>
                <w:color w:val="0000FF"/>
              </w:rPr>
            </w:pPr>
            <w:hyperlink w:anchor="page163">
              <w:r>
                <w:rPr>
                  <w:rFonts w:ascii="Arial" w:cs="Arial" w:eastAsia="Arial" w:hAnsi="Arial"/>
                  <w:sz w:val="14"/>
                  <w:szCs w:val="14"/>
                  <w:color w:val="0000FF"/>
                </w:rPr>
                <w:t>10.</w:t>
              </w:r>
              <w:r>
                <w:rPr>
                  <w:rFonts w:ascii="Arial" w:cs="Arial" w:eastAsia="Arial" w:hAnsi="Arial"/>
                  <w:sz w:val="14"/>
                  <w:szCs w:val="14"/>
                  <w:u w:val="single" w:color="auto"/>
                  <w:color w:val="0000FF"/>
                </w:rPr>
                <w:t>7</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Form of stock option award agreement under Amended and</w:t>
            </w:r>
          </w:p>
        </w:tc>
      </w:tr>
      <w:tr>
        <w:trPr>
          <w:trHeight w:val="162"/>
        </w:trPr>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Restated 2009 Equity Incentive Plan (Additional Form)</w:t>
            </w:r>
          </w:p>
        </w:tc>
      </w:tr>
      <w:tr>
        <w:trPr>
          <w:trHeight w:val="290"/>
        </w:trPr>
        <w:tc>
          <w:tcPr>
            <w:tcW w:w="640" w:type="dxa"/>
            <w:vAlign w:val="bottom"/>
            <w:gridSpan w:val="3"/>
          </w:tcPr>
          <w:p>
            <w:pPr>
              <w:spacing w:after="0"/>
              <w:rPr>
                <w:rFonts w:ascii="Arial" w:cs="Arial" w:eastAsia="Arial" w:hAnsi="Arial"/>
                <w:sz w:val="14"/>
                <w:szCs w:val="14"/>
                <w:color w:val="0000FF"/>
              </w:rPr>
            </w:pPr>
            <w:hyperlink r:id="rId33">
              <w:r>
                <w:rPr>
                  <w:rFonts w:ascii="Arial" w:cs="Arial" w:eastAsia="Arial" w:hAnsi="Arial"/>
                  <w:sz w:val="14"/>
                  <w:szCs w:val="14"/>
                  <w:color w:val="0000FF"/>
                </w:rPr>
                <w:t>10.</w:t>
              </w:r>
              <w:r>
                <w:rPr>
                  <w:rFonts w:ascii="Arial" w:cs="Arial" w:eastAsia="Arial" w:hAnsi="Arial"/>
                  <w:sz w:val="14"/>
                  <w:szCs w:val="14"/>
                  <w:u w:val="single" w:color="auto"/>
                  <w:color w:val="0000FF"/>
                </w:rPr>
                <w:t>8</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Bonus Plan</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3"/>
          </w:tcPr>
          <w:p>
            <w:pPr>
              <w:spacing w:after="0"/>
              <w:rPr>
                <w:rFonts w:ascii="Arial" w:cs="Arial" w:eastAsia="Arial" w:hAnsi="Arial"/>
                <w:sz w:val="14"/>
                <w:szCs w:val="14"/>
                <w:color w:val="0000FF"/>
              </w:rPr>
            </w:pPr>
            <w:hyperlink r:id="rId34">
              <w:r>
                <w:rPr>
                  <w:rFonts w:ascii="Arial" w:cs="Arial" w:eastAsia="Arial" w:hAnsi="Arial"/>
                  <w:sz w:val="14"/>
                  <w:szCs w:val="14"/>
                  <w:color w:val="0000FF"/>
                </w:rPr>
                <w:t>10.</w:t>
              </w:r>
              <w:r>
                <w:rPr>
                  <w:rFonts w:ascii="Arial" w:cs="Arial" w:eastAsia="Arial" w:hAnsi="Arial"/>
                  <w:sz w:val="14"/>
                  <w:szCs w:val="14"/>
                  <w:u w:val="single" w:color="auto"/>
                  <w:color w:val="0000FF"/>
                </w:rPr>
                <w:t>9</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Cash and Equity Incentive Plan</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3"/>
          </w:tcPr>
          <w:p>
            <w:pPr>
              <w:spacing w:after="0"/>
              <w:rPr>
                <w:rFonts w:ascii="Arial" w:cs="Arial" w:eastAsia="Arial" w:hAnsi="Arial"/>
                <w:sz w:val="14"/>
                <w:szCs w:val="14"/>
                <w:color w:val="0000FF"/>
              </w:rPr>
            </w:pPr>
            <w:hyperlink r:id="rId35">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Form of Change of Control Agreement between the Company and</w:t>
            </w:r>
          </w:p>
        </w:tc>
      </w:tr>
      <w:tr>
        <w:trPr>
          <w:trHeight w:val="162"/>
        </w:trPr>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w:t>
            </w:r>
          </w:p>
        </w:tc>
      </w:tr>
      <w:tr>
        <w:trPr>
          <w:trHeight w:val="290"/>
        </w:trPr>
        <w:tc>
          <w:tcPr>
            <w:tcW w:w="640" w:type="dxa"/>
            <w:vAlign w:val="bottom"/>
            <w:gridSpan w:val="3"/>
          </w:tcPr>
          <w:p>
            <w:pPr>
              <w:spacing w:after="0"/>
              <w:rPr>
                <w:rFonts w:ascii="Arial" w:cs="Arial" w:eastAsia="Arial" w:hAnsi="Arial"/>
                <w:sz w:val="14"/>
                <w:szCs w:val="14"/>
                <w:color w:val="0000FF"/>
              </w:rPr>
            </w:pPr>
            <w:hyperlink r:id="rId36">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Amended and Restated Change of Control Severance Agreement,</w:t>
            </w:r>
          </w:p>
        </w:tc>
      </w:tr>
      <w:tr>
        <w:trPr>
          <w:trHeight w:val="123"/>
        </w:trPr>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w w:val="97"/>
              </w:rPr>
              <w:t>effective as of August 7, 2019, between the Company and Ken</w:t>
            </w: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Xie</w:t>
            </w:r>
          </w:p>
        </w:tc>
      </w:tr>
      <w:tr>
        <w:trPr>
          <w:trHeight w:val="444"/>
        </w:trPr>
        <w:tc>
          <w:tcPr>
            <w:tcW w:w="640" w:type="dxa"/>
            <w:vAlign w:val="bottom"/>
            <w:gridSpan w:val="3"/>
          </w:tcPr>
          <w:p>
            <w:pPr>
              <w:spacing w:after="0"/>
              <w:rPr>
                <w:rFonts w:ascii="Arial" w:cs="Arial" w:eastAsia="Arial" w:hAnsi="Arial"/>
                <w:sz w:val="14"/>
                <w:szCs w:val="14"/>
                <w:color w:val="0000FF"/>
              </w:rPr>
            </w:pPr>
            <w:hyperlink r:id="rId37">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Amended and Restated Change of Control Severance Agreement,</w:t>
            </w:r>
          </w:p>
        </w:tc>
      </w:tr>
      <w:tr>
        <w:trPr>
          <w:trHeight w:val="123"/>
        </w:trPr>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rPr>
              <w:t>effective as of August 7, 2019, between the Company and</w:t>
            </w: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Michael Xie</w:t>
            </w:r>
          </w:p>
        </w:tc>
      </w:tr>
      <w:tr>
        <w:trPr>
          <w:trHeight w:val="444"/>
        </w:trPr>
        <w:tc>
          <w:tcPr>
            <w:tcW w:w="640" w:type="dxa"/>
            <w:vAlign w:val="bottom"/>
            <w:gridSpan w:val="3"/>
          </w:tcPr>
          <w:p>
            <w:pPr>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Amended and Restated Change of Control Severance Agreement,</w:t>
            </w:r>
          </w:p>
        </w:tc>
      </w:tr>
      <w:tr>
        <w:trPr>
          <w:trHeight w:val="123"/>
        </w:trPr>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w w:val="96"/>
              </w:rPr>
              <w:t>effective as of August 7, 2019, between the Company and John</w:t>
            </w: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Whittle</w:t>
            </w:r>
          </w:p>
        </w:tc>
      </w:tr>
      <w:tr>
        <w:trPr>
          <w:trHeight w:val="444"/>
        </w:trPr>
        <w:tc>
          <w:tcPr>
            <w:tcW w:w="640" w:type="dxa"/>
            <w:vAlign w:val="bottom"/>
            <w:gridSpan w:val="3"/>
          </w:tcPr>
          <w:p>
            <w:pPr>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7"/>
              </w:rPr>
              <w:t>Offer Letter, dated as of October 23, 2006, by and between the</w:t>
            </w:r>
          </w:p>
        </w:tc>
      </w:tr>
      <w:tr>
        <w:trPr>
          <w:trHeight w:val="162"/>
        </w:trPr>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Company and John Whittle</w:t>
            </w:r>
          </w:p>
        </w:tc>
      </w:tr>
      <w:tr>
        <w:trPr>
          <w:trHeight w:val="439"/>
        </w:trPr>
        <w:tc>
          <w:tcPr>
            <w:tcW w:w="640" w:type="dxa"/>
            <w:vAlign w:val="bottom"/>
            <w:gridSpan w:val="3"/>
          </w:tcPr>
          <w:p>
            <w:pPr>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Offer Letter, dated as of April 3, 2014, by and between the</w:t>
            </w:r>
          </w:p>
        </w:tc>
      </w:tr>
      <w:tr>
        <w:trPr>
          <w:trHeight w:val="162"/>
        </w:trPr>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Company and Keith Jensen</w:t>
            </w:r>
          </w:p>
        </w:tc>
      </w:tr>
      <w:tr>
        <w:trPr>
          <w:trHeight w:val="290"/>
        </w:trPr>
        <w:tc>
          <w:tcPr>
            <w:tcW w:w="640" w:type="dxa"/>
            <w:vAlign w:val="bottom"/>
            <w:gridSpan w:val="3"/>
          </w:tcPr>
          <w:p>
            <w:pPr>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Amended and Restated Change of Control Severance Agreement,</w:t>
            </w:r>
          </w:p>
        </w:tc>
      </w:tr>
      <w:tr>
        <w:trPr>
          <w:trHeight w:val="123"/>
        </w:trPr>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w w:val="96"/>
              </w:rPr>
              <w:t>effective as of August 7, 2019, between the Company and Keith</w:t>
            </w: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Jensen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00" w:lineRule="exact"/>
        <w:rPr>
          <w:sz w:val="20"/>
          <w:szCs w:val="20"/>
          <w:color w:val="auto"/>
        </w:rPr>
      </w:pPr>
    </w:p>
    <w:p>
      <w:pPr>
        <w:spacing w:after="0" w:line="38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November 5, 2013</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4,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 2019</w:t>
            </w:r>
          </w:p>
        </w:tc>
        <w:tc>
          <w:tcPr>
            <w:tcW w:w="580" w:type="dxa"/>
            <w:vAlign w:val="bottom"/>
          </w:tcPr>
          <w:p>
            <w:pPr>
              <w:ind w:left="260"/>
              <w:spacing w:after="0"/>
              <w:rPr>
                <w:sz w:val="20"/>
                <w:szCs w:val="20"/>
                <w:color w:val="auto"/>
              </w:rPr>
            </w:pPr>
            <w:r>
              <w:rPr>
                <w:rFonts w:ascii="Arial" w:cs="Arial" w:eastAsia="Arial" w:hAnsi="Arial"/>
                <w:sz w:val="14"/>
                <w:szCs w:val="14"/>
                <w:color w:val="auto"/>
              </w:rPr>
              <w:t>10.2</w:t>
            </w:r>
          </w:p>
        </w:tc>
      </w:tr>
      <w:tr>
        <w:trPr>
          <w:trHeight w:val="770"/>
        </w:trPr>
        <w:tc>
          <w:tcPr>
            <w:tcW w:w="1320" w:type="dxa"/>
            <w:vAlign w:val="bottom"/>
          </w:tcPr>
          <w:p>
            <w:pPr>
              <w:spacing w:after="0"/>
              <w:rPr>
                <w:sz w:val="20"/>
                <w:szCs w:val="20"/>
                <w:color w:val="auto"/>
              </w:rPr>
            </w:pPr>
            <w:r>
              <w:rPr>
                <w:rFonts w:ascii="Arial" w:cs="Arial" w:eastAsia="Arial" w:hAnsi="Arial"/>
                <w:sz w:val="14"/>
                <w:szCs w:val="14"/>
                <w:color w:val="auto"/>
              </w:rPr>
              <w:t>August 1, 2019</w:t>
            </w:r>
          </w:p>
        </w:tc>
        <w:tc>
          <w:tcPr>
            <w:tcW w:w="580" w:type="dxa"/>
            <w:vAlign w:val="bottom"/>
          </w:tcPr>
          <w:p>
            <w:pPr>
              <w:ind w:left="260"/>
              <w:spacing w:after="0"/>
              <w:rPr>
                <w:sz w:val="20"/>
                <w:szCs w:val="20"/>
                <w:color w:val="auto"/>
              </w:rPr>
            </w:pPr>
            <w:r>
              <w:rPr>
                <w:rFonts w:ascii="Arial" w:cs="Arial" w:eastAsia="Arial" w:hAnsi="Arial"/>
                <w:sz w:val="14"/>
                <w:szCs w:val="14"/>
                <w:color w:val="auto"/>
              </w:rPr>
              <w:t>10.3</w:t>
            </w:r>
          </w:p>
        </w:tc>
      </w:tr>
      <w:tr>
        <w:trPr>
          <w:trHeight w:val="770"/>
        </w:trPr>
        <w:tc>
          <w:tcPr>
            <w:tcW w:w="1320" w:type="dxa"/>
            <w:vAlign w:val="bottom"/>
          </w:tcPr>
          <w:p>
            <w:pPr>
              <w:spacing w:after="0"/>
              <w:rPr>
                <w:sz w:val="20"/>
                <w:szCs w:val="20"/>
                <w:color w:val="auto"/>
              </w:rPr>
            </w:pPr>
            <w:r>
              <w:rPr>
                <w:rFonts w:ascii="Arial" w:cs="Arial" w:eastAsia="Arial" w:hAnsi="Arial"/>
                <w:sz w:val="14"/>
                <w:szCs w:val="14"/>
                <w:color w:val="auto"/>
              </w:rPr>
              <w:t>August 1, 2019</w:t>
            </w:r>
          </w:p>
        </w:tc>
        <w:tc>
          <w:tcPr>
            <w:tcW w:w="580" w:type="dxa"/>
            <w:vAlign w:val="bottom"/>
          </w:tcPr>
          <w:p>
            <w:pPr>
              <w:ind w:left="260"/>
              <w:spacing w:after="0"/>
              <w:rPr>
                <w:sz w:val="20"/>
                <w:szCs w:val="20"/>
                <w:color w:val="auto"/>
              </w:rPr>
            </w:pPr>
            <w:r>
              <w:rPr>
                <w:rFonts w:ascii="Arial" w:cs="Arial" w:eastAsia="Arial" w:hAnsi="Arial"/>
                <w:sz w:val="14"/>
                <w:szCs w:val="14"/>
                <w:color w:val="auto"/>
              </w:rPr>
              <w:t>10.4</w:t>
            </w:r>
          </w:p>
        </w:tc>
      </w:tr>
      <w:tr>
        <w:trPr>
          <w:trHeight w:val="770"/>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10.10</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February 26, 2018</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10.22</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 2019</w:t>
            </w:r>
          </w:p>
        </w:tc>
        <w:tc>
          <w:tcPr>
            <w:tcW w:w="580" w:type="dxa"/>
            <w:vAlign w:val="bottom"/>
          </w:tcPr>
          <w:p>
            <w:pPr>
              <w:ind w:left="260"/>
              <w:spacing w:after="0"/>
              <w:rPr>
                <w:sz w:val="20"/>
                <w:szCs w:val="20"/>
                <w:color w:val="auto"/>
              </w:rPr>
            </w:pPr>
            <w:r>
              <w:rPr>
                <w:rFonts w:ascii="Arial" w:cs="Arial" w:eastAsia="Arial" w:hAnsi="Arial"/>
                <w:sz w:val="14"/>
                <w:szCs w:val="14"/>
                <w:color w:val="auto"/>
              </w:rPr>
              <w:t>10.5</w:t>
            </w:r>
          </w:p>
        </w:tc>
      </w:tr>
    </w:tbl>
    <w:p>
      <w:pPr>
        <w:spacing w:after="0" w:line="459" w:lineRule="exact"/>
        <w:rPr>
          <w:sz w:val="20"/>
          <w:szCs w:val="20"/>
          <w:color w:val="auto"/>
        </w:rPr>
      </w:pPr>
    </w:p>
    <w:p>
      <w:pPr>
        <w:sectPr>
          <w:pgSz w:w="11900" w:h="16838" w:orient="portrait"/>
          <w:cols w:equalWidth="0" w:num="3">
            <w:col w:w="4780" w:space="200"/>
            <w:col w:w="3640" w:space="340"/>
            <w:col w:w="2260"/>
          </w:cols>
          <w:pgMar w:left="240" w:top="122" w:right="4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600" w:type="dxa"/>
            <w:vAlign w:val="bottom"/>
            <w:gridSpan w:val="2"/>
          </w:tcPr>
          <w:p>
            <w:pPr>
              <w:jc w:val="right"/>
              <w:ind w:right="300"/>
              <w:spacing w:after="0"/>
              <w:rPr>
                <w:rFonts w:ascii="Arial" w:cs="Arial" w:eastAsia="Arial" w:hAnsi="Arial"/>
                <w:sz w:val="14"/>
                <w:szCs w:val="14"/>
                <w:color w:val="0000FF"/>
                <w:w w:val="92"/>
              </w:rPr>
            </w:pPr>
            <w:hyperlink w:anchor="page201">
              <w:r>
                <w:rPr>
                  <w:rFonts w:ascii="Arial" w:cs="Arial" w:eastAsia="Arial" w:hAnsi="Arial"/>
                  <w:sz w:val="14"/>
                  <w:szCs w:val="14"/>
                  <w:color w:val="0000FF"/>
                  <w:w w:val="92"/>
                </w:rPr>
                <w:t>21.</w:t>
              </w:r>
              <w:r>
                <w:rPr>
                  <w:rFonts w:ascii="Arial" w:cs="Arial" w:eastAsia="Arial" w:hAnsi="Arial"/>
                  <w:sz w:val="14"/>
                  <w:szCs w:val="14"/>
                  <w:u w:val="single" w:color="auto"/>
                  <w:color w:val="0000FF"/>
                  <w:w w:val="92"/>
                </w:rPr>
                <w:t>1</w:t>
              </w:r>
            </w:hyperlink>
            <w:r>
              <w:rPr>
                <w:rFonts w:ascii="Arial" w:cs="Arial" w:eastAsia="Arial" w:hAnsi="Arial"/>
                <w:sz w:val="8"/>
                <w:szCs w:val="8"/>
                <w:color w:val="000000"/>
                <w:w w:val="92"/>
              </w:rPr>
              <w:t>*</w:t>
            </w:r>
          </w:p>
        </w:tc>
        <w:tc>
          <w:tcPr>
            <w:tcW w:w="3780" w:type="dxa"/>
            <w:vAlign w:val="bottom"/>
          </w:tcPr>
          <w:p>
            <w:pPr>
              <w:ind w:left="320"/>
              <w:spacing w:after="0"/>
              <w:rPr>
                <w:sz w:val="20"/>
                <w:szCs w:val="20"/>
                <w:color w:val="auto"/>
              </w:rPr>
            </w:pPr>
            <w:r>
              <w:rPr>
                <w:rFonts w:ascii="Arial" w:cs="Arial" w:eastAsia="Arial" w:hAnsi="Arial"/>
                <w:sz w:val="14"/>
                <w:szCs w:val="14"/>
                <w:color w:val="auto"/>
              </w:rPr>
              <w:t>List of subsidiaries</w:t>
            </w:r>
          </w:p>
        </w:tc>
      </w:tr>
      <w:tr>
        <w:trPr>
          <w:trHeight w:val="20"/>
        </w:trPr>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72"/>
        </w:trPr>
        <w:tc>
          <w:tcPr>
            <w:tcW w:w="600" w:type="dxa"/>
            <w:vAlign w:val="bottom"/>
            <w:gridSpan w:val="2"/>
          </w:tcPr>
          <w:p>
            <w:pPr>
              <w:jc w:val="right"/>
              <w:ind w:right="300"/>
              <w:spacing w:after="0"/>
              <w:rPr>
                <w:rFonts w:ascii="Arial" w:cs="Arial" w:eastAsia="Arial" w:hAnsi="Arial"/>
                <w:sz w:val="14"/>
                <w:szCs w:val="14"/>
                <w:color w:val="0000FF"/>
                <w:w w:val="92"/>
              </w:rPr>
            </w:pPr>
            <w:hyperlink w:anchor="page202">
              <w:r>
                <w:rPr>
                  <w:rFonts w:ascii="Arial" w:cs="Arial" w:eastAsia="Arial" w:hAnsi="Arial"/>
                  <w:sz w:val="14"/>
                  <w:szCs w:val="14"/>
                  <w:color w:val="0000FF"/>
                  <w:w w:val="92"/>
                </w:rPr>
                <w:t>23.</w:t>
              </w:r>
              <w:r>
                <w:rPr>
                  <w:rFonts w:ascii="Arial" w:cs="Arial" w:eastAsia="Arial" w:hAnsi="Arial"/>
                  <w:sz w:val="14"/>
                  <w:szCs w:val="14"/>
                  <w:u w:val="single" w:color="auto"/>
                  <w:color w:val="0000FF"/>
                  <w:w w:val="92"/>
                </w:rPr>
                <w:t>1</w:t>
              </w:r>
            </w:hyperlink>
            <w:r>
              <w:rPr>
                <w:rFonts w:ascii="Arial" w:cs="Arial" w:eastAsia="Arial" w:hAnsi="Arial"/>
                <w:sz w:val="8"/>
                <w:szCs w:val="8"/>
                <w:color w:val="000000"/>
                <w:w w:val="92"/>
              </w:rPr>
              <w:t>*</w:t>
            </w:r>
          </w:p>
        </w:tc>
        <w:tc>
          <w:tcPr>
            <w:tcW w:w="3780" w:type="dxa"/>
            <w:vAlign w:val="bottom"/>
          </w:tcPr>
          <w:p>
            <w:pPr>
              <w:ind w:left="320"/>
              <w:spacing w:after="0"/>
              <w:rPr>
                <w:sz w:val="20"/>
                <w:szCs w:val="20"/>
                <w:color w:val="auto"/>
              </w:rPr>
            </w:pPr>
            <w:r>
              <w:rPr>
                <w:rFonts w:ascii="Arial" w:cs="Arial" w:eastAsia="Arial" w:hAnsi="Arial"/>
                <w:sz w:val="14"/>
                <w:szCs w:val="14"/>
                <w:color w:val="auto"/>
                <w:w w:val="93"/>
              </w:rPr>
              <w:t>Consent of Independent Registered Public Accounting Firm</w:t>
            </w:r>
          </w:p>
        </w:tc>
      </w:tr>
      <w:tr>
        <w:trPr>
          <w:trHeight w:val="20"/>
        </w:trPr>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20"/>
          </w:cols>
          <w:pgMar w:left="240" w:top="122" w:right="43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gridSpan w:val="2"/>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24.</w:t>
              </w:r>
              <w:r>
                <w:rPr>
                  <w:rFonts w:ascii="Arial" w:cs="Arial" w:eastAsia="Arial" w:hAnsi="Arial"/>
                  <w:sz w:val="14"/>
                  <w:szCs w:val="14"/>
                  <w:u w:val="single" w:color="auto"/>
                  <w:color w:val="0000EE"/>
                </w:rPr>
                <w:t>1</w:t>
              </w:r>
            </w:hyperlink>
            <w:r>
              <w:rPr>
                <w:rFonts w:ascii="Arial" w:cs="Arial" w:eastAsia="Arial" w:hAnsi="Arial"/>
                <w:sz w:val="8"/>
                <w:szCs w:val="8"/>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rPr>
              <w:t>Power of Attorney (incorporated by reference to the signature</w:t>
            </w:r>
          </w:p>
        </w:tc>
      </w:tr>
      <w:tr>
        <w:trPr>
          <w:trHeight w:val="162"/>
        </w:trPr>
        <w:tc>
          <w:tcPr>
            <w:tcW w:w="240" w:type="dxa"/>
            <w:vAlign w:val="bottom"/>
            <w:tcBorders>
              <w:top w:val="single" w:sz="8" w:color="0000EE"/>
            </w:tcBorders>
          </w:tcPr>
          <w:p>
            <w:pPr>
              <w:spacing w:after="0"/>
              <w:rPr>
                <w:sz w:val="14"/>
                <w:szCs w:val="14"/>
                <w:color w:val="auto"/>
              </w:rPr>
            </w:pPr>
          </w:p>
        </w:tc>
        <w:tc>
          <w:tcPr>
            <w:tcW w:w="520" w:type="dxa"/>
            <w:vAlign w:val="bottom"/>
          </w:tcPr>
          <w:p>
            <w:pPr>
              <w:spacing w:after="0"/>
              <w:rPr>
                <w:sz w:val="14"/>
                <w:szCs w:val="14"/>
                <w:color w:val="auto"/>
              </w:rPr>
            </w:pPr>
          </w:p>
        </w:tc>
        <w:tc>
          <w:tcPr>
            <w:tcW w:w="10340" w:type="dxa"/>
            <w:vAlign w:val="bottom"/>
          </w:tcPr>
          <w:p>
            <w:pPr>
              <w:ind w:left="160"/>
              <w:spacing w:after="0"/>
              <w:rPr>
                <w:sz w:val="20"/>
                <w:szCs w:val="20"/>
                <w:color w:val="auto"/>
              </w:rPr>
            </w:pPr>
            <w:r>
              <w:rPr>
                <w:rFonts w:ascii="Arial" w:cs="Arial" w:eastAsia="Arial" w:hAnsi="Arial"/>
                <w:sz w:val="14"/>
                <w:szCs w:val="14"/>
                <w:color w:val="auto"/>
              </w:rPr>
              <w:t>page of this Annual Report on Form 10-K)</w:t>
            </w:r>
          </w:p>
        </w:tc>
      </w:tr>
      <w:tr>
        <w:trPr>
          <w:trHeight w:val="304"/>
        </w:trPr>
        <w:tc>
          <w:tcPr>
            <w:tcW w:w="760" w:type="dxa"/>
            <w:vAlign w:val="bottom"/>
            <w:gridSpan w:val="2"/>
          </w:tcPr>
          <w:p>
            <w:pPr>
              <w:spacing w:after="0"/>
              <w:rPr>
                <w:rFonts w:ascii="Arial" w:cs="Arial" w:eastAsia="Arial" w:hAnsi="Arial"/>
                <w:sz w:val="14"/>
                <w:szCs w:val="14"/>
                <w:color w:val="0000FF"/>
              </w:rPr>
            </w:pPr>
            <w:hyperlink w:anchor="page203">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204">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205">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400"/>
        </w:trPr>
        <w:tc>
          <w:tcPr>
            <w:tcW w:w="7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340" w:type="dxa"/>
            <w:vAlign w:val="bottom"/>
          </w:tcPr>
          <w:p>
            <w:pPr>
              <w:ind w:left="160"/>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 because its XBRL tags are embedded within the inline XBRL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340" w:type="dxa"/>
            <w:vAlign w:val="bottom"/>
          </w:tcPr>
          <w:p>
            <w:pPr>
              <w:ind w:left="160"/>
              <w:spacing w:after="0"/>
              <w:rPr>
                <w:sz w:val="20"/>
                <w:szCs w:val="20"/>
                <w:color w:val="auto"/>
              </w:rPr>
            </w:pPr>
            <w:r>
              <w:rPr>
                <w:rFonts w:ascii="Arial" w:cs="Arial" w:eastAsia="Arial" w:hAnsi="Arial"/>
                <w:sz w:val="14"/>
                <w:szCs w:val="14"/>
                <w:color w:val="auto"/>
              </w:rPr>
              <w:t>Inline XBRL Taxonomy Extension Schema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340" w:type="dxa"/>
            <w:vAlign w:val="bottom"/>
          </w:tcPr>
          <w:p>
            <w:pPr>
              <w:ind w:left="16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340" w:type="dxa"/>
            <w:vAlign w:val="bottom"/>
          </w:tcPr>
          <w:p>
            <w:pPr>
              <w:ind w:left="16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340" w:type="dxa"/>
            <w:vAlign w:val="bottom"/>
          </w:tcPr>
          <w:p>
            <w:pPr>
              <w:ind w:left="16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340" w:type="dxa"/>
            <w:vAlign w:val="bottom"/>
          </w:tcPr>
          <w:p>
            <w:pPr>
              <w:ind w:left="160"/>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104*</w:t>
            </w:r>
          </w:p>
        </w:tc>
        <w:tc>
          <w:tcPr>
            <w:tcW w:w="10340" w:type="dxa"/>
            <w:vAlign w:val="bottom"/>
          </w:tcPr>
          <w:p>
            <w:pPr>
              <w:ind w:left="160"/>
              <w:spacing w:after="0"/>
              <w:rPr>
                <w:sz w:val="20"/>
                <w:szCs w:val="20"/>
                <w:color w:val="auto"/>
              </w:rPr>
            </w:pPr>
            <w:r>
              <w:rPr>
                <w:rFonts w:ascii="Arial" w:cs="Arial" w:eastAsia="Arial" w:hAnsi="Arial"/>
                <w:sz w:val="14"/>
                <w:szCs w:val="14"/>
                <w:color w:val="auto"/>
                <w:w w:val="98"/>
              </w:rPr>
              <w:t>Cover Page Interactive Data File - the cover page from the Company’s Annual Report on Form 10-K for the year ended December 31, 2019 is formatted in inline XBRL.</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300" w:firstLine="8"/>
        <w:spacing w:after="0" w:line="210" w:lineRule="auto"/>
        <w:tabs>
          <w:tab w:leader="none" w:pos="94" w:val="left"/>
        </w:tabs>
        <w:numPr>
          <w:ilvl w:val="0"/>
          <w:numId w:val="63"/>
        </w:numPr>
        <w:rPr>
          <w:rFonts w:ascii="Arial" w:cs="Arial" w:eastAsia="Arial" w:hAnsi="Arial"/>
          <w:sz w:val="23"/>
          <w:szCs w:val="23"/>
          <w:color w:val="auto"/>
          <w:vertAlign w:val="superscript"/>
        </w:rPr>
      </w:pPr>
      <w:r>
        <w:rPr>
          <w:rFonts w:ascii="Arial" w:cs="Arial" w:eastAsia="Arial" w:hAnsi="Arial"/>
          <w:sz w:val="13"/>
          <w:szCs w:val="13"/>
          <w:color w:val="auto"/>
        </w:rPr>
        <w:t>Indicates management compensatory plan, contract or arrangement. * Filed herewith.</w:t>
      </w:r>
    </w:p>
    <w:p>
      <w:pPr>
        <w:ind w:left="420" w:hanging="405"/>
        <w:spacing w:after="0" w:line="255" w:lineRule="auto"/>
        <w:rPr>
          <w:rFonts w:ascii="Arial" w:cs="Arial" w:eastAsia="Arial" w:hAnsi="Arial"/>
          <w:sz w:val="23"/>
          <w:szCs w:val="23"/>
          <w:color w:val="auto"/>
          <w:vertAlign w:val="superscript"/>
        </w:rPr>
      </w:pPr>
      <w:r>
        <w:rPr>
          <w:rFonts w:ascii="Arial" w:cs="Arial" w:eastAsia="Arial" w:hAnsi="Arial"/>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121" w:right="35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2020.</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121" w:right="29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780"/>
              <w:spacing w:after="0"/>
              <w:rPr>
                <w:sz w:val="20"/>
                <w:szCs w:val="20"/>
                <w:color w:val="auto"/>
              </w:rPr>
            </w:pPr>
            <w:r>
              <w:rPr>
                <w:rFonts w:ascii="Arial" w:cs="Arial" w:eastAsia="Arial" w:hAnsi="Arial"/>
                <w:sz w:val="18"/>
                <w:szCs w:val="18"/>
                <w:b w:val="1"/>
                <w:bCs w:val="1"/>
                <w:color w:val="auto"/>
              </w:rPr>
              <w:t>Date</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2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3"/>
              </w:rPr>
              <w:t>/s/</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gridSpan w:val="2"/>
          </w:tcPr>
          <w:p>
            <w:pPr>
              <w:ind w:left="118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color w:val="auto"/>
                <w:w w:val="88"/>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2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w w:val="89"/>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 and Principal Accounting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540"/>
              <w:spacing w:after="0"/>
              <w:rPr>
                <w:sz w:val="20"/>
                <w:szCs w:val="20"/>
                <w:color w:val="auto"/>
              </w:rPr>
            </w:pPr>
            <w:r>
              <w:rPr>
                <w:rFonts w:ascii="Arial" w:cs="Arial" w:eastAsia="Arial" w:hAnsi="Arial"/>
                <w:sz w:val="18"/>
                <w:szCs w:val="18"/>
                <w:color w:val="auto"/>
                <w:w w:val="96"/>
              </w:rPr>
              <w:t>Michael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10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Ming Hsieh</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1"/>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w w:val="73"/>
              </w:rPr>
              <w:t>/s/</w:t>
            </w:r>
          </w:p>
        </w:tc>
        <w:tc>
          <w:tcPr>
            <w:tcW w:w="100" w:type="dxa"/>
            <w:vAlign w:val="bottom"/>
          </w:tcPr>
          <w:p>
            <w:pPr>
              <w:spacing w:after="0"/>
              <w:rPr>
                <w:sz w:val="24"/>
                <w:szCs w:val="24"/>
                <w:color w:val="auto"/>
              </w:rPr>
            </w:pPr>
          </w:p>
        </w:tc>
        <w:tc>
          <w:tcPr>
            <w:tcW w:w="2380" w:type="dxa"/>
            <w:vAlign w:val="bottom"/>
            <w:gridSpan w:val="2"/>
          </w:tcPr>
          <w:p>
            <w:pPr>
              <w:jc w:val="center"/>
              <w:ind w:right="1640"/>
              <w:spacing w:after="0"/>
              <w:rPr>
                <w:sz w:val="20"/>
                <w:szCs w:val="20"/>
                <w:color w:val="auto"/>
              </w:rPr>
            </w:pPr>
            <w:r>
              <w:rPr>
                <w:rFonts w:ascii="Arial" w:cs="Arial" w:eastAsia="Arial" w:hAnsi="Arial"/>
                <w:sz w:val="18"/>
                <w:szCs w:val="18"/>
                <w:color w:val="auto"/>
                <w:w w:val="86"/>
              </w:rPr>
              <w:t>Jean Hu</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1"/>
              </w:rPr>
              <w:t>Jean Hu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2720" w:type="dxa"/>
            <w:vAlign w:val="bottom"/>
            <w:gridSpan w:val="4"/>
          </w:tcPr>
          <w:p>
            <w:pPr>
              <w:jc w:val="center"/>
              <w:ind w:right="1280"/>
              <w:spacing w:after="0"/>
              <w:rPr>
                <w:sz w:val="20"/>
                <w:szCs w:val="20"/>
                <w:color w:val="auto"/>
              </w:rPr>
            </w:pPr>
            <w:r>
              <w:rPr>
                <w:rFonts w:ascii="Arial" w:cs="Arial" w:eastAsia="Arial" w:hAnsi="Arial"/>
                <w:sz w:val="18"/>
                <w:szCs w:val="18"/>
                <w:color w:val="auto"/>
                <w:w w:val="99"/>
              </w:rPr>
              <w:t>/s/  Gary Locke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3"/>
              </w:rPr>
              <w:t>Gary Locke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80" w:type="dxa"/>
            <w:vAlign w:val="bottom"/>
          </w:tcPr>
          <w:p>
            <w:pPr>
              <w:ind w:left="1100"/>
              <w:spacing w:after="0"/>
              <w:rPr>
                <w:sz w:val="20"/>
                <w:szCs w:val="20"/>
                <w:color w:val="auto"/>
              </w:rPr>
            </w:pPr>
            <w:r>
              <w:rPr>
                <w:rFonts w:ascii="Arial" w:cs="Arial" w:eastAsia="Arial" w:hAnsi="Arial"/>
                <w:sz w:val="18"/>
                <w:szCs w:val="18"/>
                <w:color w:val="auto"/>
                <w:w w:val="83"/>
              </w:rPr>
              <w:t>/s/</w:t>
            </w:r>
          </w:p>
        </w:tc>
        <w:tc>
          <w:tcPr>
            <w:tcW w:w="2720" w:type="dxa"/>
            <w:vAlign w:val="bottom"/>
            <w:gridSpan w:val="4"/>
          </w:tcPr>
          <w:p>
            <w:pPr>
              <w:ind w:left="160"/>
              <w:spacing w:after="0"/>
              <w:rPr>
                <w:sz w:val="20"/>
                <w:szCs w:val="20"/>
                <w:color w:val="auto"/>
              </w:rPr>
            </w:pPr>
            <w:r>
              <w:rPr>
                <w:rFonts w:ascii="Arial" w:cs="Arial" w:eastAsia="Arial" w:hAnsi="Arial"/>
                <w:sz w:val="18"/>
                <w:szCs w:val="18"/>
                <w:color w:val="auto"/>
              </w:rPr>
              <w:t>William H. Neukom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80" w:type="dxa"/>
            <w:vAlign w:val="bottom"/>
          </w:tcPr>
          <w:p>
            <w:pPr>
              <w:ind w:left="1040"/>
              <w:spacing w:after="0"/>
              <w:rPr>
                <w:sz w:val="20"/>
                <w:szCs w:val="20"/>
                <w:color w:val="auto"/>
              </w:rPr>
            </w:pPr>
            <w:r>
              <w:rPr>
                <w:rFonts w:ascii="Arial" w:cs="Arial" w:eastAsia="Arial" w:hAnsi="Arial"/>
                <w:sz w:val="18"/>
                <w:szCs w:val="18"/>
                <w:color w:val="auto"/>
              </w:rPr>
              <w:t>/s/</w:t>
            </w:r>
          </w:p>
        </w:tc>
        <w:tc>
          <w:tcPr>
            <w:tcW w:w="2720" w:type="dxa"/>
            <w:vAlign w:val="bottom"/>
            <w:gridSpan w:val="4"/>
          </w:tcPr>
          <w:p>
            <w:pPr>
              <w:ind w:left="60"/>
              <w:spacing w:after="0"/>
              <w:rPr>
                <w:sz w:val="20"/>
                <w:szCs w:val="20"/>
                <w:color w:val="auto"/>
              </w:rPr>
            </w:pPr>
            <w:r>
              <w:rPr>
                <w:rFonts w:ascii="Arial" w:cs="Arial" w:eastAsia="Arial" w:hAnsi="Arial"/>
                <w:sz w:val="18"/>
                <w:szCs w:val="18"/>
                <w:color w:val="auto"/>
              </w:rPr>
              <w:t>Christopher B. Paisley</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1280" w:type="dxa"/>
            <w:vAlign w:val="bottom"/>
          </w:tcPr>
          <w:p>
            <w:pPr>
              <w:spacing w:after="0"/>
              <w:rPr>
                <w:sz w:val="24"/>
                <w:szCs w:val="24"/>
                <w:color w:val="auto"/>
              </w:rPr>
            </w:pPr>
          </w:p>
        </w:tc>
        <w:tc>
          <w:tcPr>
            <w:tcW w:w="27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/s/ Judith Sim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2020</w:t>
            </w:r>
          </w:p>
        </w:tc>
      </w:tr>
      <w:tr>
        <w:trPr>
          <w:trHeight w:val="27"/>
        </w:trPr>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1"/>
              </w:rPr>
              <w:t>Judith Sim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75"/>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5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310" w:lineRule="exact"/>
        <w:rPr>
          <w:sz w:val="20"/>
          <w:szCs w:val="20"/>
          <w:color w:val="auto"/>
        </w:rPr>
      </w:pPr>
    </w:p>
    <w:p>
      <w:pPr>
        <w:ind w:right="80" w:firstLine="648"/>
        <w:spacing w:after="0" w:line="324" w:lineRule="auto"/>
        <w:rPr>
          <w:sz w:val="20"/>
          <w:szCs w:val="20"/>
          <w:color w:val="auto"/>
        </w:rPr>
      </w:pPr>
      <w:r>
        <w:rPr>
          <w:rFonts w:ascii="Arial" w:cs="Arial" w:eastAsia="Arial" w:hAnsi="Arial"/>
          <w:sz w:val="18"/>
          <w:szCs w:val="18"/>
          <w:color w:val="auto"/>
        </w:rPr>
        <w:t>As of December 31, 2019, Fortinet, Inc. (“we,” “us” or “our”) had one class of securities registered under Section 12 of the Securities Exchange Act of 1934, as amended: our common stock.</w:t>
      </w:r>
    </w:p>
    <w:p>
      <w:pPr>
        <w:spacing w:after="0" w:line="197" w:lineRule="exact"/>
        <w:rPr>
          <w:sz w:val="20"/>
          <w:szCs w:val="20"/>
          <w:color w:val="auto"/>
        </w:rPr>
      </w:pPr>
    </w:p>
    <w:p>
      <w:pPr>
        <w:ind w:firstLine="648"/>
        <w:spacing w:after="0" w:line="366" w:lineRule="auto"/>
        <w:rPr>
          <w:sz w:val="20"/>
          <w:szCs w:val="20"/>
          <w:color w:val="auto"/>
        </w:rPr>
      </w:pPr>
      <w:r>
        <w:rPr>
          <w:rFonts w:ascii="Arial" w:cs="Arial" w:eastAsia="Arial" w:hAnsi="Arial"/>
          <w:sz w:val="18"/>
          <w:szCs w:val="18"/>
          <w:color w:val="auto"/>
        </w:rPr>
        <w:t>The following summary of the terms of our common stock is based upon our amended and restated certificate of incorporation, our amended and restated bylaws and applicable provisions the Delaware General Corporation Law (the “DGCL”). The summary is not complete, and is qualified by reference to our amended and restated certificate of incorporation and our amended and restated bylaws, which are filed as exhibits to this Annual Report on Form 10-K and are incorporated by reference herein. We encourage you to read our amended and restated certificate of incorporation, our amended and restated bylaws and the applicable provisions of the DGCL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306" w:lineRule="exact"/>
        <w:rPr>
          <w:sz w:val="20"/>
          <w:szCs w:val="20"/>
          <w:color w:val="auto"/>
        </w:rPr>
      </w:pPr>
    </w:p>
    <w:p>
      <w:pPr>
        <w:ind w:right="120" w:firstLine="324"/>
        <w:spacing w:after="0" w:line="324" w:lineRule="auto"/>
        <w:rPr>
          <w:sz w:val="20"/>
          <w:szCs w:val="20"/>
          <w:color w:val="auto"/>
        </w:rPr>
      </w:pPr>
      <w:r>
        <w:rPr>
          <w:rFonts w:ascii="Arial" w:cs="Arial" w:eastAsia="Arial" w:hAnsi="Arial"/>
          <w:sz w:val="18"/>
          <w:szCs w:val="18"/>
          <w:color w:val="auto"/>
        </w:rPr>
        <w:t>Our authorized capital stock consists of 310,000,000 shares of capital stock, including 300,000,000 shares of common stock, par value $0.001 per share, and 10,000,000 shares of undesignated preferred stock, par value $0.001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30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30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implements a gradual declassification of our board of directors and provides for the annual election of directors for one-year terms, commencing upon the expiration of the directors’ then-current terms. Accordingly, beginning with our 2020 annual meeting of stockholders, all members of our board of directors will stand for election annually for one-year terms. Our amended and restated bylaws provide for a majority voting standard for uncontested elections of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 to Receive Liquidation Distributions</w:t>
      </w:r>
    </w:p>
    <w:p>
      <w:pPr>
        <w:sectPr>
          <w:pgSz w:w="11900" w:h="16838" w:orient="portrait"/>
          <w:cols w:equalWidth="0" w:num="1">
            <w:col w:w="11420"/>
          </w:cols>
          <w:pgMar w:left="240" w:top="567" w:right="239" w:bottom="1440" w:gutter="0" w:footer="0" w:header="0"/>
        </w:sectPr>
      </w:pPr>
    </w:p>
    <w:bookmarkStart w:id="112" w:name="page113"/>
    <w:bookmarkEnd w:id="112"/>
    <w:p>
      <w:pPr>
        <w:ind w:firstLine="648"/>
        <w:spacing w:after="0" w:line="33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Rights and Preferences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306" w:lineRule="exact"/>
        <w:rPr>
          <w:sz w:val="20"/>
          <w:szCs w:val="20"/>
          <w:color w:val="auto"/>
        </w:rPr>
      </w:pPr>
    </w:p>
    <w:p>
      <w:pPr>
        <w:ind w:right="20" w:firstLine="648"/>
        <w:spacing w:after="0" w:line="343"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306" w:lineRule="exact"/>
        <w:rPr>
          <w:sz w:val="20"/>
          <w:szCs w:val="20"/>
          <w:color w:val="auto"/>
        </w:rPr>
      </w:pPr>
    </w:p>
    <w:p>
      <w:pPr>
        <w:ind w:right="40" w:firstLine="648"/>
        <w:spacing w:after="0" w:line="311"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Law</w:t>
      </w:r>
    </w:p>
    <w:p>
      <w:pPr>
        <w:spacing w:after="0" w:line="306" w:lineRule="exact"/>
        <w:rPr>
          <w:sz w:val="20"/>
          <w:szCs w:val="20"/>
          <w:color w:val="auto"/>
        </w:rPr>
      </w:pPr>
    </w:p>
    <w:p>
      <w:pPr>
        <w:ind w:right="20" w:firstLine="648"/>
        <w:spacing w:after="0" w:line="311"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222" w:lineRule="exact"/>
        <w:rPr>
          <w:sz w:val="20"/>
          <w:szCs w:val="20"/>
          <w:color w:val="auto"/>
        </w:rPr>
      </w:pPr>
    </w:p>
    <w:p>
      <w:pPr>
        <w:ind w:left="1300" w:right="360" w:hanging="644"/>
        <w:spacing w:after="0" w:line="324"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10" w:lineRule="exact"/>
        <w:rPr>
          <w:rFonts w:ascii="Arial" w:cs="Arial" w:eastAsia="Arial" w:hAnsi="Arial"/>
          <w:sz w:val="18"/>
          <w:szCs w:val="18"/>
          <w:color w:val="auto"/>
        </w:rPr>
      </w:pPr>
    </w:p>
    <w:p>
      <w:pPr>
        <w:ind w:left="1300" w:right="320" w:hanging="644"/>
        <w:spacing w:after="0" w:line="311"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w:t>
      </w:r>
    </w:p>
    <w:p>
      <w:pPr>
        <w:sectPr>
          <w:pgSz w:w="11900" w:h="16838" w:orient="portrait"/>
          <w:cols w:equalWidth="0" w:num="1">
            <w:col w:w="11400"/>
          </w:cols>
          <w:pgMar w:left="240" w:top="598" w:right="259" w:bottom="1440" w:gutter="0" w:footer="0" w:header="0"/>
        </w:sectPr>
      </w:pPr>
    </w:p>
    <w:bookmarkStart w:id="113" w:name="page114"/>
    <w:bookmarkEnd w:id="113"/>
    <w:p>
      <w:pPr>
        <w:ind w:left="1300" w:right="20"/>
        <w:spacing w:after="0" w:line="395" w:lineRule="auto"/>
        <w:rPr>
          <w:sz w:val="20"/>
          <w:szCs w:val="20"/>
          <w:color w:val="auto"/>
        </w:rPr>
      </w:pPr>
      <w:r>
        <w:rPr>
          <w:rFonts w:ascii="Arial" w:cs="Arial" w:eastAsia="Arial" w:hAnsi="Arial"/>
          <w:sz w:val="16"/>
          <w:szCs w:val="16"/>
          <w:color w:val="auto"/>
        </w:rPr>
        <w:t>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37" w:lineRule="exact"/>
        <w:rPr>
          <w:sz w:val="20"/>
          <w:szCs w:val="20"/>
          <w:color w:val="auto"/>
        </w:rPr>
      </w:pPr>
    </w:p>
    <w:p>
      <w:pPr>
        <w:ind w:left="1300" w:right="280" w:hanging="644"/>
        <w:spacing w:after="0" w:line="311"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22" w:lineRule="exact"/>
        <w:rPr>
          <w:sz w:val="20"/>
          <w:szCs w:val="20"/>
          <w:color w:val="auto"/>
        </w:rPr>
      </w:pPr>
    </w:p>
    <w:p>
      <w:pPr>
        <w:ind w:firstLine="648"/>
        <w:spacing w:after="0" w:line="349"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Amended and Restated Certificate of Incorporation and Amended and Restated Bylaws Provisions</w:t>
      </w:r>
    </w:p>
    <w:p>
      <w:pPr>
        <w:spacing w:after="0" w:line="306" w:lineRule="exact"/>
        <w:rPr>
          <w:sz w:val="20"/>
          <w:szCs w:val="20"/>
          <w:color w:val="auto"/>
        </w:rPr>
      </w:pPr>
    </w:p>
    <w:p>
      <w:pPr>
        <w:ind w:right="120" w:firstLine="648"/>
        <w:spacing w:after="0" w:line="324"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company, including the following:</w:t>
      </w:r>
    </w:p>
    <w:p>
      <w:pPr>
        <w:spacing w:after="0" w:line="211" w:lineRule="exact"/>
        <w:rPr>
          <w:sz w:val="20"/>
          <w:szCs w:val="20"/>
          <w:color w:val="auto"/>
        </w:rPr>
      </w:pPr>
    </w:p>
    <w:p>
      <w:pPr>
        <w:ind w:left="1300" w:right="60" w:hanging="644"/>
        <w:spacing w:after="0" w:line="302"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our amended and restated bylaws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may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33" w:lineRule="exact"/>
        <w:rPr>
          <w:rFonts w:ascii="Arial" w:cs="Arial" w:eastAsia="Arial" w:hAnsi="Arial"/>
          <w:sz w:val="18"/>
          <w:szCs w:val="18"/>
          <w:color w:val="auto"/>
        </w:rPr>
      </w:pPr>
    </w:p>
    <w:p>
      <w:pPr>
        <w:ind w:left="1300" w:right="20" w:hanging="644"/>
        <w:spacing w:after="0" w:line="302"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Our amended and restated certificate of incorporation provides that our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take action by written consent, and may only take action at an annual or special meeting of our stockholders.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to take any action, including the removal of directors.</w:t>
      </w:r>
    </w:p>
    <w:p>
      <w:pPr>
        <w:spacing w:after="0" w:line="206" w:lineRule="exact"/>
        <w:rPr>
          <w:rFonts w:ascii="Arial" w:cs="Arial" w:eastAsia="Arial" w:hAnsi="Arial"/>
          <w:sz w:val="18"/>
          <w:szCs w:val="18"/>
          <w:color w:val="auto"/>
        </w:rPr>
      </w:pPr>
    </w:p>
    <w:p>
      <w:pPr>
        <w:ind w:left="1300" w:right="260" w:hanging="644"/>
        <w:spacing w:after="0" w:line="336"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also specify certain</w:t>
      </w:r>
    </w:p>
    <w:p>
      <w:pPr>
        <w:sectPr>
          <w:pgSz w:w="11900" w:h="16838" w:orient="portrait"/>
          <w:cols w:equalWidth="0" w:num="1">
            <w:col w:w="11360"/>
          </w:cols>
          <w:pgMar w:left="240" w:top="598" w:right="299" w:bottom="1440" w:gutter="0" w:footer="0" w:header="0"/>
        </w:sectPr>
      </w:pPr>
    </w:p>
    <w:bookmarkStart w:id="114" w:name="page115"/>
    <w:bookmarkEnd w:id="114"/>
    <w:p>
      <w:pPr>
        <w:jc w:val="both"/>
        <w:ind w:left="1300" w:right="180"/>
        <w:spacing w:after="0" w:line="354" w:lineRule="auto"/>
        <w:rPr>
          <w:sz w:val="20"/>
          <w:szCs w:val="20"/>
          <w:color w:val="auto"/>
        </w:rPr>
      </w:pPr>
      <w:r>
        <w:rPr>
          <w:rFonts w:ascii="Arial" w:cs="Arial" w:eastAsia="Arial" w:hAnsi="Arial"/>
          <w:sz w:val="16"/>
          <w:szCs w:val="16"/>
          <w:color w:val="auto"/>
        </w:rPr>
        <w:t>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0" w:lineRule="exact"/>
        <w:rPr>
          <w:sz w:val="20"/>
          <w:szCs w:val="20"/>
          <w:color w:val="auto"/>
        </w:rPr>
      </w:pPr>
    </w:p>
    <w:p>
      <w:pPr>
        <w:ind w:left="1300" w:right="200" w:hanging="644"/>
        <w:spacing w:after="0" w:line="311"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and amended and restated bylaws do not provide for cumulative voting.</w:t>
      </w:r>
    </w:p>
    <w:p>
      <w:pPr>
        <w:spacing w:after="0" w:line="194" w:lineRule="exact"/>
        <w:rPr>
          <w:rFonts w:ascii="Arial" w:cs="Arial" w:eastAsia="Arial" w:hAnsi="Arial"/>
          <w:sz w:val="18"/>
          <w:szCs w:val="18"/>
          <w:color w:val="auto"/>
        </w:rPr>
      </w:pPr>
    </w:p>
    <w:p>
      <w:pPr>
        <w:ind w:left="1300" w:hanging="644"/>
        <w:spacing w:after="0" w:line="322"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Supermajority Requirements for Amendments of Our Amended and Restated Certificate of Incorporation and Our Amended and Restated Bylaws</w:t>
      </w:r>
      <w:r>
        <w:rPr>
          <w:rFonts w:ascii="Arial" w:cs="Arial" w:eastAsia="Arial" w:hAnsi="Arial"/>
          <w:sz w:val="17"/>
          <w:szCs w:val="17"/>
          <w:color w:val="auto"/>
        </w:rPr>
        <w:t>. Our amended and restated certificate of incorporation provides that the affirmative vote of holders of at least 66 2/3% of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of all of the then outstanding shares of voting stock is required to amend, alter or repeal, or adopt any provision as part of our amended and restated certificate of incorporation inconsistent with the purpose and intent of, certain provisions of our amended and restated certificate of incorporation. Further,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16" w:lineRule="exact"/>
        <w:rPr>
          <w:rFonts w:ascii="Arial" w:cs="Arial" w:eastAsia="Arial" w:hAnsi="Arial"/>
          <w:sz w:val="17"/>
          <w:szCs w:val="17"/>
          <w:color w:val="auto"/>
        </w:rPr>
      </w:pPr>
    </w:p>
    <w:p>
      <w:pPr>
        <w:ind w:left="1300" w:hanging="644"/>
        <w:spacing w:after="0" w:line="354"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70" w:lineRule="exact"/>
        <w:rPr>
          <w:rFonts w:ascii="Arial" w:cs="Arial" w:eastAsia="Arial" w:hAnsi="Arial"/>
          <w:sz w:val="16"/>
          <w:szCs w:val="16"/>
          <w:color w:val="auto"/>
        </w:rPr>
      </w:pPr>
    </w:p>
    <w:p>
      <w:pPr>
        <w:ind w:left="1300" w:right="40" w:hanging="644"/>
        <w:spacing w:after="0" w:line="322"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Choice of Forum</w:t>
      </w:r>
      <w:r>
        <w:rPr>
          <w:rFonts w:ascii="Arial" w:cs="Arial" w:eastAsia="Arial" w:hAnsi="Arial"/>
          <w:sz w:val="17"/>
          <w:szCs w:val="17"/>
          <w:color w:val="auto"/>
        </w:rPr>
        <w:t>. Our amended and restated bylaws provide that, unless we consent in writing to the selection of alternate forum, state and</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courts located within the state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governed by the internal affairs doctrine.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“FTNT.”</w:t>
      </w:r>
    </w:p>
    <w:p>
      <w:pPr>
        <w:sectPr>
          <w:pgSz w:w="11900" w:h="16838" w:orient="portrait"/>
          <w:cols w:equalWidth="0" w:num="1">
            <w:col w:w="11400"/>
          </w:cols>
          <w:pgMar w:left="240" w:top="598"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ectPr>
          <w:pgSz w:w="11900" w:h="16838" w:orient="portrait"/>
          <w:cols w:equalWidth="0" w:num="1">
            <w:col w:w="10219"/>
          </w:cols>
          <w:pgMar w:left="240" w:top="598"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FORTINET,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EQUITY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3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herein, the terms defined in the Amended and Restated Fortinet, Inc. 2009 Equity Incentive Plan (the “Plan”) will have the same defined meanings in this Restricted Stock Unit Award Agreement, including any country-specific terms and conditions set forth in the attached Appendix (collectively, the “Award Agreement”).</w:t>
      </w:r>
    </w:p>
    <w:p>
      <w:pPr>
        <w:spacing w:after="0" w:line="135" w:lineRule="exact"/>
        <w:rPr>
          <w:sz w:val="20"/>
          <w:szCs w:val="20"/>
          <w:color w:val="auto"/>
        </w:rPr>
      </w:pPr>
    </w:p>
    <w:p>
      <w:pPr>
        <w:ind w:left="660" w:right="5720" w:hanging="652"/>
        <w:spacing w:after="0" w:line="442" w:lineRule="auto"/>
        <w:tabs>
          <w:tab w:leader="none" w:pos="798"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 xml:space="preserve">NOTICE OF RESTRICTED STOCK UNIT GRANT </w:t>
      </w:r>
      <w:r>
        <w:rPr>
          <w:rFonts w:ascii="Arial" w:cs="Arial" w:eastAsia="Arial" w:hAnsi="Arial"/>
          <w:sz w:val="22"/>
          <w:szCs w:val="22"/>
          <w:b w:val="1"/>
          <w:bCs w:val="1"/>
          <w:color w:val="auto"/>
        </w:rPr>
        <w:t>Participant Name:</w:t>
      </w: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Address: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 have been granted the right to receive an Award of Restricted Stock Units, subject to the terms and conditions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 and this Award Agreement, as follows:</w:t>
      </w:r>
    </w:p>
    <w:p>
      <w:pPr>
        <w:spacing w:after="0" w:line="200" w:lineRule="exact"/>
        <w:rPr>
          <w:sz w:val="20"/>
          <w:szCs w:val="20"/>
          <w:color w:val="auto"/>
        </w:rPr>
      </w:pPr>
    </w:p>
    <w:p>
      <w:pPr>
        <w:spacing w:after="0" w:line="36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24765</wp:posOffset>
            </wp:positionV>
            <wp:extent cx="1981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24765</wp:posOffset>
            </wp:positionV>
            <wp:extent cx="1981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24765</wp:posOffset>
            </wp:positionV>
            <wp:extent cx="198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24765</wp:posOffset>
            </wp:positionV>
            <wp:extent cx="1981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any acceleration provisions contained in the Plan or set forth below, the Restricted Stock Unit will vest in accordance with the following schedule: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VESTING SCHEDULE.]</w:t>
      </w:r>
    </w:p>
    <w:p>
      <w:pPr>
        <w:spacing w:after="0" w:line="1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any Restricted Stock Units, any such unvested Restricted Stock Units and Participant’s right to acquire any Shares hereunder will immediately terminate.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By Participant’s signature and the signature of the representative of Fortinet, Inc. (the “Company”) below, Participant and the Company agree that this Award of Restricted Stock Units is granted under and governed by the terms and conditions of the Plan and this Award Agreement, including the Terms and Conditions of Restricted Stock Unit Grant, attached hereto as Exhibit A and the Addendum with additional country-specific terms and conditions (the “Addendum”) attached hereto as Exhibit B, all of which are made a part of this Award Agreement. Participant has reviewed the Plan and this Award Agreement in their entirety, has had an opportunity to obtain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117" w:name="page118"/>
    <w:bookmarkEnd w:id="117"/>
    <w:p>
      <w:pPr>
        <w:jc w:val="both"/>
        <w:spacing w:after="0" w:line="254" w:lineRule="auto"/>
        <w:rPr>
          <w:sz w:val="20"/>
          <w:szCs w:val="20"/>
          <w:color w:val="auto"/>
        </w:rPr>
      </w:pPr>
      <w:r>
        <w:rPr>
          <w:rFonts w:ascii="Arial" w:cs="Arial" w:eastAsia="Arial" w:hAnsi="Arial"/>
          <w:sz w:val="22"/>
          <w:szCs w:val="22"/>
          <w:color w:val="auto"/>
        </w:rPr>
        <w:t>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350" w:lineRule="exact"/>
        <w:rPr>
          <w:sz w:val="20"/>
          <w:szCs w:val="20"/>
          <w:color w:val="auto"/>
        </w:rPr>
      </w:pPr>
    </w:p>
    <w:tbl>
      <w:tblPr>
        <w:tblLayout w:type="fixed"/>
        <w:tblInd w:w="54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74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620" w:type="dxa"/>
            <w:vAlign w:val="bottom"/>
          </w:tcPr>
          <w:p>
            <w:pPr>
              <w:spacing w:after="0"/>
              <w:rPr>
                <w:sz w:val="23"/>
                <w:szCs w:val="23"/>
                <w:color w:val="auto"/>
              </w:rPr>
            </w:pPr>
          </w:p>
        </w:tc>
        <w:tc>
          <w:tcPr>
            <w:tcW w:w="4980" w:type="dxa"/>
            <w:vAlign w:val="bottom"/>
          </w:tcPr>
          <w:p>
            <w:pPr>
              <w:ind w:left="40"/>
              <w:spacing w:after="0"/>
              <w:rPr>
                <w:sz w:val="20"/>
                <w:szCs w:val="20"/>
                <w:color w:val="auto"/>
              </w:rPr>
            </w:pPr>
            <w:r>
              <w:rPr>
                <w:rFonts w:ascii="Arial" w:cs="Arial" w:eastAsia="Arial" w:hAnsi="Arial"/>
                <w:sz w:val="22"/>
                <w:szCs w:val="22"/>
                <w:color w:val="auto"/>
              </w:rPr>
              <w:t>FORTINET, INC.</w:t>
            </w:r>
          </w:p>
        </w:tc>
      </w:tr>
      <w:tr>
        <w:trPr>
          <w:trHeight w:val="665"/>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74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620" w:type="dxa"/>
            <w:vAlign w:val="bottom"/>
          </w:tcPr>
          <w:p>
            <w:pPr>
              <w:spacing w:after="0"/>
              <w:rPr>
                <w:sz w:val="23"/>
                <w:szCs w:val="23"/>
                <w:color w:val="auto"/>
              </w:rPr>
            </w:pPr>
          </w:p>
        </w:tc>
        <w:tc>
          <w:tcPr>
            <w:tcW w:w="4980" w:type="dxa"/>
            <w:vAlign w:val="bottom"/>
          </w:tcPr>
          <w:p>
            <w:pPr>
              <w:ind w:left="40"/>
              <w:spacing w:after="0"/>
              <w:rPr>
                <w:sz w:val="20"/>
                <w:szCs w:val="20"/>
                <w:color w:val="auto"/>
              </w:rPr>
            </w:pPr>
            <w:r>
              <w:rPr>
                <w:rFonts w:ascii="Arial" w:cs="Arial" w:eastAsia="Arial" w:hAnsi="Arial"/>
                <w:sz w:val="22"/>
                <w:szCs w:val="22"/>
                <w:color w:val="auto"/>
              </w:rPr>
              <w:t>By</w:t>
            </w:r>
          </w:p>
        </w:tc>
      </w:tr>
      <w:tr>
        <w:trPr>
          <w:trHeight w:val="665"/>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740" w:type="dxa"/>
            <w:vAlign w:val="bottom"/>
            <w:gridSpan w:val="2"/>
          </w:tcPr>
          <w:p>
            <w:pPr>
              <w:spacing w:after="0"/>
              <w:rPr>
                <w:sz w:val="20"/>
                <w:szCs w:val="20"/>
                <w:color w:val="auto"/>
              </w:rPr>
            </w:pPr>
            <w:r>
              <w:rPr>
                <w:rFonts w:ascii="Arial" w:cs="Arial" w:eastAsia="Arial" w:hAnsi="Arial"/>
                <w:sz w:val="22"/>
                <w:szCs w:val="22"/>
                <w:color w:val="auto"/>
              </w:rPr>
              <w:t>Print Name</w:t>
            </w:r>
          </w:p>
        </w:tc>
        <w:tc>
          <w:tcPr>
            <w:tcW w:w="620" w:type="dxa"/>
            <w:vAlign w:val="bottom"/>
          </w:tcPr>
          <w:p>
            <w:pPr>
              <w:spacing w:after="0"/>
              <w:rPr>
                <w:sz w:val="23"/>
                <w:szCs w:val="23"/>
                <w:color w:val="auto"/>
              </w:rPr>
            </w:pPr>
          </w:p>
        </w:tc>
        <w:tc>
          <w:tcPr>
            <w:tcW w:w="4980" w:type="dxa"/>
            <w:vAlign w:val="bottom"/>
          </w:tcPr>
          <w:p>
            <w:pPr>
              <w:ind w:left="40"/>
              <w:spacing w:after="0"/>
              <w:rPr>
                <w:sz w:val="20"/>
                <w:szCs w:val="20"/>
                <w:color w:val="auto"/>
              </w:rPr>
            </w:pPr>
            <w:r>
              <w:rPr>
                <w:rFonts w:ascii="Arial" w:cs="Arial" w:eastAsia="Arial" w:hAnsi="Arial"/>
                <w:sz w:val="22"/>
                <w:szCs w:val="22"/>
                <w:color w:val="auto"/>
              </w:rPr>
              <w:t>Title</w:t>
            </w:r>
          </w:p>
        </w:tc>
      </w:tr>
      <w:tr>
        <w:trPr>
          <w:trHeight w:val="571"/>
        </w:trPr>
        <w:tc>
          <w:tcPr>
            <w:tcW w:w="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22"/>
                <w:szCs w:val="22"/>
                <w:color w:val="auto"/>
              </w:rPr>
              <w:t>Residence Address:</w:t>
            </w:r>
          </w:p>
        </w:tc>
        <w:tc>
          <w:tcPr>
            <w:tcW w:w="6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 GRANT</w:t>
      </w:r>
    </w:p>
    <w:p>
      <w:pPr>
        <w:spacing w:after="0" w:line="226" w:lineRule="exact"/>
        <w:rPr>
          <w:sz w:val="20"/>
          <w:szCs w:val="20"/>
          <w:color w:val="auto"/>
        </w:rPr>
      </w:pPr>
    </w:p>
    <w:p>
      <w:pPr>
        <w:jc w:val="both"/>
        <w:ind w:firstLine="656"/>
        <w:spacing w:after="0" w:line="312" w:lineRule="auto"/>
        <w:tabs>
          <w:tab w:leader="none" w:pos="1107"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individual named in the Notice of Grant attached as Part I of this Award Agreement (the “Participant”) under the Plan an Award of Restricted Stock Units,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46" w:lineRule="exact"/>
        <w:rPr>
          <w:rFonts w:ascii="Arial" w:cs="Arial" w:eastAsia="Arial" w:hAnsi="Arial"/>
          <w:sz w:val="19"/>
          <w:szCs w:val="19"/>
          <w:color w:val="auto"/>
        </w:rPr>
      </w:pPr>
    </w:p>
    <w:p>
      <w:pPr>
        <w:jc w:val="both"/>
        <w:ind w:firstLine="656"/>
        <w:spacing w:after="0" w:line="289" w:lineRule="auto"/>
        <w:tabs>
          <w:tab w:leader="none" w:pos="108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xml:space="preserve">.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Tax-Related Items as defined and as set forth in Section 6. </w:t>
      </w:r>
      <w:r>
        <w:rPr>
          <w:rFonts w:ascii="Arial" w:cs="Arial" w:eastAsia="Arial" w:hAnsi="Arial"/>
          <w:sz w:val="19"/>
          <w:szCs w:val="19"/>
          <w:b w:val="1"/>
          <w:bCs w:val="1"/>
          <w:color w:val="auto"/>
        </w:rPr>
        <w:t>[</w:t>
      </w:r>
      <w:r>
        <w:rPr>
          <w:rFonts w:ascii="Arial" w:cs="Arial" w:eastAsia="Arial" w:hAnsi="Arial"/>
          <w:sz w:val="19"/>
          <w:szCs w:val="19"/>
          <w:color w:val="auto"/>
        </w:rPr>
        <w:t>The Company shall not be required to issue fractional Shares upon the vesting of a Restricted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Vested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will be paid in Shares as soon as practicable after vesting, but in each such case within the period ending no later than the date that is two and one-half (2½) months from the end of the Company’s tax year that includes the vesting date.</w:t>
      </w:r>
    </w:p>
    <w:p>
      <w:pPr>
        <w:spacing w:after="0" w:line="157" w:lineRule="exact"/>
        <w:rPr>
          <w:rFonts w:ascii="Arial" w:cs="Arial" w:eastAsia="Arial" w:hAnsi="Arial"/>
          <w:sz w:val="19"/>
          <w:szCs w:val="19"/>
          <w:color w:val="auto"/>
        </w:rPr>
      </w:pPr>
    </w:p>
    <w:p>
      <w:pPr>
        <w:jc w:val="both"/>
        <w:ind w:firstLine="656"/>
        <w:spacing w:after="0" w:line="251" w:lineRule="auto"/>
        <w:tabs>
          <w:tab w:leader="none" w:pos="102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4, and subject to Section 6,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as further described in Section 6.</w:t>
      </w:r>
    </w:p>
    <w:p>
      <w:pPr>
        <w:spacing w:after="0" w:line="189" w:lineRule="exact"/>
        <w:rPr>
          <w:rFonts w:ascii="Arial" w:cs="Arial" w:eastAsia="Arial" w:hAnsi="Arial"/>
          <w:sz w:val="22"/>
          <w:szCs w:val="22"/>
          <w:color w:val="auto"/>
        </w:rPr>
      </w:pPr>
    </w:p>
    <w:p>
      <w:pPr>
        <w:jc w:val="both"/>
        <w:ind w:firstLine="656"/>
        <w:spacing w:after="0" w:line="271" w:lineRule="auto"/>
        <w:tabs>
          <w:tab w:leader="none" w:pos="104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67" w:lineRule="exact"/>
        <w:rPr>
          <w:rFonts w:ascii="Arial" w:cs="Arial" w:eastAsia="Arial" w:hAnsi="Arial"/>
          <w:sz w:val="21"/>
          <w:szCs w:val="21"/>
          <w:color w:val="auto"/>
        </w:rPr>
      </w:pPr>
    </w:p>
    <w:p>
      <w:pPr>
        <w:jc w:val="both"/>
        <w:ind w:firstLine="656"/>
        <w:spacing w:after="0" w:line="248" w:lineRule="auto"/>
        <w:tabs>
          <w:tab w:leader="none" w:pos="106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Participant shall be entitled to receive the equivalent value (in cash or Shares or a combination thereof) of any dividends paid on each Share for each Restricted Stock Unit (a “Dividend Equivalent”). Dividend Equivalents will be subject to the same vesting and forfeitability restrictions to which the underlying Restricted Stock Units are subject. Any Dividend Equivalent that becomes payable shall be paid at the same time that the underlying Restricted Stock Unit is paid pursuant to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8" w:right="239" w:bottom="1440" w:gutter="0" w:footer="0" w:header="0"/>
        </w:sectPr>
      </w:pPr>
    </w:p>
    <w:bookmarkStart w:id="119" w:name="page120"/>
    <w:bookmarkEnd w:id="119"/>
    <w:p>
      <w:pPr>
        <w:jc w:val="both"/>
        <w:ind w:firstLine="656"/>
        <w:spacing w:after="0" w:line="286" w:lineRule="auto"/>
        <w:tabs>
          <w:tab w:leader="none" w:pos="1107"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of Status as a Service Provider</w:t>
      </w:r>
      <w:r>
        <w:rPr>
          <w:rFonts w:ascii="Arial" w:cs="Arial" w:eastAsia="Arial" w:hAnsi="Arial"/>
          <w:sz w:val="19"/>
          <w:szCs w:val="19"/>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upon Participant’s termination as a Service Provider.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Restricted Stock Unit grant (including whether Participant may still be considered to be a Service Provider while on a leave of absence).</w:t>
      </w:r>
    </w:p>
    <w:p>
      <w:pPr>
        <w:spacing w:after="0" w:line="167" w:lineRule="exact"/>
        <w:rPr>
          <w:rFonts w:ascii="Arial" w:cs="Arial" w:eastAsia="Arial" w:hAnsi="Arial"/>
          <w:sz w:val="19"/>
          <w:szCs w:val="19"/>
          <w:color w:val="auto"/>
        </w:rPr>
      </w:pPr>
    </w:p>
    <w:p>
      <w:pPr>
        <w:jc w:val="both"/>
        <w:ind w:firstLine="656"/>
        <w:spacing w:after="0" w:line="285" w:lineRule="auto"/>
        <w:tabs>
          <w:tab w:leader="none" w:pos="1161"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 administrator or executor of Participant’s estate. Any such transferee must furnish the Company with (a) written notice of his or her status as transferee, and</w:t>
      </w:r>
    </w:p>
    <w:p>
      <w:pPr>
        <w:spacing w:after="0" w:line="3" w:lineRule="exact"/>
        <w:rPr>
          <w:rFonts w:ascii="Arial" w:cs="Arial" w:eastAsia="Arial" w:hAnsi="Arial"/>
          <w:sz w:val="19"/>
          <w:szCs w:val="19"/>
          <w:color w:val="auto"/>
        </w:rPr>
      </w:pPr>
    </w:p>
    <w:p>
      <w:pPr>
        <w:ind w:right="20" w:firstLine="8"/>
        <w:spacing w:after="0" w:line="246" w:lineRule="auto"/>
        <w:tabs>
          <w:tab w:leader="none" w:pos="337" w:val="left"/>
        </w:tabs>
        <w:numPr>
          <w:ilvl w:val="0"/>
          <w:numId w:val="71"/>
        </w:numPr>
        <w:rPr>
          <w:rFonts w:ascii="Arial" w:cs="Arial" w:eastAsia="Arial" w:hAnsi="Arial"/>
          <w:sz w:val="22"/>
          <w:szCs w:val="22"/>
          <w:color w:val="auto"/>
        </w:rPr>
      </w:pPr>
      <w:r>
        <w:rPr>
          <w:rFonts w:ascii="Arial" w:cs="Arial" w:eastAsia="Arial" w:hAnsi="Arial"/>
          <w:sz w:val="22"/>
          <w:szCs w:val="22"/>
          <w:color w:val="auto"/>
        </w:rPr>
        <w:t>evidence satisfactory to the Company to establish the validity of the transfer and compliance with any laws or regulations pertaining to said transfer.</w:t>
      </w:r>
    </w:p>
    <w:p>
      <w:pPr>
        <w:spacing w:after="0" w:line="192" w:lineRule="exact"/>
        <w:rPr>
          <w:rFonts w:ascii="Arial" w:cs="Arial" w:eastAsia="Arial" w:hAnsi="Arial"/>
          <w:sz w:val="22"/>
          <w:szCs w:val="22"/>
          <w:color w:val="auto"/>
        </w:rPr>
      </w:pPr>
    </w:p>
    <w:p>
      <w:pPr>
        <w:ind w:left="1040" w:hanging="384"/>
        <w:spacing w:after="0"/>
        <w:tabs>
          <w:tab w:leader="none" w:pos="104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88" w:lineRule="auto"/>
        <w:tabs>
          <w:tab w:leader="none" w:pos="1848" w:val="left"/>
        </w:tabs>
        <w:numPr>
          <w:ilvl w:val="2"/>
          <w:numId w:val="71"/>
        </w:numPr>
        <w:rPr>
          <w:rFonts w:ascii="Arial" w:cs="Arial" w:eastAsia="Arial" w:hAnsi="Arial"/>
          <w:sz w:val="19"/>
          <w:szCs w:val="19"/>
          <w:color w:val="auto"/>
        </w:rPr>
      </w:pPr>
      <w:r>
        <w:rPr>
          <w:rFonts w:ascii="Arial" w:cs="Arial" w:eastAsia="Arial" w:hAnsi="Arial"/>
          <w:sz w:val="19"/>
          <w:szCs w:val="19"/>
          <w:color w:val="auto"/>
        </w:rPr>
        <w:t>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Shares upon settlement of the Restricted Stock Units, the subsequent sale of Shares acquired pursuant to such settlement and the receipt of any dividends or dividend equivalents; and (2) do not commit to and are under no obligation to structure the terms of the grant or any aspect of the Restricted Stock Units to reduce or eliminate Participant’s liability for Tax-</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64" w:right="239" w:bottom="1440" w:gutter="0" w:footer="0" w:header="0"/>
        </w:sectPr>
      </w:pPr>
    </w:p>
    <w:bookmarkStart w:id="120" w:name="page121"/>
    <w:bookmarkEnd w:id="120"/>
    <w:p>
      <w:pPr>
        <w:jc w:val="both"/>
        <w:ind w:left="660"/>
        <w:spacing w:after="0" w:line="271" w:lineRule="auto"/>
        <w:rPr>
          <w:sz w:val="20"/>
          <w:szCs w:val="20"/>
          <w:color w:val="auto"/>
        </w:rPr>
      </w:pPr>
      <w:r>
        <w:rPr>
          <w:rFonts w:ascii="Arial" w:cs="Arial" w:eastAsia="Arial" w:hAnsi="Arial"/>
          <w:sz w:val="21"/>
          <w:szCs w:val="21"/>
          <w:color w:val="auto"/>
        </w:rPr>
        <w:t>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68" w:lineRule="exact"/>
        <w:rPr>
          <w:sz w:val="20"/>
          <w:szCs w:val="20"/>
          <w:color w:val="auto"/>
        </w:rPr>
      </w:pPr>
    </w:p>
    <w:p>
      <w:pPr>
        <w:jc w:val="both"/>
        <w:ind w:left="660" w:firstLine="645"/>
        <w:spacing w:after="0" w:line="287" w:lineRule="auto"/>
        <w:tabs>
          <w:tab w:leader="none" w:pos="1899" w:val="left"/>
        </w:tabs>
        <w:numPr>
          <w:ilvl w:val="1"/>
          <w:numId w:val="72"/>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 (i) paying cash, (ii) withholding from Participant’s wages or other cash compensation payable to Participant by the Company and/or any Parent or Subsidiary, (iii) withholding from the proceeds of a sale of Shares acquired pursuant to the Restricted Stock Units, either through a voluntary sale or mandatory sale; or</w:t>
      </w:r>
    </w:p>
    <w:p>
      <w:pPr>
        <w:spacing w:after="0" w:line="3" w:lineRule="exact"/>
        <w:rPr>
          <w:rFonts w:ascii="Arial" w:cs="Arial" w:eastAsia="Arial" w:hAnsi="Arial"/>
          <w:sz w:val="19"/>
          <w:szCs w:val="19"/>
          <w:color w:val="auto"/>
        </w:rPr>
      </w:pPr>
    </w:p>
    <w:p>
      <w:pPr>
        <w:jc w:val="both"/>
        <w:ind w:left="660" w:hanging="4"/>
        <w:spacing w:after="0" w:line="244" w:lineRule="auto"/>
        <w:tabs>
          <w:tab w:leader="none" w:pos="10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withholding in Shares to be issued upon vesting of the Restricted Stock Units; provided, however, that if the Participant is a Section 16 officer of the Company under the Exchange Act, then the Company will withhold in Shares upon the relevant taxable or tax withholding event, as applicable, unless the use of such withholding method is problematic under applicable tax or securities law or has materially adverse accounting consequences, in which case, any applicable obligations for Tax-Related Items may be satisfied by one or a combination of methods (i) through (iii) hereof, as determined by the Participant.</w:t>
      </w:r>
    </w:p>
    <w:p>
      <w:pPr>
        <w:spacing w:after="0" w:line="194" w:lineRule="exact"/>
        <w:rPr>
          <w:rFonts w:ascii="Arial" w:cs="Arial" w:eastAsia="Arial" w:hAnsi="Arial"/>
          <w:sz w:val="22"/>
          <w:szCs w:val="22"/>
          <w:color w:val="auto"/>
        </w:rPr>
      </w:pPr>
    </w:p>
    <w:p>
      <w:pPr>
        <w:jc w:val="both"/>
        <w:ind w:left="660" w:firstLine="645"/>
        <w:spacing w:after="0" w:line="294" w:lineRule="auto"/>
        <w:tabs>
          <w:tab w:leader="none" w:pos="1902" w:val="left"/>
        </w:tabs>
        <w:numPr>
          <w:ilvl w:val="1"/>
          <w:numId w:val="73"/>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statutory withholding rates or other applicable withholding rates, including minimum and maximum applicable rates, in which case Participant may receive a refund of any over-withheld amount in cash and will have no entitlement to the Share equivalent. If the obligations for Tax-Related Items is satisfied by withholding in Shares, for tax purposes, Participant will be deemed to have been issued the full number of Shares subject to the vested Restricted Stock Units, notwithstanding that a number of the Shares are held back solely for the purpose of paying the Tax-Related Items.</w:t>
      </w:r>
    </w:p>
    <w:p>
      <w:pPr>
        <w:spacing w:after="0" w:line="149" w:lineRule="exact"/>
        <w:rPr>
          <w:rFonts w:ascii="Arial" w:cs="Arial" w:eastAsia="Arial" w:hAnsi="Arial"/>
          <w:sz w:val="19"/>
          <w:szCs w:val="19"/>
          <w:color w:val="auto"/>
        </w:rPr>
      </w:pPr>
    </w:p>
    <w:p>
      <w:pPr>
        <w:jc w:val="both"/>
        <w:ind w:left="660" w:firstLine="645"/>
        <w:spacing w:after="0" w:line="297" w:lineRule="auto"/>
        <w:tabs>
          <w:tab w:leader="none" w:pos="1837" w:val="left"/>
        </w:tabs>
        <w:numPr>
          <w:ilvl w:val="1"/>
          <w:numId w:val="73"/>
        </w:numPr>
        <w:rPr>
          <w:rFonts w:ascii="Arial" w:cs="Arial" w:eastAsia="Arial" w:hAnsi="Arial"/>
          <w:sz w:val="19"/>
          <w:szCs w:val="19"/>
          <w:color w:val="auto"/>
        </w:rPr>
      </w:pPr>
      <w:r>
        <w:rPr>
          <w:rFonts w:ascii="Arial" w:cs="Arial" w:eastAsia="Arial" w:hAnsi="Arial"/>
          <w:sz w:val="19"/>
          <w:szCs w:val="19"/>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If Participant fails to make satisfactory arrangements for the payment of any required Tax-Related Items obligations hereunder, the Company may refuse to issue or deliver the Shares or the proceeds of the sale of Shares if Participant fails to comply with these obligations in connection with the Tax-Related Items.</w:t>
      </w:r>
    </w:p>
    <w:p>
      <w:pPr>
        <w:spacing w:after="0" w:line="147" w:lineRule="exact"/>
        <w:rPr>
          <w:sz w:val="20"/>
          <w:szCs w:val="20"/>
          <w:color w:val="auto"/>
        </w:rPr>
      </w:pPr>
    </w:p>
    <w:p>
      <w:pPr>
        <w:jc w:val="both"/>
        <w:ind w:firstLine="656"/>
        <w:spacing w:after="0" w:line="297" w:lineRule="auto"/>
        <w:tabs>
          <w:tab w:leader="none" w:pos="108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64" w:right="239" w:bottom="1440" w:gutter="0" w:footer="0" w:header="0"/>
        </w:sectPr>
      </w:pPr>
    </w:p>
    <w:bookmarkStart w:id="121" w:name="page122"/>
    <w:bookmarkEnd w:id="121"/>
    <w:p>
      <w:pPr>
        <w:jc w:val="both"/>
        <w:ind w:firstLine="656"/>
        <w:spacing w:after="0" w:line="245" w:lineRule="auto"/>
        <w:tabs>
          <w:tab w:leader="none" w:pos="114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Guarantee of Continued Service</w:t>
      </w:r>
      <w:r>
        <w:rPr>
          <w:rFonts w:ascii="Arial" w:cs="Arial" w:eastAsia="Arial" w:hAnsi="Arial"/>
          <w:sz w:val="22"/>
          <w:szCs w:val="22"/>
          <w:color w:val="auto"/>
        </w:rPr>
        <w:t>. PARTICIPANT ACKNOWLEDGES AND AGREES THAT THE VESTING OF THE RESTRICTED STOCK UNITS PURSUANT TO THE VESTING SCHEDULE HEREOF IS EARNED ONLY BY CONTINUING AS AN ACTIVE SERVICE PROVIDER,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99" w:lineRule="exact"/>
        <w:rPr>
          <w:rFonts w:ascii="Arial" w:cs="Arial" w:eastAsia="Arial" w:hAnsi="Arial"/>
          <w:sz w:val="22"/>
          <w:szCs w:val="22"/>
          <w:color w:val="auto"/>
        </w:rPr>
      </w:pPr>
    </w:p>
    <w:p>
      <w:pPr>
        <w:ind w:left="1140" w:hanging="484"/>
        <w:spacing w:after="0"/>
        <w:tabs>
          <w:tab w:leader="none" w:pos="11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Award, Participant acknowledges, understands and agrees that:</w:t>
      </w:r>
    </w:p>
    <w:p>
      <w:pPr>
        <w:spacing w:after="0" w:line="220" w:lineRule="exact"/>
        <w:rPr>
          <w:sz w:val="20"/>
          <w:szCs w:val="20"/>
          <w:color w:val="auto"/>
        </w:rPr>
      </w:pPr>
    </w:p>
    <w:p>
      <w:pPr>
        <w:jc w:val="both"/>
        <w:ind w:left="980" w:right="20" w:hanging="324"/>
        <w:spacing w:after="0" w:line="253" w:lineRule="auto"/>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Company;</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19"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and the income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left="980" w:hanging="324"/>
        <w:spacing w:after="0" w:line="247" w:lineRule="auto"/>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leave-related payments, holiday pay, pension or retirement or welfare benefits or similar mandatory payments, and in no event should be considered as compensation for, or relating in any way to, past services for the Company, the Employer, or any Parent, Subsidiary, or Affiliate;</w:t>
      </w:r>
    </w:p>
    <w:p>
      <w:pPr>
        <w:spacing w:after="0" w:line="193" w:lineRule="exact"/>
        <w:rPr>
          <w:rFonts w:ascii="Arial" w:cs="Arial" w:eastAsia="Arial" w:hAnsi="Arial"/>
          <w:sz w:val="22"/>
          <w:szCs w:val="22"/>
          <w:color w:val="auto"/>
        </w:rPr>
      </w:pPr>
    </w:p>
    <w:p>
      <w:pPr>
        <w:ind w:left="980" w:hanging="324"/>
        <w:spacing w:after="0"/>
        <w:tabs>
          <w:tab w:leader="none" w:pos="9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left="980" w:hanging="324"/>
        <w:spacing w:after="0" w:line="271" w:lineRule="auto"/>
        <w:tabs>
          <w:tab w:leader="none" w:pos="9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Parent or Subsidiary of the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4" w:right="239" w:bottom="1440" w:gutter="0" w:footer="0" w:header="0"/>
        </w:sectPr>
      </w:pPr>
    </w:p>
    <w:bookmarkStart w:id="122" w:name="page123"/>
    <w:bookmarkEnd w:id="122"/>
    <w:p>
      <w:pPr>
        <w:jc w:val="both"/>
        <w:ind w:left="980" w:hanging="324"/>
        <w:spacing w:after="0" w:line="302" w:lineRule="auto"/>
        <w:tabs>
          <w:tab w:leader="none" w:pos="9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Stock Units resulting from the termination of Participant's status as a Service Provider (regardless of the reason for the termination and whether or not later found to be invalid or in breach of employment laws in the jurisdiction where Participant is employed or rendering services or the terms of Participant’s employment or service agreement, if any);</w:t>
      </w:r>
    </w:p>
    <w:p>
      <w:pPr>
        <w:spacing w:after="0" w:line="142"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28" w:lineRule="exact"/>
        <w:rPr>
          <w:rFonts w:ascii="Arial" w:cs="Arial" w:eastAsia="Arial" w:hAnsi="Arial"/>
          <w:sz w:val="22"/>
          <w:szCs w:val="22"/>
          <w:color w:val="auto"/>
        </w:rPr>
      </w:pPr>
    </w:p>
    <w:p>
      <w:pPr>
        <w:ind w:left="980" w:hanging="324"/>
        <w:spacing w:after="0"/>
        <w:tabs>
          <w:tab w:leader="none" w:pos="9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following provisions apply only if Participant is providing services outside the United States:</w:t>
      </w:r>
    </w:p>
    <w:p>
      <w:pPr>
        <w:spacing w:after="0" w:line="260" w:lineRule="exact"/>
        <w:rPr>
          <w:rFonts w:ascii="Arial" w:cs="Arial" w:eastAsia="Arial" w:hAnsi="Arial"/>
          <w:sz w:val="22"/>
          <w:szCs w:val="22"/>
          <w:color w:val="auto"/>
        </w:rPr>
      </w:pPr>
    </w:p>
    <w:p>
      <w:pPr>
        <w:ind w:left="660" w:right="20" w:firstLine="645"/>
        <w:spacing w:after="0" w:line="263" w:lineRule="auto"/>
        <w:tabs>
          <w:tab w:leader="none" w:pos="1861"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are not part of normal or expected compensation or salary for any purpose; and</w:t>
      </w:r>
    </w:p>
    <w:p>
      <w:pPr>
        <w:spacing w:after="0" w:line="215" w:lineRule="exact"/>
        <w:rPr>
          <w:rFonts w:ascii="Arial" w:cs="Arial" w:eastAsia="Arial" w:hAnsi="Arial"/>
          <w:sz w:val="22"/>
          <w:szCs w:val="22"/>
          <w:color w:val="auto"/>
        </w:rPr>
      </w:pPr>
    </w:p>
    <w:p>
      <w:pPr>
        <w:jc w:val="both"/>
        <w:ind w:left="660" w:firstLine="645"/>
        <w:spacing w:after="0" w:line="302" w:lineRule="auto"/>
        <w:tabs>
          <w:tab w:leader="none" w:pos="1878" w:val="left"/>
        </w:tabs>
        <w:numPr>
          <w:ilvl w:val="1"/>
          <w:numId w:val="77"/>
        </w:numPr>
        <w:rPr>
          <w:rFonts w:ascii="Arial" w:cs="Arial" w:eastAsia="Arial" w:hAnsi="Arial"/>
          <w:sz w:val="19"/>
          <w:szCs w:val="19"/>
          <w:color w:val="auto"/>
        </w:rPr>
      </w:pPr>
      <w:r>
        <w:rPr>
          <w:rFonts w:ascii="Arial" w:cs="Arial" w:eastAsia="Arial" w:hAnsi="Arial"/>
          <w:sz w:val="19"/>
          <w:szCs w:val="19"/>
          <w:color w:val="auto"/>
        </w:rPr>
        <w:t>Participant acknowledges and agrees that neither the Company, the Employer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183" w:lineRule="exact"/>
        <w:rPr>
          <w:sz w:val="20"/>
          <w:szCs w:val="20"/>
          <w:color w:val="auto"/>
        </w:rPr>
      </w:pPr>
    </w:p>
    <w:p>
      <w:pPr>
        <w:jc w:val="both"/>
        <w:ind w:firstLine="656"/>
        <w:spacing w:after="0" w:line="265" w:lineRule="auto"/>
        <w:tabs>
          <w:tab w:leader="none" w:pos="120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understands and agrees he or she should consult with his or her own personal tax, legal and financial advisors regarding his or her participation in the Plan before taking any action related to the Plan.</w:t>
      </w:r>
    </w:p>
    <w:p>
      <w:pPr>
        <w:spacing w:after="0" w:line="175" w:lineRule="exact"/>
        <w:rPr>
          <w:rFonts w:ascii="Arial" w:cs="Arial" w:eastAsia="Arial" w:hAnsi="Arial"/>
          <w:sz w:val="21"/>
          <w:szCs w:val="21"/>
          <w:color w:val="auto"/>
        </w:rPr>
      </w:pPr>
    </w:p>
    <w:p>
      <w:pPr>
        <w:jc w:val="both"/>
        <w:ind w:firstLine="656"/>
        <w:spacing w:after="0" w:line="302" w:lineRule="auto"/>
        <w:tabs>
          <w:tab w:leader="none" w:pos="1297" w:val="left"/>
        </w:tabs>
        <w:numPr>
          <w:ilvl w:val="0"/>
          <w:numId w:val="78"/>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Participant hereby explicitly and unambiguously consents to the collection, use and transfer, in electronic or other form, of Participant’s personal data as described in this Award Agreement and any other Restricted Stock Unit grant materials by and among, as applicable, the Employer, the Company and any Parent or Subsidiary for the purpose of implementing, administering and managing Participant’s participation in the Plan.</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Restricted Stock Units or any other entitlement to shares of stock awarded, canceled, exercised, vested, unvested or outstanding in Participant’s favor (“Data”), for the exclusive purpose of implementing, administering and managing the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4" w:right="239" w:bottom="1440" w:gutter="0" w:footer="0" w:header="0"/>
        </w:sectPr>
      </w:pPr>
    </w:p>
    <w:bookmarkStart w:id="123" w:name="page124"/>
    <w:bookmarkEnd w:id="123"/>
    <w:p>
      <w:pPr>
        <w:jc w:val="both"/>
        <w:ind w:firstLine="648"/>
        <w:spacing w:after="0" w:line="284" w:lineRule="auto"/>
        <w:rPr>
          <w:sz w:val="20"/>
          <w:szCs w:val="20"/>
          <w:color w:val="auto"/>
        </w:rPr>
      </w:pPr>
      <w:r>
        <w:rPr>
          <w:rFonts w:ascii="Arial" w:cs="Arial" w:eastAsia="Arial" w:hAnsi="Arial"/>
          <w:sz w:val="19"/>
          <w:szCs w:val="19"/>
          <w:b w:val="1"/>
          <w:bCs w:val="1"/>
          <w:i w:val="1"/>
          <w:iCs w:val="1"/>
          <w:color w:val="auto"/>
        </w:rPr>
        <w:t>Participant understands that Data will be transferred to Charles Schwab &amp; Co., Inc.,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or service and career with the Employer will not be affected; the only consequence of refusing or withdrawing Participant’s consent is that the Company would not be able to grant Participant Restricted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5" w:lineRule="exact"/>
        <w:rPr>
          <w:sz w:val="20"/>
          <w:szCs w:val="20"/>
          <w:color w:val="auto"/>
        </w:rPr>
      </w:pPr>
    </w:p>
    <w:p>
      <w:pPr>
        <w:jc w:val="both"/>
        <w:ind w:firstLine="656"/>
        <w:spacing w:after="0" w:line="253" w:lineRule="auto"/>
        <w:tabs>
          <w:tab w:leader="none" w:pos="125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in care of Stock Administration at Fortinet, Inc., at 899 Kifer Road, Sunnyvale, CA 94086, or at such other address as the Company may hereafter designate in writing.</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175"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31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64" w:right="239" w:bottom="1440" w:gutter="0" w:footer="0" w:header="0"/>
        </w:sectPr>
      </w:pPr>
    </w:p>
    <w:bookmarkStart w:id="124" w:name="page125"/>
    <w:bookmarkEnd w:id="124"/>
    <w:p>
      <w:pPr>
        <w:jc w:val="both"/>
        <w:ind w:firstLine="656"/>
        <w:spacing w:after="0" w:line="259" w:lineRule="auto"/>
        <w:tabs>
          <w:tab w:leader="none" w:pos="1229"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Additional Conditions to Issuance of Stock</w:t>
      </w:r>
      <w:r>
        <w:rPr>
          <w:rFonts w:ascii="Arial" w:cs="Arial" w:eastAsia="Arial" w:hAnsi="Arial"/>
          <w:sz w:val="21"/>
          <w:szCs w:val="21"/>
          <w:color w:val="auto"/>
        </w:rPr>
        <w:t>.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w:t>
      </w:r>
    </w:p>
    <w:p>
      <w:pPr>
        <w:spacing w:after="0" w:line="184" w:lineRule="exact"/>
        <w:rPr>
          <w:rFonts w:ascii="Arial" w:cs="Arial" w:eastAsia="Arial" w:hAnsi="Arial"/>
          <w:sz w:val="21"/>
          <w:szCs w:val="21"/>
          <w:color w:val="auto"/>
        </w:rPr>
      </w:pPr>
    </w:p>
    <w:p>
      <w:pPr>
        <w:jc w:val="both"/>
        <w:ind w:firstLine="656"/>
        <w:spacing w:after="0" w:line="312" w:lineRule="auto"/>
        <w:tabs>
          <w:tab w:leader="none" w:pos="121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33" w:lineRule="exact"/>
        <w:rPr>
          <w:rFonts w:ascii="Arial" w:cs="Arial" w:eastAsia="Arial" w:hAnsi="Arial"/>
          <w:sz w:val="19"/>
          <w:szCs w:val="19"/>
          <w:color w:val="auto"/>
        </w:rPr>
      </w:pPr>
    </w:p>
    <w:p>
      <w:pPr>
        <w:jc w:val="both"/>
        <w:ind w:firstLine="656"/>
        <w:spacing w:after="0" w:line="294" w:lineRule="auto"/>
        <w:tabs>
          <w:tab w:leader="none" w:pos="1161"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3" w:lineRule="exact"/>
        <w:rPr>
          <w:rFonts w:ascii="Arial" w:cs="Arial" w:eastAsia="Arial" w:hAnsi="Arial"/>
          <w:sz w:val="19"/>
          <w:szCs w:val="19"/>
          <w:color w:val="auto"/>
        </w:rPr>
      </w:pPr>
    </w:p>
    <w:p>
      <w:pPr>
        <w:jc w:val="both"/>
        <w:ind w:firstLine="656"/>
        <w:spacing w:after="0" w:line="263" w:lineRule="auto"/>
        <w:tabs>
          <w:tab w:leader="none" w:pos="1189"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5" w:lineRule="exact"/>
        <w:rPr>
          <w:rFonts w:ascii="Arial" w:cs="Arial" w:eastAsia="Arial" w:hAnsi="Arial"/>
          <w:sz w:val="21"/>
          <w:szCs w:val="21"/>
          <w:color w:val="auto"/>
        </w:rPr>
      </w:pPr>
    </w:p>
    <w:p>
      <w:pPr>
        <w:ind w:right="20" w:firstLine="656"/>
        <w:spacing w:after="0" w:line="263" w:lineRule="auto"/>
        <w:tabs>
          <w:tab w:leader="none" w:pos="124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firstLine="656"/>
        <w:spacing w:after="0" w:line="260" w:lineRule="auto"/>
        <w:tabs>
          <w:tab w:leader="none" w:pos="116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77" w:lineRule="exact"/>
        <w:rPr>
          <w:rFonts w:ascii="Arial" w:cs="Arial" w:eastAsia="Arial" w:hAnsi="Arial"/>
          <w:sz w:val="22"/>
          <w:szCs w:val="22"/>
          <w:color w:val="auto"/>
        </w:rPr>
      </w:pPr>
    </w:p>
    <w:p>
      <w:pPr>
        <w:jc w:val="both"/>
        <w:ind w:firstLine="656"/>
        <w:spacing w:after="0" w:line="269" w:lineRule="auto"/>
        <w:tabs>
          <w:tab w:leader="none" w:pos="1229"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Company may amend the terms of this Award Agreement, provided no amendment or modification that adversely affects the Participant’s rights under the Award in any material way may be made without the Participant’s written consent. Notwithstanding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64" w:right="239" w:bottom="1440" w:gutter="0" w:footer="0" w:header="0"/>
        </w:sectPr>
      </w:pPr>
    </w:p>
    <w:bookmarkStart w:id="125" w:name="page126"/>
    <w:bookmarkEnd w:id="125"/>
    <w:p>
      <w:pPr>
        <w:jc w:val="both"/>
        <w:spacing w:after="0" w:line="290" w:lineRule="auto"/>
        <w:rPr>
          <w:sz w:val="20"/>
          <w:szCs w:val="20"/>
          <w:color w:val="auto"/>
        </w:rPr>
      </w:pPr>
      <w:r>
        <w:rPr>
          <w:rFonts w:ascii="Arial" w:cs="Arial" w:eastAsia="Arial" w:hAnsi="Arial"/>
          <w:sz w:val="19"/>
          <w:szCs w:val="19"/>
          <w:color w:val="auto"/>
        </w:rPr>
        <w:t>anything to the contrary in the Plan or this Award Agreement, the Company reserves the right to revise this Award Agreement as it deems necessary or advisable, in its sole discretion and without the consent of Participant, to the extent necessary or desirable to facilitate compliance with Applicable Laws or to comply with Section 409A or to otherwise avoid imposition of any additional tax or income recognition under Section 409A in connection to this Award of Restricted Stock Units, but the Company shall not be under any obligation to make any such revision. Furthermore, nothing in this Award Agreement or the Plan shall provide a basis for any person to take action against the Company or any Parent or Subsidiary based on matters covered by Section 409A, including the tax treatment of any Restricted Stock Unit settled or amount paid or Restricted Stock Units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spacing w:after="0" w:line="156" w:lineRule="exact"/>
        <w:rPr>
          <w:sz w:val="20"/>
          <w:szCs w:val="20"/>
          <w:color w:val="auto"/>
        </w:rPr>
      </w:pPr>
    </w:p>
    <w:p>
      <w:pPr>
        <w:jc w:val="both"/>
        <w:ind w:firstLine="656"/>
        <w:spacing w:after="0" w:line="250" w:lineRule="auto"/>
        <w:tabs>
          <w:tab w:leader="none" w:pos="117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8" w:lineRule="exact"/>
        <w:rPr>
          <w:rFonts w:ascii="Arial" w:cs="Arial" w:eastAsia="Arial" w:hAnsi="Arial"/>
          <w:sz w:val="22"/>
          <w:szCs w:val="22"/>
          <w:color w:val="auto"/>
        </w:rPr>
      </w:pPr>
    </w:p>
    <w:p>
      <w:pPr>
        <w:jc w:val="both"/>
        <w:ind w:firstLine="656"/>
        <w:spacing w:after="0" w:line="247" w:lineRule="auto"/>
        <w:tabs>
          <w:tab w:leader="none" w:pos="118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Arial" w:cs="Arial" w:eastAsia="Arial" w:hAnsi="Arial"/>
          <w:sz w:val="22"/>
          <w:szCs w:val="22"/>
          <w:b w:val="1"/>
          <w:bCs w:val="1"/>
          <w:color w:val="auto"/>
        </w:rPr>
        <w:t>,</w:t>
      </w:r>
      <w:r>
        <w:rPr>
          <w:rFonts w:ascii="Arial" w:cs="Arial" w:eastAsia="Arial" w:hAnsi="Arial"/>
          <w:sz w:val="22"/>
          <w:szCs w:val="22"/>
          <w:color w:val="auto"/>
        </w:rPr>
        <w:t xml:space="preserve"> and agree that such litigation will be conducted in the courts of Santa Clara County, California</w:t>
      </w:r>
      <w:r>
        <w:rPr>
          <w:rFonts w:ascii="Arial" w:cs="Arial" w:eastAsia="Arial" w:hAnsi="Arial"/>
          <w:sz w:val="22"/>
          <w:szCs w:val="22"/>
          <w:b w:val="1"/>
          <w:bCs w:val="1"/>
          <w:color w:val="auto"/>
        </w:rPr>
        <w:t>,</w:t>
      </w:r>
      <w:r>
        <w:rPr>
          <w:rFonts w:ascii="Arial" w:cs="Arial" w:eastAsia="Arial" w:hAnsi="Arial"/>
          <w:sz w:val="22"/>
          <w:szCs w:val="22"/>
          <w:color w:val="auto"/>
        </w:rPr>
        <w:t xml:space="preserve"> or the federal courts for the United States for the Northern District of California, and no other courts, where this Award of Restricted Stock is made and/or to be performed.</w:t>
      </w:r>
    </w:p>
    <w:p>
      <w:pPr>
        <w:spacing w:after="0" w:line="193" w:lineRule="exact"/>
        <w:rPr>
          <w:rFonts w:ascii="Arial" w:cs="Arial" w:eastAsia="Arial" w:hAnsi="Arial"/>
          <w:sz w:val="22"/>
          <w:szCs w:val="22"/>
          <w:color w:val="auto"/>
        </w:rPr>
      </w:pPr>
    </w:p>
    <w:p>
      <w:pPr>
        <w:jc w:val="both"/>
        <w:ind w:firstLine="656"/>
        <w:spacing w:after="0" w:line="248" w:lineRule="auto"/>
        <w:tabs>
          <w:tab w:leader="none" w:pos="122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Participant acknowledges that he or she is proficient in the English language, or has consulted with an advisor who is sufficiently proficient in English, so as to allow Participant to understand the terms and conditions of this Award Agreement.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2" w:lineRule="exact"/>
        <w:rPr>
          <w:rFonts w:ascii="Arial" w:cs="Arial" w:eastAsia="Arial" w:hAnsi="Arial"/>
          <w:sz w:val="22"/>
          <w:szCs w:val="22"/>
          <w:color w:val="auto"/>
        </w:rPr>
      </w:pPr>
    </w:p>
    <w:p>
      <w:pPr>
        <w:jc w:val="both"/>
        <w:ind w:firstLine="656"/>
        <w:spacing w:after="0" w:line="297" w:lineRule="auto"/>
        <w:tabs>
          <w:tab w:leader="none" w:pos="114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Addendum</w:t>
      </w:r>
      <w:r>
        <w:rPr>
          <w:rFonts w:ascii="Arial" w:cs="Arial" w:eastAsia="Arial" w:hAnsi="Arial"/>
          <w:sz w:val="19"/>
          <w:szCs w:val="19"/>
          <w:color w:val="auto"/>
        </w:rPr>
        <w:t>. Notwithstanding any provisions in the Award Agreement, the Restricted Stock Unit grant shall be subject to any special terms and conditions set forth in the Addendum, attached as Exhibit B, for Participant’s country.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the Award Agreement.</w:t>
      </w:r>
    </w:p>
    <w:p>
      <w:pPr>
        <w:spacing w:after="0" w:line="147" w:lineRule="exact"/>
        <w:rPr>
          <w:rFonts w:ascii="Arial" w:cs="Arial" w:eastAsia="Arial" w:hAnsi="Arial"/>
          <w:sz w:val="19"/>
          <w:szCs w:val="19"/>
          <w:color w:val="auto"/>
        </w:rPr>
      </w:pPr>
    </w:p>
    <w:p>
      <w:pPr>
        <w:jc w:val="both"/>
        <w:ind w:firstLine="656"/>
        <w:spacing w:after="0" w:line="253" w:lineRule="auto"/>
        <w:tabs>
          <w:tab w:leader="none" w:pos="122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Participant’s participation in the Plan, on the Restricted Stock Unit and on any Shares acquired under the Plan, to the extent the Company determines it is necessary or advisable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64"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for legal or administrative reasons, and to require Participant to sign any additional agreements or undertakings that may be necessary to accomplish the foregoing.</w:t>
      </w:r>
    </w:p>
    <w:p>
      <w:pPr>
        <w:spacing w:after="0" w:line="215" w:lineRule="exact"/>
        <w:rPr>
          <w:sz w:val="20"/>
          <w:szCs w:val="20"/>
          <w:color w:val="auto"/>
        </w:rPr>
      </w:pPr>
    </w:p>
    <w:p>
      <w:pPr>
        <w:jc w:val="both"/>
        <w:ind w:firstLine="656"/>
        <w:spacing w:after="0" w:line="258" w:lineRule="auto"/>
        <w:tabs>
          <w:tab w:leader="none" w:pos="127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Insider Trading / Market Abuse Restrictions</w:t>
      </w:r>
      <w:r>
        <w:rPr>
          <w:rFonts w:ascii="Arial" w:cs="Arial" w:eastAsia="Arial" w:hAnsi="Arial"/>
          <w:sz w:val="21"/>
          <w:szCs w:val="21"/>
          <w:color w:val="auto"/>
        </w:rPr>
        <w:t>. Depending on Participant’s country of residence or the designated broker's country or the country where the Shares are listed, Participant may be subject to insider trading restrictions and/or market abuse laws in applicable jurisdictions, which may affect Participant’s ability to, directly or indirectly, accept, acquire, sell, attempt to sell or otherwise dispose of Shares or rights to Shares (</w:t>
      </w:r>
      <w:r>
        <w:rPr>
          <w:rFonts w:ascii="Arial" w:cs="Arial" w:eastAsia="Arial" w:hAnsi="Arial"/>
          <w:sz w:val="21"/>
          <w:szCs w:val="21"/>
          <w:i w:val="1"/>
          <w:iCs w:val="1"/>
          <w:color w:val="auto"/>
        </w:rPr>
        <w:t>e.g.</w:t>
      </w:r>
      <w:r>
        <w:rPr>
          <w:rFonts w:ascii="Arial" w:cs="Arial" w:eastAsia="Arial" w:hAnsi="Arial"/>
          <w:sz w:val="21"/>
          <w:szCs w:val="21"/>
          <w:color w:val="auto"/>
        </w:rPr>
        <w:t>, the Restricted Stock Units) under the Plan during such times as Participant is considered to have “inside information” regarding the Company (as defined by the laws in the applicable jurisdictions or Participant’s country).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Participant is responsible for ensuring Participant’s compliance with any applicable restrictions and is advised to speak with his or her personal legal advisor on this matter.</w:t>
      </w:r>
    </w:p>
    <w:p>
      <w:pPr>
        <w:spacing w:after="0" w:line="220" w:lineRule="exact"/>
        <w:rPr>
          <w:rFonts w:ascii="Arial" w:cs="Arial" w:eastAsia="Arial" w:hAnsi="Arial"/>
          <w:sz w:val="21"/>
          <w:szCs w:val="21"/>
          <w:color w:val="auto"/>
        </w:rPr>
      </w:pPr>
    </w:p>
    <w:p>
      <w:pPr>
        <w:jc w:val="both"/>
        <w:ind w:firstLine="656"/>
        <w:spacing w:after="0" w:line="246" w:lineRule="auto"/>
        <w:tabs>
          <w:tab w:leader="none" w:pos="113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Foreign Asset/Account, Exchange Control, and Tax Reporting</w:t>
      </w:r>
      <w:r>
        <w:rPr>
          <w:rFonts w:ascii="Arial" w:cs="Arial" w:eastAsia="Arial" w:hAnsi="Arial"/>
          <w:sz w:val="22"/>
          <w:szCs w:val="22"/>
          <w:color w:val="auto"/>
        </w:rPr>
        <w:t>. Depending on Participant’s country, Participant may be subject to foreign asset/account, exchange control and/or tax reporting requirements as a result of the vesting of the Restricted Stock Units, the acquisition, holding, and/or transfer of Shares or cash resulting from participation in the Plan and/or the opening and maintenance of a brokerage or bank account in connection with the Plan. Participant may be required to report such assets, accounts, account balances and values and/or related transactions to the applicable authorities in his or her country. Participant acknowledges that he or she is responsible for ensuring compliance with any applicable foreign asset/account, exchange control and tax reporting requirements. Participant further understands that he or she should consult Participant’s personal legal advisor on these matters.</w:t>
      </w:r>
    </w:p>
    <w:p>
      <w:pPr>
        <w:spacing w:after="0" w:line="235" w:lineRule="exact"/>
        <w:rPr>
          <w:rFonts w:ascii="Arial" w:cs="Arial" w:eastAsia="Arial" w:hAnsi="Arial"/>
          <w:sz w:val="22"/>
          <w:szCs w:val="22"/>
          <w:color w:val="auto"/>
        </w:rPr>
      </w:pPr>
    </w:p>
    <w:p>
      <w:pPr>
        <w:jc w:val="both"/>
        <w:ind w:firstLine="656"/>
        <w:spacing w:after="0" w:line="253" w:lineRule="auto"/>
        <w:tabs>
          <w:tab w:leader="none" w:pos="11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226" w:lineRule="exact"/>
        <w:rPr>
          <w:rFonts w:ascii="Arial" w:cs="Arial" w:eastAsia="Arial" w:hAnsi="Arial"/>
          <w:sz w:val="22"/>
          <w:szCs w:val="22"/>
          <w:color w:val="auto"/>
        </w:rPr>
      </w:pPr>
    </w:p>
    <w:p>
      <w:pPr>
        <w:jc w:val="both"/>
        <w:ind w:firstLine="656"/>
        <w:spacing w:after="0" w:line="292" w:lineRule="auto"/>
        <w:tabs>
          <w:tab w:leader="none" w:pos="122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Recovery of Erroneously Awarded Compensation</w:t>
      </w:r>
      <w:r>
        <w:rPr>
          <w:rFonts w:ascii="Arial" w:cs="Arial" w:eastAsia="Arial" w:hAnsi="Arial"/>
          <w:sz w:val="19"/>
          <w:szCs w:val="19"/>
          <w:color w:val="auto"/>
        </w:rPr>
        <w:t>. As an additional condition of receiving this Award, Participant agrees that the Restricted Stock Unit and any proceeds or other benefits Participant may receive hereunder shall be subject to clawback, recovery or recoupment provisions by the Company to the extent and in the manner required (i) under the terms of any clawback policy adopted by the Company, as may be amended from time to time, pursuant to the listing standards and/or the rules and regulations of any national securities exchange or association on which the Shares are listed, or (ii) to comply with any requirements imposed under Applicable Laws including, without limitation, the Dodd-Frank Wall Street Reform and Consumer Protection Act. Further, as the Committee determines necessary or appropriate, the Committee may impose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64" w:right="239" w:bottom="1440" w:gutter="0" w:footer="0" w:header="0"/>
        </w:sectPr>
      </w:pPr>
    </w:p>
    <w:bookmarkStart w:id="127" w:name="page128"/>
    <w:bookmarkEnd w:id="127"/>
    <w:p>
      <w:pPr>
        <w:spacing w:after="0" w:line="263" w:lineRule="auto"/>
        <w:rPr>
          <w:sz w:val="20"/>
          <w:szCs w:val="20"/>
          <w:color w:val="auto"/>
        </w:rPr>
      </w:pPr>
      <w:r>
        <w:rPr>
          <w:rFonts w:ascii="Arial" w:cs="Arial" w:eastAsia="Arial" w:hAnsi="Arial"/>
          <w:sz w:val="22"/>
          <w:szCs w:val="22"/>
          <w:color w:val="auto"/>
        </w:rPr>
        <w:t>reacquisition right with respect to previously-acquired Shares or other cash or property upon the occurrence of cause (as determined by the Committee).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64" w:right="239" w:bottom="1440" w:gutter="0" w:footer="0" w:header="0"/>
        </w:sectPr>
      </w:pPr>
    </w:p>
    <w:bookmarkStart w:id="128" w:name="page129"/>
    <w:bookmarkEnd w:id="128"/>
    <w:p>
      <w:pPr>
        <w:ind w:left="516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ADDENDUM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Capitalized terms used but not defined herein shall have the meanings set forth in the Plan, the Notice of Grant and/or the Terms and Conditions of Restricted Stock Unit Grant.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Addendum includes additional terms and conditions that govern the Restricted Stock Units granted to Participant under the Plan if Participant resides and/or works in one of the countries listed below. This Addendum forms part of the Award Agreement.</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June 2019.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vests in the Restricted Stock Units or sells Shares acquired under the Plan.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8" w:right="2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EUROPEAN UNION / EUROPEAN ECONOMIC AREA INCLUDING THE UNITED KINGDOM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Authorization to Release and Transfer Necessary Personal Information</w:t>
      </w:r>
      <w:r>
        <w:rPr>
          <w:rFonts w:ascii="Arial" w:cs="Arial" w:eastAsia="Arial" w:hAnsi="Arial"/>
          <w:sz w:val="19"/>
          <w:szCs w:val="19"/>
          <w:color w:val="auto"/>
        </w:rPr>
        <w:t>. This provision replaces in its entirety Section 13 (Data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Privacy) of the Award Agreement:</w:t>
      </w:r>
    </w:p>
    <w:p>
      <w:pPr>
        <w:spacing w:after="0" w:line="242" w:lineRule="exact"/>
        <w:rPr>
          <w:sz w:val="20"/>
          <w:szCs w:val="20"/>
          <w:color w:val="auto"/>
        </w:rPr>
      </w:pPr>
    </w:p>
    <w:p>
      <w:pPr>
        <w:jc w:val="both"/>
        <w:ind w:left="660" w:hanging="328"/>
        <w:spacing w:after="0" w:line="250"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Participant is hereby notified of the collection, use and transfer outside of the European Economic Area, as described in the Award Agreement, in electronic or other form, of Participant’s Data (defined below) by and among, as applicable, the Company and its Subsidiaries for the exclusive and legitimate purpose of implementing, administering and managing Participant’s participation in the Plan.</w:t>
      </w:r>
    </w:p>
    <w:p>
      <w:pPr>
        <w:spacing w:after="0" w:line="228"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Participant understands that the Company and its Subsidiaries may hold certain personal information about Participant, including, but not limited to, Participant’s name, home address and telephone number, email address, date of birth, social insurance, passport or other identification number, salary, nationality, job title, any shares of stock or directorships held in the Company, details of all entitlement to Shares awarded, canceled, vested, unvested, exercised or outstanding in Participant’s favor (“Data”), for the purpose of implementing, administering and managing the Plan.</w:t>
      </w:r>
    </w:p>
    <w:p>
      <w:pPr>
        <w:spacing w:after="0" w:line="187" w:lineRule="exact"/>
        <w:rPr>
          <w:rFonts w:ascii="Arial" w:cs="Arial" w:eastAsia="Arial" w:hAnsi="Arial"/>
          <w:sz w:val="19"/>
          <w:szCs w:val="19"/>
          <w:color w:val="auto"/>
        </w:rPr>
      </w:pPr>
    </w:p>
    <w:p>
      <w:pPr>
        <w:jc w:val="both"/>
        <w:ind w:left="660" w:hanging="328"/>
        <w:spacing w:after="0" w:line="247"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Participant understands that providing the Company with this Data is necessary for the performance of the Award Agreement and that Participant’s refusal to provide the Data would make it impossible for the Company to perform its contractual obligations and may affect Participant’s ability to participate in the Plan. Participant’s Data will be accessible within the Company as described in the [Fortinet Data Privacy Policy] and only by the persons specifically charged with Data processing operations and by the persons that need to access the Data because of their duties and position in relation to the performance of the Award Agreement.</w:t>
      </w:r>
    </w:p>
    <w:p>
      <w:pPr>
        <w:spacing w:after="0" w:line="234" w:lineRule="exact"/>
        <w:rPr>
          <w:rFonts w:ascii="Arial" w:cs="Arial" w:eastAsia="Arial" w:hAnsi="Arial"/>
          <w:sz w:val="22"/>
          <w:szCs w:val="22"/>
          <w:color w:val="auto"/>
        </w:rPr>
      </w:pPr>
    </w:p>
    <w:p>
      <w:pPr>
        <w:jc w:val="both"/>
        <w:ind w:left="660" w:hanging="328"/>
        <w:spacing w:after="0" w:line="294"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Company will use Participant’s Data only as long as is necessary to implement, administer and manage Participant’s participation in the Plan or as required to comply with legal or regulatory obligations, including under tax and security laws. When the Company no longer needs Participant’s Data, it will remove it from it from its systems. If the Company keeps data longer, it would be to satisfy legal or regulatory obligations and the Company’s legal basis would be relevant laws or regulations. The collection, use and transfer of Data for the purpose of implementing, administering and managing Participant’s participation in the Plan is conducted in accordance with the [Fortinet Data Privacy Policy].</w:t>
      </w:r>
    </w:p>
    <w:p>
      <w:pPr>
        <w:spacing w:after="0" w:line="190" w:lineRule="exact"/>
        <w:rPr>
          <w:rFonts w:ascii="Arial" w:cs="Arial" w:eastAsia="Arial" w:hAnsi="Arial"/>
          <w:sz w:val="19"/>
          <w:szCs w:val="19"/>
          <w:color w:val="auto"/>
        </w:rPr>
      </w:pPr>
    </w:p>
    <w:p>
      <w:pPr>
        <w:jc w:val="both"/>
        <w:ind w:left="660" w:hanging="328"/>
        <w:spacing w:after="0" w:line="265" w:lineRule="auto"/>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Further, Participant understands that the Company will transfer Data to Charles Schwab &amp; Co., Inc. (“Schwab”), and/or such other third parties as may be selected by the Company, which are assisting the Company with the implementation, administration and management of the Plan. The Company may select a different service provider or additional service providers and share Data with such other provider(s) serving in a similar manner. Participant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8" w:right="239" w:bottom="1440" w:gutter="0" w:footer="0" w:header="0"/>
        </w:sectPr>
      </w:pPr>
    </w:p>
    <w:bookmarkStart w:id="130" w:name="page131"/>
    <w:bookmarkEnd w:id="130"/>
    <w:p>
      <w:pPr>
        <w:ind w:left="660"/>
        <w:spacing w:after="0" w:line="232" w:lineRule="auto"/>
        <w:rPr>
          <w:sz w:val="20"/>
          <w:szCs w:val="20"/>
          <w:color w:val="auto"/>
        </w:rPr>
      </w:pPr>
      <w:r>
        <w:rPr>
          <w:rFonts w:ascii="Arial" w:cs="Arial" w:eastAsia="Arial" w:hAnsi="Arial"/>
          <w:sz w:val="22"/>
          <w:szCs w:val="22"/>
          <w:color w:val="auto"/>
        </w:rPr>
        <w:t>may be asked to agree on separate terms and data processing practices with the service provider, with such agreement being a condition of the ability to participate in the Plan.</w:t>
      </w:r>
    </w:p>
    <w:p>
      <w:pPr>
        <w:spacing w:after="0" w:line="227" w:lineRule="exact"/>
        <w:rPr>
          <w:sz w:val="20"/>
          <w:szCs w:val="20"/>
          <w:color w:val="auto"/>
        </w:rPr>
      </w:pPr>
    </w:p>
    <w:p>
      <w:pPr>
        <w:jc w:val="both"/>
        <w:ind w:left="660" w:hanging="328"/>
        <w:spacing w:after="0" w:line="248"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Schwab is based in the United States. If Participant is outside of the United States, Participant should note that his or her country has enacted data privacy laws that are different from the United States. When transferring Data to Schwab, the Company and its Subsidiaries provide appropriate safeguards described in the [Fortinet Data Privacy Policy]. By participating in the Plan, Participant agrees to the transfer of his or her Data to Schwab for the exclusive purpose of administering participation in the Plan.</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 xml:space="preserve">Finally, Participant may choose to opt out of allowing the Company to share Data with Schwab and others as described above, although execution of such choice may mean the Company cannot grant awards under the Plan to Participant. For questions about this choice or to make this choice, you should refer to the [Fortinet Data Privacy Policy] or contact </w:t>
      </w:r>
      <w:r>
        <w:rPr>
          <w:rFonts w:ascii="Arial" w:cs="Arial" w:eastAsia="Arial" w:hAnsi="Arial"/>
          <w:sz w:val="22"/>
          <w:szCs w:val="22"/>
          <w:color w:val="1F497D"/>
        </w:rPr>
        <w:t>[Insert data Privacy department</w:t>
      </w:r>
      <w:r>
        <w:rPr>
          <w:rFonts w:ascii="Arial" w:cs="Arial" w:eastAsia="Arial" w:hAnsi="Arial"/>
          <w:sz w:val="22"/>
          <w:szCs w:val="22"/>
          <w:color w:val="auto"/>
        </w:rPr>
        <w:t xml:space="preserve"> </w:t>
      </w:r>
      <w:r>
        <w:rPr>
          <w:rFonts w:ascii="Arial" w:cs="Arial" w:eastAsia="Arial" w:hAnsi="Arial"/>
          <w:sz w:val="22"/>
          <w:szCs w:val="22"/>
          <w:color w:val="1F497D"/>
        </w:rPr>
        <w:t xml:space="preserve">email or other contact] </w:t>
      </w:r>
      <w:r>
        <w:rPr>
          <w:rFonts w:ascii="Arial" w:cs="Arial" w:eastAsia="Arial" w:hAnsi="Arial"/>
          <w:sz w:val="22"/>
          <w:szCs w:val="22"/>
          <w:color w:val="000000"/>
        </w:rPr>
        <w:t>if there are additional questions.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ALGERIA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Restricted Stock Units Payable Only in Cash</w:t>
      </w:r>
      <w:r>
        <w:rPr>
          <w:rFonts w:ascii="Arial" w:cs="Arial" w:eastAsia="Arial" w:hAnsi="Arial"/>
          <w:sz w:val="22"/>
          <w:szCs w:val="22"/>
          <w:color w:val="auto"/>
        </w:rPr>
        <w:t>. Notwithstanding Section 2 of the Award Agreement, the grant of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does not provide any right for Participant to receive Shares. Restricted Stock Units granted to Participants in Algeria shall be paid only in cash through local payroll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ARGENTINA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offering of the Restricted Stock Units pursuant to the Award Agreement is a private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Neither the Restricted Stock Units nor the underlying Shares are publicly offered or listed on any stock exchange in Argentina.</w:t>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Following the sale of Shares and/or the receipt of dividends, Argentine residents may be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certain restrictions in bringing such funds back into Argentina. Argentine residents are solely responsible for complying with the exchange control rules that may apply in connection with participation in the Plan and/or the transfer of proceeds from the sale of Shares acquired under the Plan into Argentina. Prior to selling any Shares or transferring cash proceeds into Argentina, Argentine residents should consult their local bank and/or exchange control advisor to confirm the requirements as interpretations of the applicable Argentine Central Bank regulations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7" w:right="239" w:bottom="1440" w:gutter="0" w:footer="0" w:header="0"/>
        </w:sectPr>
      </w:pPr>
    </w:p>
    <w:bookmarkStart w:id="131" w:name="page132"/>
    <w:bookmarkEnd w:id="131"/>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Information. </w:t>
      </w:r>
      <w:r>
        <w:rPr>
          <w:rFonts w:ascii="Arial" w:cs="Arial" w:eastAsia="Arial" w:hAnsi="Arial"/>
          <w:sz w:val="22"/>
          <w:szCs w:val="22"/>
          <w:color w:val="auto"/>
        </w:rPr>
        <w:t>If Participant holds Shares as of December 31 of any year, Participant is required to report</w:t>
      </w:r>
      <w:r>
        <w:rPr>
          <w:rFonts w:ascii="Arial" w:cs="Arial" w:eastAsia="Arial" w:hAnsi="Arial"/>
          <w:sz w:val="22"/>
          <w:szCs w:val="22"/>
          <w:b w:val="1"/>
          <w:bCs w:val="1"/>
          <w:color w:val="auto"/>
        </w:rPr>
        <w:t xml:space="preserve"> </w:t>
      </w:r>
      <w:r>
        <w:rPr>
          <w:rFonts w:ascii="Arial" w:cs="Arial" w:eastAsia="Arial" w:hAnsi="Arial"/>
          <w:sz w:val="22"/>
          <w:szCs w:val="22"/>
          <w:color w:val="auto"/>
        </w:rPr>
        <w:t>the holding of the Shares on his or her personal tax return for the relevant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Australian Offer Document</w:t>
      </w:r>
      <w:r>
        <w:rPr>
          <w:rFonts w:ascii="Arial" w:cs="Arial" w:eastAsia="Arial" w:hAnsi="Arial"/>
          <w:sz w:val="19"/>
          <w:szCs w:val="19"/>
          <w:color w:val="auto"/>
        </w:rPr>
        <w:t>. The offer of Restricted Stock Units is intended to comply with the provisions of the Corporations</w:t>
      </w:r>
      <w:r>
        <w:rPr>
          <w:rFonts w:ascii="Arial" w:cs="Arial" w:eastAsia="Arial" w:hAnsi="Arial"/>
          <w:sz w:val="19"/>
          <w:szCs w:val="19"/>
          <w:b w:val="1"/>
          <w:bCs w:val="1"/>
          <w:color w:val="auto"/>
        </w:rPr>
        <w:t xml:space="preserve"> </w:t>
      </w:r>
      <w:r>
        <w:rPr>
          <w:rFonts w:ascii="Arial" w:cs="Arial" w:eastAsia="Arial" w:hAnsi="Arial"/>
          <w:sz w:val="19"/>
          <w:szCs w:val="19"/>
          <w:color w:val="auto"/>
        </w:rPr>
        <w:t>Act 2001, ASIC Regulatory Guide 49 and ASIC Class Order CO 14/1000. Additional details are set forth in the Offer Document for the offer of Stock Units to Australian resident employees, which will be provided to Participant with the Award Agreement.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The Plan is a plan to which subdivision 83A-C of the Income Tax Assessment Act 1997 (Cth) applies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in the Act).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Exchange Control Information</w:t>
      </w:r>
      <w:r>
        <w:rPr>
          <w:rFonts w:ascii="Arial" w:cs="Arial" w:eastAsia="Arial" w:hAnsi="Arial"/>
          <w:sz w:val="22"/>
          <w:szCs w:val="22"/>
          <w:color w:val="auto"/>
        </w:rPr>
        <w:t>. Exchange control reporting is required for cash transactions exceeding A$10,000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fund transfers. The Australian bank assisting with the transaction will file the report. If there is no Australian bank involved in the transfer, then Participant will be required to file the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Participant holds Shares acquired under the Plan outside of Austria, Participant must submit a</w:t>
      </w:r>
      <w:r>
        <w:rPr>
          <w:rFonts w:ascii="Arial" w:cs="Arial" w:eastAsia="Arial" w:hAnsi="Arial"/>
          <w:sz w:val="22"/>
          <w:szCs w:val="22"/>
          <w:b w:val="1"/>
          <w:bCs w:val="1"/>
          <w:color w:val="auto"/>
        </w:rPr>
        <w:t xml:space="preserve"> </w:t>
      </w:r>
      <w:r>
        <w:rPr>
          <w:rFonts w:ascii="Arial" w:cs="Arial" w:eastAsia="Arial" w:hAnsi="Arial"/>
          <w:sz w:val="22"/>
          <w:szCs w:val="22"/>
          <w:color w:val="auto"/>
        </w:rPr>
        <w:t>report to the Austrian National Bank. An exemption applies if the value of the Shares as of any given quarter is less than €30,000,000 or as of December 31 is less than €5,000,000. If the former threshold is exceeded, quarterly obligations are imposed, whereas if the latter threshold is exceeded, annual reports must be given. The annual reporting date is December 31 and the deadline for filing the annual report is January 31 of the following year.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When Participant sells Shares acquired under the Plan or receives a dividend payment, there may be exchange control obligations if the cash proceeds are held outside of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 If the transaction value of all cash accounts abroad is less than €10,000,000, no ongoing reporting requirements apply.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8"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Information. </w:t>
      </w:r>
      <w:r>
        <w:rPr>
          <w:rFonts w:ascii="Arial" w:cs="Arial" w:eastAsia="Arial" w:hAnsi="Arial"/>
          <w:sz w:val="22"/>
          <w:szCs w:val="22"/>
          <w:color w:val="auto"/>
        </w:rPr>
        <w:t>Belgian residents are required to report any security or bank accounts (including brokerage</w:t>
      </w:r>
      <w:r>
        <w:rPr>
          <w:rFonts w:ascii="Arial" w:cs="Arial" w:eastAsia="Arial" w:hAnsi="Arial"/>
          <w:sz w:val="22"/>
          <w:szCs w:val="22"/>
          <w:b w:val="1"/>
          <w:bCs w:val="1"/>
          <w:color w:val="auto"/>
        </w:rPr>
        <w:t xml:space="preserve"> </w:t>
      </w:r>
      <w:r>
        <w:rPr>
          <w:rFonts w:ascii="Arial" w:cs="Arial" w:eastAsia="Arial" w:hAnsi="Arial"/>
          <w:sz w:val="22"/>
          <w:szCs w:val="22"/>
          <w:color w:val="auto"/>
        </w:rPr>
        <w:t>accounts) opened and maintained outside Belgium on his or her annual tax return. In a separate report, they must provide the National Bank of Belgium with certain details regarding such foreign accounts (including the account number, bank name, and country in which such account was opened). The forms to complete this report are available on the website of the National Bank of Belgium.</w:t>
      </w:r>
    </w:p>
    <w:p>
      <w:pPr>
        <w:spacing w:after="0" w:line="18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Stock Exchange Tax. </w:t>
      </w:r>
      <w:r>
        <w:rPr>
          <w:rFonts w:ascii="Arial" w:cs="Arial" w:eastAsia="Arial" w:hAnsi="Arial"/>
          <w:sz w:val="19"/>
          <w:szCs w:val="19"/>
          <w:color w:val="auto"/>
        </w:rPr>
        <w:t>A stock exchange tax applies to transactions executed by a Belgian resident through a non-Belgian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intermediary, such as a U.S. broker. The stock exchange tax likely will apply when the Shares are sold. Participant should consult with his or her personal tax advisor for additional details on obligations with respect to the stock exchange tax.</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Brokerage Account Tax. </w:t>
      </w:r>
      <w:r>
        <w:rPr>
          <w:rFonts w:ascii="Arial" w:cs="Arial" w:eastAsia="Arial" w:hAnsi="Arial"/>
          <w:sz w:val="19"/>
          <w:szCs w:val="19"/>
          <w:color w:val="auto"/>
        </w:rPr>
        <w:t>Participant may be subject to a brokerage account tax if the average annual value of securities (including</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Shares acquired under the Plan) held in a brokerage account exceeds certain thresholds. As the calculation of this tax is complex,</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Participant should consult with their personal tax advisor for more details.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Restricted Stock Units, Participant acknowledges his or her agreement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Brazilian laws and to pay any and all applicable taxes associated with the vesting of the Restricted Stock Units, and the sale of Shares acquired under the Plan and the receipt of any dividends or Dividend Equivalents.</w:t>
      </w:r>
    </w:p>
    <w:p>
      <w:pPr>
        <w:spacing w:after="0" w:line="15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Labor Law Acknowledgement</w:t>
      </w:r>
      <w:r>
        <w:rPr>
          <w:rFonts w:ascii="Arial" w:cs="Arial" w:eastAsia="Arial" w:hAnsi="Arial"/>
          <w:sz w:val="19"/>
          <w:szCs w:val="19"/>
          <w:color w:val="auto"/>
        </w:rPr>
        <w:t>. By accepting the Restricted Stock Units, Participant agrees that Participant is (i) making an</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decision, (ii) Shares will be issued to Participant only if the vesting conditions are met and (iii) the value of the underlying Shares is not fixed and may increase or decrease in value over the vesting period without compensation to Participant.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Participant is resident or domiciled in Brazil, Participant will be required to submit annually a</w:t>
      </w:r>
      <w:r>
        <w:rPr>
          <w:rFonts w:ascii="Arial" w:cs="Arial" w:eastAsia="Arial" w:hAnsi="Arial"/>
          <w:sz w:val="19"/>
          <w:szCs w:val="19"/>
          <w:b w:val="1"/>
          <w:bCs w:val="1"/>
          <w:color w:val="auto"/>
        </w:rPr>
        <w:t xml:space="preserve"> </w:t>
      </w:r>
      <w:r>
        <w:rPr>
          <w:rFonts w:ascii="Arial" w:cs="Arial" w:eastAsia="Arial" w:hAnsi="Arial"/>
          <w:sz w:val="19"/>
          <w:szCs w:val="19"/>
          <w:color w:val="auto"/>
        </w:rPr>
        <w:t>declaration of assets and rights held outside of Brazil to the Central Bank of Brazil if the aggregate value of such assets and rights is equal to or greater than US$100,000. Assets and rights that must be reported include Shares acquired under the Plan.</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Tax on Financial Transactions (IOF)</w:t>
      </w:r>
      <w:r>
        <w:rPr>
          <w:rFonts w:ascii="Arial" w:cs="Arial" w:eastAsia="Arial" w:hAnsi="Arial"/>
          <w:sz w:val="22"/>
          <w:szCs w:val="22"/>
          <w:color w:val="auto"/>
        </w:rPr>
        <w:t>. Repatriation of funds into Brazil and the conversion between BRL and USD associated</w:t>
      </w:r>
      <w:r>
        <w:rPr>
          <w:rFonts w:ascii="Arial" w:cs="Arial" w:eastAsia="Arial" w:hAnsi="Arial"/>
          <w:sz w:val="22"/>
          <w:szCs w:val="22"/>
          <w:b w:val="1"/>
          <w:bCs w:val="1"/>
          <w:color w:val="auto"/>
        </w:rPr>
        <w:t xml:space="preserve"> </w:t>
      </w:r>
      <w:r>
        <w:rPr>
          <w:rFonts w:ascii="Arial" w:cs="Arial" w:eastAsia="Arial" w:hAnsi="Arial"/>
          <w:sz w:val="22"/>
          <w:szCs w:val="22"/>
          <w:color w:val="auto"/>
        </w:rPr>
        <w:t>with such fund transfers may be subject to the Tax on Financial Transactions. It is Participant’s responsibility to comply with any applicable Tax on Financial Transactions arising from Participant’s participation in the Plan. Participant should consult with his or her personal tax advisor for additional details.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8"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CAMBODIA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the grant of Restricted Stock Units does not provide any right for Participant to receive a cash payment, and the Restricted Stock Units are payable in Shares only.</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Forfeiture upon Termination of Status as a Service Provider</w:t>
      </w:r>
      <w:r>
        <w:rPr>
          <w:rFonts w:ascii="Arial" w:cs="Arial" w:eastAsia="Arial" w:hAnsi="Arial"/>
          <w:sz w:val="22"/>
          <w:szCs w:val="22"/>
          <w:color w:val="auto"/>
        </w:rPr>
        <w:t>. The following provision replaces Section 6 of the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Except as otherwise provided in the Plan or the Award Agreement, the balance of the Restricted Stock Units that have not vested as of the time of Participant’s termination as a Service Provider (for any or no reason and whether or not later found to be invalid or in breach of Canadian laws or the terms of the Participant’s employment or service agreement, if any), and Participant’s right to acquire any Shares hereunder, will immediately terminate upon Participant’s termination as a Service Provider. For purposes of the preceding sentence, the Participant’s right to vest in the Restricted Stock Units will terminate effective as of the date that is the earlier of (1) the date Participant’s status as a Service Provider is terminated, (2) the date Participant receives notice of termination of service from the Employer, or (3) the date the Participant is no longer actively providing service. The right to vest in the Restricted Stock Units will not be extended by any notice period (e.g., active service would not include any contractual notice period or any period of “garden leave” or similar period mandated under Canadian laws or the terms of the Participant’s employment or service agreement, if any); the Administrator shall have the exclusive discretion to determine when the Participant is no longer actively providing service for purposes of the Restricted Stock Units grant (including whether Participant may still be considered to be a Service Provider while on a leave of absence).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following provisions will apply if Participant is a resident of Quebec</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this Award Agreement, as well as all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notices 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Les parties reconnaissent avoir expressement souhaité que la convention [“Award Agreement”], ainsi que tous les documents, avis et procédures judiciaries, éxecutés, donnés ou intentés en vertu de, ou lié, directement ou indirectement à la présente convention, soient rédigés en langue anglaise.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and Consent. </w:t>
      </w:r>
      <w:r>
        <w:rPr>
          <w:rFonts w:ascii="Arial" w:cs="Arial" w:eastAsia="Arial" w:hAnsi="Arial"/>
          <w:sz w:val="22"/>
          <w:szCs w:val="22"/>
          <w:color w:val="auto"/>
        </w:rPr>
        <w:t>This provision supplements Section 13 of the Award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8" w:right="239" w:bottom="1440" w:gutter="0" w:footer="0" w:header="0"/>
        </w:sectPr>
      </w:pPr>
    </w:p>
    <w:bookmarkStart w:id="134" w:name="page135"/>
    <w:bookmarkEnd w:id="134"/>
    <w:p>
      <w:pPr>
        <w:jc w:val="both"/>
        <w:spacing w:after="0" w:line="248" w:lineRule="auto"/>
        <w:rPr>
          <w:sz w:val="20"/>
          <w:szCs w:val="20"/>
          <w:color w:val="auto"/>
        </w:rPr>
      </w:pPr>
      <w:r>
        <w:rPr>
          <w:rFonts w:ascii="Arial" w:cs="Arial" w:eastAsia="Arial" w:hAnsi="Arial"/>
          <w:sz w:val="22"/>
          <w:szCs w:val="22"/>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or Subsidiary or designated broker and the administrator of the Plan to disclose and discuss the Plan with their advisors. Participant further authorizes the Company and any Parent or Subsidiary to record such information and to keep such information in Participant’s file.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Participant is permitted to sell Shares acquired under the Plan through the designated broker</w:t>
      </w:r>
      <w:r>
        <w:rPr>
          <w:rFonts w:ascii="Arial" w:cs="Arial" w:eastAsia="Arial" w:hAnsi="Arial"/>
          <w:sz w:val="19"/>
          <w:szCs w:val="19"/>
          <w:b w:val="1"/>
          <w:bCs w:val="1"/>
          <w:color w:val="auto"/>
        </w:rPr>
        <w:t xml:space="preserve"> </w:t>
      </w:r>
      <w:r>
        <w:rPr>
          <w:rFonts w:ascii="Arial" w:cs="Arial" w:eastAsia="Arial" w:hAnsi="Arial"/>
          <w:sz w:val="19"/>
          <w:szCs w:val="19"/>
          <w:color w:val="auto"/>
        </w:rPr>
        <w:t>appointed under the Plan, if any, provided the resale of Shares acquired under the Plan takes place outside of Canada through the facilities of a stock exchange on which the Shares are listed. The Shares are currently listed on the Nasdaq</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Foreign specified property (including shares of Common Stock acquired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of a non-Canadian company held by a Canadian resident must be reported annually on form T1135 (Foreign Income Verification Statement) if the total cost of the foreign specified property exceeds C$100,000 at any time in the year. The option to purchase Shares must be reported (generally at nil cost) if the C$100,000 threshold is exceeded because of other foreign specified property held. Foreign specified property also includes Shares acquired under the Plan and their cost is generally the adjusted cost base (“ACB”) of the Shares. The ACB ordinarily would equal the fair market value of the Shares at acquisition, but if a participant owns other Shares, this ACB may have to be averaged with the ACB of the other shares. The form must be filed by April 30 of the following year. Participant should consult his or her personal legal advisor to ensure compliance with applicable reporting obligations.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This grant of Restricted Stock Units constitutes a private offering of securities in Chile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date. This offer of Restricted Stock Units is made subject to general ruling n° 336 of the Chilean Commission for the Financial Market (“CMF”). The offer refers to securities not registered at the securities registry or at the foreign securities registry of the CMF, and, therefore, such securities are not subject to oversight of the CMF. Given that the Restricted Stock Units are not registered in Chile, the Company is not required to provide public information about the Restricted Stock Units or the Shares in Chile. Unless the Restricted Stock Units and/or the Shares are registered with the CMF, a public offering of such securities cannot be made in Chile.</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color w:val="auto"/>
        </w:rPr>
        <w:t>Esta Oferta de Unidades de Acciones Restringidas constituye una oferta privada de valores en Chile y se inicia en la fecha de la oferta. Esta oferta de Unidades de Acciones Restringidas se acoge a las disposiciones de la Norma de Carácter General Nº 336 (“NCG 336”) de la Comision para el Mercado Financiero de Chile (“CMF”). Esta oferta versa sobre valores no inscritos en el Registro de Valores o en el Registro de Valores Extranjeros que lleva la CMF, por lo que tales valores no están sujetos a la fiscalización de ésta. Por tratarse de valores no inscritos en Chile no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64" w:right="239" w:bottom="1440" w:gutter="0" w:footer="0" w:header="0"/>
        </w:sectPr>
      </w:pPr>
    </w:p>
    <w:bookmarkStart w:id="135" w:name="page136"/>
    <w:bookmarkEnd w:id="135"/>
    <w:p>
      <w:pPr>
        <w:jc w:val="both"/>
        <w:spacing w:after="0" w:line="343" w:lineRule="auto"/>
        <w:rPr>
          <w:sz w:val="20"/>
          <w:szCs w:val="20"/>
          <w:color w:val="auto"/>
        </w:rPr>
      </w:pPr>
      <w:r>
        <w:rPr>
          <w:rFonts w:ascii="Arial" w:cs="Arial" w:eastAsia="Arial" w:hAnsi="Arial"/>
          <w:sz w:val="19"/>
          <w:szCs w:val="19"/>
          <w:i w:val="1"/>
          <w:iCs w:val="1"/>
          <w:color w:val="auto"/>
        </w:rPr>
        <w:t>existe la obligación por parte de la Compañía de entregar en Chile información pública respecto de los mismos. Estos valores no podrán ser objeto de oferta pública en Chile mientras no sean inscritos en el Registro de Valores correspondiente.</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and Tax Information. </w:t>
      </w:r>
      <w:r>
        <w:rPr>
          <w:rFonts w:ascii="Arial" w:cs="Arial" w:eastAsia="Arial" w:hAnsi="Arial"/>
          <w:sz w:val="22"/>
          <w:szCs w:val="22"/>
          <w:color w:val="auto"/>
        </w:rPr>
        <w:t>Participant is not required to repatriate proceeds obtained from the sale of Shares or</w:t>
      </w:r>
      <w:r>
        <w:rPr>
          <w:rFonts w:ascii="Arial" w:cs="Arial" w:eastAsia="Arial" w:hAnsi="Arial"/>
          <w:sz w:val="22"/>
          <w:szCs w:val="22"/>
          <w:b w:val="1"/>
          <w:bCs w:val="1"/>
          <w:color w:val="auto"/>
        </w:rPr>
        <w:t xml:space="preserve"> </w:t>
      </w:r>
      <w:r>
        <w:rPr>
          <w:rFonts w:ascii="Arial" w:cs="Arial" w:eastAsia="Arial" w:hAnsi="Arial"/>
          <w:sz w:val="22"/>
          <w:szCs w:val="22"/>
          <w:color w:val="auto"/>
        </w:rPr>
        <w:t>from dividends or Dividend Equivalents to Chile; however, if Participant decides to repatriate proceeds from the sale of Shares and/or dividends or Dividend Equivalents and the amount of the proceeds to be repatriated exceeds US$10,000, Participant acknowledges that he or she must effect such repatriation through the Formal Exchange Market (</w:t>
      </w:r>
      <w:r>
        <w:rPr>
          <w:rFonts w:ascii="Arial" w:cs="Arial" w:eastAsia="Arial" w:hAnsi="Arial"/>
          <w:sz w:val="22"/>
          <w:szCs w:val="22"/>
          <w:i w:val="1"/>
          <w:iCs w:val="1"/>
          <w:color w:val="auto"/>
        </w:rPr>
        <w:t>i.e.</w:t>
      </w:r>
      <w:r>
        <w:rPr>
          <w:rFonts w:ascii="Arial" w:cs="Arial" w:eastAsia="Arial" w:hAnsi="Arial"/>
          <w:sz w:val="22"/>
          <w:szCs w:val="22"/>
          <w:color w:val="auto"/>
        </w:rPr>
        <w:t>, a commercial bank or registered foreign exchange office).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Further, if the value of Participant’s aggregate investments held outside of Chile exceed US$5,000,000 (including the value of Shares acquired under the Plan), Participant must report the status of such investments annually to the Central Bank using Annex 3.1 of Chapter XII of the Foreign Exchange Regulations.</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Chilean Internal Revenue Service (the “CIRS”) requires all taxpayers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information annually regarding (i) the results of investments held abroad and (ii) any taxes paid abroad which taxpayers will use as a credit against Chilean income tax. The sworn statements disclosing this information (or Formularios) must be submitted electronically through the CIRS website, www.sii.cl, using Form 1929, which is due on June 30 each year.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u w:val="single" w:color="auto"/>
          <w:color w:val="auto"/>
        </w:rPr>
        <w:t>The following provisions will apply to Participants who are subject to PRC exchange control restrictions, as determined by the Company in its sole discretion</w:t>
      </w:r>
      <w:r>
        <w:rPr>
          <w:rFonts w:ascii="Arial" w:cs="Arial" w:eastAsia="Arial" w:hAnsi="Arial"/>
          <w:sz w:val="22"/>
          <w:szCs w:val="22"/>
          <w:b w:val="1"/>
          <w:bCs w:val="1"/>
          <w:color w:val="auto"/>
        </w:rPr>
        <w:t>:</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Immediate Sale Restriction. </w:t>
      </w:r>
      <w:r>
        <w:rPr>
          <w:rFonts w:ascii="Arial" w:cs="Arial" w:eastAsia="Arial" w:hAnsi="Arial"/>
          <w:sz w:val="19"/>
          <w:szCs w:val="19"/>
          <w:color w:val="auto"/>
        </w:rPr>
        <w:t>Notwithstanding anything to the contrary in the Plan or Award Agreement, due to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China, Participant agrees that any Shares acquired at vesting of the Restricted Stock Units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 in China has not been obtained, the Company retains the discretion to postpone the issuance of the Shares subject to Participant’s vested Restricted Stock Units until such time that the sale is again permissible and to then immediately sell the Shares subject to the Restricted Stock Units.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Restricted Stock Units has been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64" w:right="239" w:bottom="1440" w:gutter="0" w:footer="0" w:header="0"/>
        </w:sectPr>
      </w:pPr>
    </w:p>
    <w:bookmarkStart w:id="136" w:name="page137"/>
    <w:bookmarkEnd w:id="136"/>
    <w:p>
      <w:pPr>
        <w:jc w:val="both"/>
        <w:spacing w:after="0" w:line="294" w:lineRule="auto"/>
        <w:rPr>
          <w:sz w:val="20"/>
          <w:szCs w:val="20"/>
          <w:color w:val="auto"/>
        </w:rPr>
      </w:pPr>
      <w:r>
        <w:rPr>
          <w:rFonts w:ascii="Arial" w:cs="Arial" w:eastAsia="Arial" w:hAnsi="Arial"/>
          <w:sz w:val="19"/>
          <w:szCs w:val="19"/>
          <w:color w:val="auto"/>
        </w:rPr>
        <w:t>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 In the event Participant is allowed to hold Shares, Participant must maintain Shares acquired under the Plan in an account maintained by the Company’s designated broker.</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Participant understands and agrees that, to facilitate compliance with exchange control laws in</w:t>
      </w:r>
      <w:r>
        <w:rPr>
          <w:rFonts w:ascii="Arial" w:cs="Arial" w:eastAsia="Arial" w:hAnsi="Arial"/>
          <w:sz w:val="19"/>
          <w:szCs w:val="19"/>
          <w:b w:val="1"/>
          <w:bCs w:val="1"/>
          <w:color w:val="auto"/>
        </w:rPr>
        <w:t xml:space="preserve"> </w:t>
      </w:r>
      <w:r>
        <w:rPr>
          <w:rFonts w:ascii="Arial" w:cs="Arial" w:eastAsia="Arial" w:hAnsi="Arial"/>
          <w:sz w:val="19"/>
          <w:szCs w:val="19"/>
          <w:color w:val="auto"/>
        </w:rPr>
        <w:t>China, Participant may be required to immediately repatriate to China the cash proceeds from the sale of any Shares acquired at vesting of the Restricted Stock Units and any dividends or Dividend Equivalents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 and any dividends received in relation to the Shares may be transferred to such special account prior to being delivered to Participant.</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Participant agrees to bear any currency fluctuation risk between the time the Shares are sold or dividends or Dividend Equivalents are paid and the time the proceeds are distributed to Participant through any such special account.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 further agrees to comply with any other requirements that may be imposed by the Company in the future in order to facilitate compliance with exchange control requirements in China.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Laws Acknowledgement. </w:t>
      </w:r>
      <w:r>
        <w:rPr>
          <w:rFonts w:ascii="Arial" w:cs="Arial" w:eastAsia="Arial" w:hAnsi="Arial"/>
          <w:sz w:val="22"/>
          <w:szCs w:val="22"/>
          <w:color w:val="auto"/>
        </w:rPr>
        <w:t>The following provision supplements Section 11 of the Award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Participants acknowledges that pursuant to Article 128 of the Colombian Labor Code, the Plan and related benefits do not constitute a component of “salary” for any purpose.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64" w:right="2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ind w:right="200"/>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Participant is responsible for complying with any and all Colombian foreign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approvals and reporting requirements in connection with the Restricted Stock Units and any Shares acquired or funds received under the Plan. This may include reporting obligations to the Central Bank (Banco de la República). If applicable, Participant will be required to register the investment in Shares with the Central Bank, regardless of the value of the investment. Participant should consult with his or her legal advisor regarding any obligations in connection with this reporting requirement.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COSTA 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CZECH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The Czech National Bank (“CNB”) may require Participant to fulfill certain notification duties in</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 to the opening and maintenance of a foreign account. In addition, Participant may need to report the following even in the absence of a request from the CNB: foreign direct investments with a value of CZK 2,500,000 or more in the aggregate or other foreign financial assets with a value of CZK 200,000,000 or more.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Because exchange control regulations change frequently and without notice, Participant should consult his or her personal legal advisor prior to the sale of Shares to ensure compliance with current regulations. It is Participant’s responsibility to comply with Czech exchange control laws, and neither the Company nor any Parent or Subsidiary will be liable for any resulting fines or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DENMARK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Danish Stock Option Act</w:t>
      </w:r>
      <w:r>
        <w:rPr>
          <w:rFonts w:ascii="Arial" w:cs="Arial" w:eastAsia="Arial" w:hAnsi="Arial"/>
          <w:sz w:val="22"/>
          <w:szCs w:val="22"/>
          <w:color w:val="auto"/>
        </w:rPr>
        <w:t>. By participating in the Plan, Participant acknowledges that he or she received an Employer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Danish, which is being provided to comply with the Danish Stock Option Act. To the extent more favorable to Participant and required to comply with Stock Option Act, the terms set forth in the Employer Statement will apply to Participant’s participation in the Plan.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establishment of an account holding Shares or an account holding cash</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Denmark must be reported to the Danish Tax Administration. The form which should be used in this respect may be obtained from a local bank. (Please note that these obligations are separate from and in addition to the securities/tax reporting obligations described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6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DOMINICAN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EGYPT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Participant transfers funds into Egypt in connection with the sale of Shares or the receipt of</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Participant may be required to do so through a registered bank in Egypt.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French Language Provision. </w:t>
      </w:r>
      <w:r>
        <w:rPr>
          <w:rFonts w:ascii="Arial" w:cs="Arial" w:eastAsia="Arial" w:hAnsi="Arial"/>
          <w:sz w:val="21"/>
          <w:szCs w:val="21"/>
          <w:color w:val="auto"/>
        </w:rPr>
        <w:t>By accepting the Award Agreement providing for the terms and conditions of Participant’s grant,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confirms having read and understood the documents relating to this grant (the Plan and the Award Agreement) which were provided in English language. Participant accepts the terms of those documents accordingly.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The Restricted Stock Units are not intended to be French tax-qualified Awards.</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Participant retains Shares acquired under the Plan outside of France or</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maintains a foreign bank account, Participant is required to report such to the French tax authorities when filing Participant’s annual tax return. Additional monthly reporting obligations may apply if Participant’s foreign account balances exceed €1,000,000.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Cross-border payments in excess of €12,500 in connection with the sale of securities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Shares acquired under the Plan) or the receipt of any dividends must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71" w:right="2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2"/>
          <w:szCs w:val="22"/>
          <w:color w:val="auto"/>
        </w:rPr>
        <w:t>be reported monthly to the German Federal Bank. The report must be made by the 5th day of the month following the month in which the payment was received and must be filed electronically. The form of report (“</w:t>
      </w:r>
      <w:r>
        <w:rPr>
          <w:rFonts w:ascii="Arial" w:cs="Arial" w:eastAsia="Arial" w:hAnsi="Arial"/>
          <w:sz w:val="22"/>
          <w:szCs w:val="22"/>
          <w:i w:val="1"/>
          <w:iCs w:val="1"/>
          <w:color w:val="auto"/>
        </w:rPr>
        <w:t>Allgemeine Meldeportal Statistik</w:t>
      </w:r>
      <w:r>
        <w:rPr>
          <w:rFonts w:ascii="Arial" w:cs="Arial" w:eastAsia="Arial" w:hAnsi="Arial"/>
          <w:sz w:val="22"/>
          <w:szCs w:val="22"/>
          <w:color w:val="auto"/>
        </w:rPr>
        <w:t xml:space="preserve">”) can be accessed via the </w:t>
      </w:r>
      <w:r>
        <w:rPr>
          <w:rFonts w:ascii="Arial" w:cs="Arial" w:eastAsia="Arial" w:hAnsi="Arial"/>
          <w:sz w:val="22"/>
          <w:szCs w:val="22"/>
          <w:i w:val="1"/>
          <w:iCs w:val="1"/>
          <w:color w:val="auto"/>
        </w:rPr>
        <w:t>Bundesbank’s</w:t>
      </w:r>
      <w:r>
        <w:rPr>
          <w:rFonts w:ascii="Arial" w:cs="Arial" w:eastAsia="Arial" w:hAnsi="Arial"/>
          <w:sz w:val="22"/>
          <w:szCs w:val="22"/>
          <w:color w:val="auto"/>
        </w:rPr>
        <w:t xml:space="preserve"> website (www.bundesbank.de) and is available in both German and English. Participant is responsible for satisfying the reporting obligation.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Asset / Account Reporting</w:t>
      </w:r>
      <w:r>
        <w:rPr>
          <w:rFonts w:ascii="Arial" w:cs="Arial" w:eastAsia="Arial" w:hAnsi="Arial"/>
          <w:sz w:val="22"/>
          <w:szCs w:val="22"/>
          <w:color w:val="auto"/>
        </w:rPr>
        <w:t>. German residents holding Shares exceeding 1% of the Company’s total share capital, must</w:t>
      </w:r>
      <w:r>
        <w:rPr>
          <w:rFonts w:ascii="Arial" w:cs="Arial" w:eastAsia="Arial" w:hAnsi="Arial"/>
          <w:sz w:val="22"/>
          <w:szCs w:val="22"/>
          <w:b w:val="1"/>
          <w:bCs w:val="1"/>
          <w:color w:val="auto"/>
        </w:rPr>
        <w:t xml:space="preserve"> </w:t>
      </w:r>
      <w:r>
        <w:rPr>
          <w:rFonts w:ascii="Arial" w:cs="Arial" w:eastAsia="Arial" w:hAnsi="Arial"/>
          <w:sz w:val="22"/>
          <w:szCs w:val="22"/>
          <w:color w:val="auto"/>
        </w:rPr>
        <w:t>notify their local tax office of the acquisition of Shares if the acquisition costs for all Shares held exceeds €150,000 or if the resident holds 10% or more in the Company’s total shares of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the grant of Restricted Stock Units does not provide any right for Participant to receive a cash payment, and the Restricted Stock Units are payable in Shares only.</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vesting are accepted as a personal investment. In the event that the Restricted Stock Units vest</w:t>
      </w:r>
      <w:r>
        <w:rPr>
          <w:rFonts w:ascii="Arial" w:cs="Arial" w:eastAsia="Arial" w:hAnsi="Arial"/>
          <w:sz w:val="21"/>
          <w:szCs w:val="21"/>
          <w:b w:val="1"/>
          <w:bCs w:val="1"/>
          <w:color w:val="auto"/>
        </w:rPr>
        <w:t xml:space="preserve"> </w:t>
      </w:r>
      <w:r>
        <w:rPr>
          <w:rFonts w:ascii="Arial" w:cs="Arial" w:eastAsia="Arial" w:hAnsi="Arial"/>
          <w:sz w:val="21"/>
          <w:szCs w:val="21"/>
          <w:color w:val="auto"/>
        </w:rPr>
        <w:t>and Shares are issued to Participant within six months of the Date of Grant, Participant agrees that the Shares will not be offered to the public or otherwise disposed of prior to the six-month anniversary of the Date of Grant.</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i w:val="1"/>
          <w:iCs w:val="1"/>
          <w:color w:val="auto"/>
        </w:rPr>
        <w:t>WARNING: The grant of Restricted Stock Units under the terms of the Award Agreement and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Plan and the issuance of Shares at vesting of Restricted Stock Units do not constitute a public offering of securities, and they are available only to Service Providers.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Please be aware that the contents of the Award Agreement, including this Addendum, and the Plan have not been reviewed by any regulatory authority in Hong Kong. Participant is advised to exercise caution in relation to the right to acquire Shares at vesting of the Restricted Stock Units, or otherwise, under the Plan. If Participant is in any doubt about any of the contents of the Award Agreement, including this Addendum, or the Plan, Participant should obtain independent professional advice.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Participant must repatriate any cash dividends paid on Shares within one-hundred eighty (180)</w:t>
      </w:r>
      <w:r>
        <w:rPr>
          <w:rFonts w:ascii="Arial" w:cs="Arial" w:eastAsia="Arial" w:hAnsi="Arial"/>
          <w:sz w:val="19"/>
          <w:szCs w:val="19"/>
          <w:b w:val="1"/>
          <w:bCs w:val="1"/>
          <w:color w:val="auto"/>
        </w:rPr>
        <w:t xml:space="preserve"> </w:t>
      </w:r>
      <w:r>
        <w:rPr>
          <w:rFonts w:ascii="Arial" w:cs="Arial" w:eastAsia="Arial" w:hAnsi="Arial"/>
          <w:sz w:val="19"/>
          <w:szCs w:val="19"/>
          <w:color w:val="auto"/>
        </w:rPr>
        <w:t>days and all proceeds received from the sale of Shares to India within ninety (90) days of receipt. Participant must obtain evidence of the repatriation of funds in the form of a foreign inward remittance certificate (the “FIRC”) from the bank where Participant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64" w:right="239" w:bottom="1440" w:gutter="0" w:footer="0" w:header="0"/>
        </w:sectPr>
      </w:pPr>
    </w:p>
    <w:bookmarkStart w:id="140" w:name="page141"/>
    <w:bookmarkEnd w:id="140"/>
    <w:p>
      <w:pPr>
        <w:jc w:val="both"/>
        <w:spacing w:after="0" w:line="263" w:lineRule="auto"/>
        <w:rPr>
          <w:sz w:val="20"/>
          <w:szCs w:val="20"/>
          <w:color w:val="auto"/>
        </w:rPr>
      </w:pPr>
      <w:r>
        <w:rPr>
          <w:rFonts w:ascii="Arial" w:cs="Arial" w:eastAsia="Arial" w:hAnsi="Arial"/>
          <w:sz w:val="22"/>
          <w:szCs w:val="22"/>
          <w:color w:val="auto"/>
        </w:rPr>
        <w:t>deposited the foreign currency. Participant must retain the FIRC in Participant’s records to present to the Reserve Bank of India or Participant’s Employer in the event that proof of repatriation is requested.</w:t>
      </w:r>
    </w:p>
    <w:p>
      <w:pPr>
        <w:spacing w:after="0" w:line="16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Participant is required to declare his or her foreign bank accounts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foreign financial assets (including Shares held outside India) in Participant’s annual tax return. It is Participant’s responsibility to comply with this reporting obligation and Participant should consult his or her personal advisor in this regard.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INDONESIA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Participant remits funds into Indonesia (</w:t>
      </w:r>
      <w:r>
        <w:rPr>
          <w:rFonts w:ascii="Arial" w:cs="Arial" w:eastAsia="Arial" w:hAnsi="Arial"/>
          <w:sz w:val="19"/>
          <w:szCs w:val="19"/>
          <w:i w:val="1"/>
          <w:iCs w:val="1"/>
          <w:color w:val="auto"/>
        </w:rPr>
        <w:t>e.g</w:t>
      </w:r>
      <w:r>
        <w:rPr>
          <w:rFonts w:ascii="Arial" w:cs="Arial" w:eastAsia="Arial" w:hAnsi="Arial"/>
          <w:sz w:val="19"/>
          <w:szCs w:val="19"/>
          <w:color w:val="auto"/>
        </w:rPr>
        <w:t>., proceeds from the sale of Shares), the Indonesian</w:t>
      </w:r>
      <w:r>
        <w:rPr>
          <w:rFonts w:ascii="Arial" w:cs="Arial" w:eastAsia="Arial" w:hAnsi="Arial"/>
          <w:sz w:val="19"/>
          <w:szCs w:val="19"/>
          <w:b w:val="1"/>
          <w:bCs w:val="1"/>
          <w:color w:val="auto"/>
        </w:rPr>
        <w:t xml:space="preserve"> </w:t>
      </w:r>
      <w:r>
        <w:rPr>
          <w:rFonts w:ascii="Arial" w:cs="Arial" w:eastAsia="Arial" w:hAnsi="Arial"/>
          <w:sz w:val="19"/>
          <w:szCs w:val="19"/>
          <w:color w:val="auto"/>
        </w:rPr>
        <w:t>Bank through which the 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Director Notification Obligation. </w:t>
      </w:r>
      <w:r>
        <w:rPr>
          <w:rFonts w:ascii="Arial" w:cs="Arial" w:eastAsia="Arial" w:hAnsi="Arial"/>
          <w:sz w:val="19"/>
          <w:szCs w:val="19"/>
          <w:color w:val="auto"/>
        </w:rPr>
        <w:t>If Participant is a director, shadow director or secretary of an Irish Parent or Subsidiary, and</w:t>
      </w:r>
      <w:r>
        <w:rPr>
          <w:rFonts w:ascii="Arial" w:cs="Arial" w:eastAsia="Arial" w:hAnsi="Arial"/>
          <w:sz w:val="19"/>
          <w:szCs w:val="19"/>
          <w:b w:val="1"/>
          <w:bCs w:val="1"/>
          <w:color w:val="auto"/>
        </w:rPr>
        <w:t xml:space="preserve"> </w:t>
      </w:r>
      <w:r>
        <w:rPr>
          <w:rFonts w:ascii="Arial" w:cs="Arial" w:eastAsia="Arial" w:hAnsi="Arial"/>
          <w:sz w:val="19"/>
          <w:szCs w:val="19"/>
          <w:color w:val="auto"/>
        </w:rPr>
        <w:t>holds 1% or more of the share capital of the Company, Participant must notify the Irish Parent or Subsidiary in writing within five business days of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Restricted Stock Units,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ISLE OF MAN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if Participant is Located in Israel on the Date of Grant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Trust Arrangement</w:t>
      </w:r>
      <w:r>
        <w:rPr>
          <w:rFonts w:ascii="Arial" w:cs="Arial" w:eastAsia="Arial" w:hAnsi="Arial"/>
          <w:sz w:val="22"/>
          <w:szCs w:val="22"/>
          <w:color w:val="auto"/>
        </w:rPr>
        <w:t>. Participant understands and agrees that the Restricted Stock Units are offered subject to and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of the Plan, the sub-plan to the Plan for Israel (the “</w:t>
      </w:r>
      <w:r>
        <w:rPr>
          <w:rFonts w:ascii="Arial" w:cs="Arial" w:eastAsia="Arial" w:hAnsi="Arial"/>
          <w:sz w:val="22"/>
          <w:szCs w:val="22"/>
          <w:b w:val="1"/>
          <w:bCs w:val="1"/>
          <w:color w:val="auto"/>
        </w:rPr>
        <w:t>Israeli Sub-Plan</w:t>
      </w:r>
      <w:r>
        <w:rPr>
          <w:rFonts w:ascii="Arial" w:cs="Arial" w:eastAsia="Arial" w:hAnsi="Arial"/>
          <w:sz w:val="22"/>
          <w:szCs w:val="22"/>
          <w:color w:val="auto"/>
        </w:rPr>
        <w:t>”), the Trust Agreement (the “</w:t>
      </w:r>
      <w:r>
        <w:rPr>
          <w:rFonts w:ascii="Arial" w:cs="Arial" w:eastAsia="Arial" w:hAnsi="Arial"/>
          <w:sz w:val="22"/>
          <w:szCs w:val="22"/>
          <w:b w:val="1"/>
          <w:bCs w:val="1"/>
          <w:color w:val="auto"/>
        </w:rPr>
        <w:t>Trust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between the Company and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64" w:right="239" w:bottom="1440" w:gutter="0" w:footer="0" w:header="0"/>
        </w:sectPr>
      </w:pPr>
    </w:p>
    <w:bookmarkStart w:id="141" w:name="page142"/>
    <w:bookmarkEnd w:id="141"/>
    <w:p>
      <w:pPr>
        <w:jc w:val="both"/>
        <w:spacing w:after="0" w:line="274" w:lineRule="auto"/>
        <w:rPr>
          <w:sz w:val="20"/>
          <w:szCs w:val="20"/>
          <w:color w:val="auto"/>
        </w:rPr>
      </w:pPr>
      <w:r>
        <w:rPr>
          <w:rFonts w:ascii="Arial" w:cs="Arial" w:eastAsia="Arial" w:hAnsi="Arial"/>
          <w:sz w:val="21"/>
          <w:szCs w:val="21"/>
          <w:color w:val="auto"/>
        </w:rPr>
        <w:t>Company’s trustee appointed by the Company or its subsidiary or affiliate in Israel, ESOP Trust Company (the “</w:t>
      </w:r>
      <w:r>
        <w:rPr>
          <w:rFonts w:ascii="Arial" w:cs="Arial" w:eastAsia="Arial" w:hAnsi="Arial"/>
          <w:sz w:val="21"/>
          <w:szCs w:val="21"/>
          <w:b w:val="1"/>
          <w:bCs w:val="1"/>
          <w:color w:val="auto"/>
        </w:rPr>
        <w:t>Trustee</w:t>
      </w:r>
      <w:r>
        <w:rPr>
          <w:rFonts w:ascii="Arial" w:cs="Arial" w:eastAsia="Arial" w:hAnsi="Arial"/>
          <w:sz w:val="21"/>
          <w:szCs w:val="21"/>
          <w:color w:val="auto"/>
        </w:rPr>
        <w:t>”), and the Award Agreement. In the event of any inconsistencies between the Israeli Sub-Plan, the Award Agreement and/or the Plan, the Israeli Sub-Plan will govern the Restricted Stock Units granted to Participants in Israel.</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Written Acceptance</w:t>
      </w:r>
      <w:r>
        <w:rPr>
          <w:rFonts w:ascii="Arial" w:cs="Arial" w:eastAsia="Arial" w:hAnsi="Arial"/>
          <w:sz w:val="22"/>
          <w:szCs w:val="22"/>
          <w:color w:val="auto"/>
        </w:rPr>
        <w:t>. If Participant has not already executed a Section 102 Capital Gains Award confirmation letter</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Confirmation Letter</w:t>
      </w:r>
      <w:r>
        <w:rPr>
          <w:rFonts w:ascii="Arial" w:cs="Arial" w:eastAsia="Arial" w:hAnsi="Arial"/>
          <w:sz w:val="22"/>
          <w:szCs w:val="22"/>
          <w:color w:val="auto"/>
        </w:rPr>
        <w:t>”) in connection with grants made under the Israeli Sub-Plan to the Plan, Participant must print, sign and deliver a signed copy of the Confirmation Letter within forty five (45) days of the Date of Grant. If Participant does not submit the signed Confirmation Letter within forty five (45) days of the Date of Grant, the Restricted Stock Units may not qualify for preferential tax treatment.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supplements Section 11 of the Award Agreement: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Restricted Stock Units are intended to be 102 Capital Gains Track Grants that qualify for the 102 Capital Gains Track tax treatment. Notwithstanding the foregoing, by accepting the Restricted Stock Units, Participant acknowledges that the Company cannot guarantee or represent that the 102 Capital Gains Track tax treatment will apply to the Restricted Stock Units.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By accepting the Restricted Stock Units, Participant: (a) acknowledges receipt of and represents that Participant has read and is familiar with the Plan, the Israeli Sub-Plan, and the Award Agreement; (b) accepts the Restricted Stock Units subject to all of the terms and conditions of this Award Agreement, the Plan and the Israeli Sub-Plan; and (c) agrees that the Restricted Stock Units will be issued to and deposited with the Trustee and shall be held in trust for Participant’s benefit as required by the ITO, the Rules and any approval by the Israeli Tax Authority (“</w:t>
      </w:r>
      <w:r>
        <w:rPr>
          <w:rFonts w:ascii="Arial" w:cs="Arial" w:eastAsia="Arial" w:hAnsi="Arial"/>
          <w:sz w:val="21"/>
          <w:szCs w:val="21"/>
          <w:b w:val="1"/>
          <w:bCs w:val="1"/>
          <w:color w:val="auto"/>
        </w:rPr>
        <w:t>ITA</w:t>
      </w:r>
      <w:r>
        <w:rPr>
          <w:rFonts w:ascii="Arial" w:cs="Arial" w:eastAsia="Arial" w:hAnsi="Arial"/>
          <w:sz w:val="21"/>
          <w:szCs w:val="21"/>
          <w:color w:val="auto"/>
        </w:rPr>
        <w:t>”) pursuant to the terms of the ITO, the Rules and the Trust Agreement. Furthermore, by accepting the Restricted Stock Units, Participant confirms that he or she is familiar with the terms and provisions of Section 102 of the ITO, particularly the Capital Gains Track described in subsection (b)(2) and (b)(3) thereof, and agrees that he or she will not require the Trustee to release the Restricted Stock Units or shares of Common Stock to him or her, or to sell the Restricted Stock Units or shares of Common Stock to a third party, during the Required Holding Period, unless permitted to do so by the ITO or the Rules.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 Distributions</w:t>
      </w:r>
      <w:r>
        <w:rPr>
          <w:rFonts w:ascii="Arial" w:cs="Arial" w:eastAsia="Arial" w:hAnsi="Arial"/>
          <w:sz w:val="22"/>
          <w:szCs w:val="22"/>
          <w:color w:val="auto"/>
        </w:rPr>
        <w:t>. The following provision supplements Section 5 of the Award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sake of clarity, if Dividend Equivalent Rights are issued as rights to shares of Common Stock, such Dividend Equivalent Units will be deposited with the Trustee and will be subject to the same Section 102 rules under the Israeli Sub-Plan as the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 Taxes</w:t>
      </w:r>
      <w:r>
        <w:rPr>
          <w:rFonts w:ascii="Arial" w:cs="Arial" w:eastAsia="Arial" w:hAnsi="Arial"/>
          <w:sz w:val="22"/>
          <w:szCs w:val="22"/>
          <w:color w:val="auto"/>
        </w:rPr>
        <w:t>. The following provision supplements Section 8 of the Award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Participant agrees that he or she shall not be liable for the Employer’s component of payments to the National Insurance Institute unless and to the extent such payments by the Employer are a result of Participant’s election to sell the Shares before the end of the Required Holding Period (if allowed by the ITO and the Rules).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8" w:right="239" w:bottom="1440" w:gutter="0" w:footer="0" w:header="0"/>
        </w:sectPr>
      </w:pPr>
    </w:p>
    <w:bookmarkStart w:id="142" w:name="page143"/>
    <w:bookmarkEnd w:id="142"/>
    <w:p>
      <w:pPr>
        <w:jc w:val="both"/>
        <w:spacing w:after="0" w:line="289" w:lineRule="auto"/>
        <w:rPr>
          <w:sz w:val="20"/>
          <w:szCs w:val="20"/>
          <w:color w:val="auto"/>
        </w:rPr>
      </w:pPr>
      <w:r>
        <w:rPr>
          <w:rFonts w:ascii="Arial" w:cs="Arial" w:eastAsia="Arial" w:hAnsi="Arial"/>
          <w:sz w:val="19"/>
          <w:szCs w:val="19"/>
          <w:color w:val="auto"/>
        </w:rPr>
        <w:t>If the Restricted Stock Units vest during the Required Holding Period, the shares of Common Stock issued upon the vesting of such Restricted Stock Units shall be issued to and deposited with, or under the supervision of, the Trustee for the benefit of Participant and shall be held in trust as required by the ITO, the Rules and any approval by the ITA. In the event that such vesting occurs after the end of the Required Holding Period, the Shares issued upon the vesting of the Restricted Stock Units shall either: (i) be issued to and deposited with, or under the supervision of, the Trustee; or (ii) be transferred to Participant directly upon Participant’s request, provided that Participant first complies with his or her obligations with respect to Tax-Related Items. In the event that Participant elects to have the shares of Common Stock transferred to Participant without selling such shares of Common Stock, Participant shall become liable to pay taxes immediately in accordance with the provisions of the ITO and Section 8 of the Award Agreement, as supplemented by this Addendum.</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are defined in the Israeli Sub-Plan if not defined in this Addendum.</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Immediate Sale Restriction Upon Transfer of Jurisdiction. </w:t>
      </w:r>
      <w:r>
        <w:rPr>
          <w:rFonts w:ascii="Arial" w:cs="Arial" w:eastAsia="Arial" w:hAnsi="Arial"/>
          <w:sz w:val="19"/>
          <w:szCs w:val="19"/>
          <w:color w:val="auto"/>
        </w:rPr>
        <w:t>Participants transferring into Israel after the Date of Grant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sell their Shares immediately upon vesting of the Restricted Stock Units in order to comply with local tax withholding requirements.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Company has obtained an exemption to the prospectus filing requirement from the Israeli</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Authority. Accordingly, Restricted Stock Units are granted pursuant to an exemption from filing a prospectus granted to the Company by the Israeli Securities Authority. Copies of the Plan and Form S-8 registration statement for the Plan filed with the U.S. Securities and Exchange Commission are available from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6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i w:val="1"/>
          <w:iCs w:val="1"/>
          <w:color w:val="auto"/>
        </w:rPr>
        <w:t>[Fortinet, Inc. Letterhead]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Confirmation Letter - 102 Capital Gains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 undertake and confirm the following (and such undertaking is deemed incorporated into any documents signed by me in connection with the grant of such Awards) with respect to any award of options, Restricted Stock Units or other equity-based grants that have been granted to me previously and/or as shall be granted to me in the future by Fortinet, Inc. (the “</w:t>
      </w:r>
      <w:r>
        <w:rPr>
          <w:rFonts w:ascii="Arial" w:cs="Arial" w:eastAsia="Arial" w:hAnsi="Arial"/>
          <w:sz w:val="21"/>
          <w:szCs w:val="21"/>
          <w:b w:val="1"/>
          <w:bCs w:val="1"/>
          <w:color w:val="auto"/>
        </w:rPr>
        <w:t>Company</w:t>
      </w:r>
      <w:r>
        <w:rPr>
          <w:rFonts w:ascii="Arial" w:cs="Arial" w:eastAsia="Arial" w:hAnsi="Arial"/>
          <w:sz w:val="21"/>
          <w:szCs w:val="21"/>
          <w:color w:val="auto"/>
        </w:rPr>
        <w:t>”), whether under the Company’s Amended and Restated 2009 Equity Incentive Plan or other plans maintained by the Company, pursuant to the Capital Gain Track under Section 102(b)(2) or l02(b)(3) of the Israeli Income Tax Ordinance and any regulations and rules promulgated thereunder (“</w:t>
      </w:r>
      <w:r>
        <w:rPr>
          <w:rFonts w:ascii="Arial" w:cs="Arial" w:eastAsia="Arial" w:hAnsi="Arial"/>
          <w:sz w:val="21"/>
          <w:szCs w:val="21"/>
          <w:b w:val="1"/>
          <w:bCs w:val="1"/>
          <w:color w:val="auto"/>
        </w:rPr>
        <w:t>Section 102</w:t>
      </w:r>
      <w:r>
        <w:rPr>
          <w:rFonts w:ascii="Arial" w:cs="Arial" w:eastAsia="Arial" w:hAnsi="Arial"/>
          <w:sz w:val="21"/>
          <w:szCs w:val="21"/>
          <w:color w:val="auto"/>
        </w:rPr>
        <w:t>” and “</w:t>
      </w:r>
      <w:r>
        <w:rPr>
          <w:rFonts w:ascii="Arial" w:cs="Arial" w:eastAsia="Arial" w:hAnsi="Arial"/>
          <w:sz w:val="21"/>
          <w:szCs w:val="21"/>
          <w:b w:val="1"/>
          <w:bCs w:val="1"/>
          <w:color w:val="auto"/>
        </w:rPr>
        <w:t>Awards</w:t>
      </w:r>
      <w:r>
        <w:rPr>
          <w:rFonts w:ascii="Arial" w:cs="Arial" w:eastAsia="Arial" w:hAnsi="Arial"/>
          <w:sz w:val="21"/>
          <w:szCs w:val="21"/>
          <w:color w:val="auto"/>
        </w:rPr>
        <w:t>”, respectively).</w:t>
      </w:r>
    </w:p>
    <w:p>
      <w:pPr>
        <w:spacing w:after="0" w:line="180" w:lineRule="exact"/>
        <w:rPr>
          <w:sz w:val="20"/>
          <w:szCs w:val="20"/>
          <w:color w:val="auto"/>
        </w:rPr>
      </w:pPr>
    </w:p>
    <w:p>
      <w:pPr>
        <w:ind w:left="500" w:right="20" w:hanging="492"/>
        <w:spacing w:after="0" w:line="263" w:lineRule="auto"/>
        <w:tabs>
          <w:tab w:leader="none" w:pos="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understand and accept the provisions of Section 102 in general, and the tax arrangement under the Capital Gain Track in particular, and its tax consequences, as they apply to the Awards;</w:t>
      </w:r>
    </w:p>
    <w:p>
      <w:pPr>
        <w:spacing w:after="0" w:line="174" w:lineRule="exact"/>
        <w:rPr>
          <w:rFonts w:ascii="Arial" w:cs="Arial" w:eastAsia="Arial" w:hAnsi="Arial"/>
          <w:sz w:val="22"/>
          <w:szCs w:val="22"/>
          <w:color w:val="auto"/>
        </w:rPr>
      </w:pPr>
    </w:p>
    <w:p>
      <w:pPr>
        <w:jc w:val="both"/>
        <w:ind w:left="500" w:hanging="492"/>
        <w:spacing w:after="0" w:line="294" w:lineRule="auto"/>
        <w:tabs>
          <w:tab w:leader="none" w:pos="5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 agree that the Awards and any shares or rights that may be issued upon exercise of the Awards (or otherwise in relation to the Awards), will be held by a trustee appointed pursuant to Section l02 (the “</w:t>
      </w:r>
      <w:r>
        <w:rPr>
          <w:rFonts w:ascii="Arial" w:cs="Arial" w:eastAsia="Arial" w:hAnsi="Arial"/>
          <w:sz w:val="19"/>
          <w:szCs w:val="19"/>
          <w:b w:val="1"/>
          <w:bCs w:val="1"/>
          <w:color w:val="auto"/>
        </w:rPr>
        <w:t>Trustee</w:t>
      </w:r>
      <w:r>
        <w:rPr>
          <w:rFonts w:ascii="Arial" w:cs="Arial" w:eastAsia="Arial" w:hAnsi="Arial"/>
          <w:sz w:val="19"/>
          <w:szCs w:val="19"/>
          <w:color w:val="auto"/>
        </w:rPr>
        <w:t>’’) for at least the duration of the Holding Period, as defined in Section 102, and I hereby confirm that I shall not release from trust and/or sell such Awards, shares or rights, before the end of the Holding Period. I understand that any release of such Awards, shares or rights from trust, or any sale of any of them prior to the termination of the Holding Period, will result in taxation at marginal tax rates, in addition to deductions of appropriate social security, health tax contributions or other compulsory payments;</w:t>
      </w:r>
    </w:p>
    <w:p>
      <w:pPr>
        <w:spacing w:after="0" w:line="149" w:lineRule="exact"/>
        <w:rPr>
          <w:rFonts w:ascii="Arial" w:cs="Arial" w:eastAsia="Arial" w:hAnsi="Arial"/>
          <w:sz w:val="19"/>
          <w:szCs w:val="19"/>
          <w:color w:val="auto"/>
        </w:rPr>
      </w:pPr>
    </w:p>
    <w:p>
      <w:pPr>
        <w:jc w:val="both"/>
        <w:ind w:left="500" w:hanging="492"/>
        <w:spacing w:after="0" w:line="302" w:lineRule="auto"/>
        <w:tabs>
          <w:tab w:leader="none" w:pos="5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 understand that the grant of the Awards is subject to the receipt of all required approvals from the Israeli Tax Authority and compliance with the requirements of Section 102. Accordingly, to the extent that for whatever reason the Awards and underlying shares of common stock shall not be subject to the Capital Gains Route, I shall bear and pay any and all taxes and any other compulsory payments applicable to the grant, exercise, sale or other disposition of Awards or shares.</w:t>
      </w:r>
    </w:p>
    <w:p>
      <w:pPr>
        <w:spacing w:after="0" w:line="142" w:lineRule="exact"/>
        <w:rPr>
          <w:rFonts w:ascii="Arial" w:cs="Arial" w:eastAsia="Arial" w:hAnsi="Arial"/>
          <w:sz w:val="19"/>
          <w:szCs w:val="19"/>
          <w:color w:val="auto"/>
        </w:rPr>
      </w:pPr>
    </w:p>
    <w:p>
      <w:pPr>
        <w:ind w:left="500" w:hanging="492"/>
        <w:spacing w:after="0" w:line="263" w:lineRule="auto"/>
        <w:tabs>
          <w:tab w:leader="none" w:pos="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agree to be bound by the provisions of the Company’s trust agreement with the Trustee, ESOP Management and Trust Services Ltd., which holds the Awards for my benefit.</w:t>
      </w:r>
    </w:p>
    <w:p>
      <w:pPr>
        <w:spacing w:after="0" w:line="174" w:lineRule="exact"/>
        <w:rPr>
          <w:rFonts w:ascii="Arial" w:cs="Arial" w:eastAsia="Arial" w:hAnsi="Arial"/>
          <w:sz w:val="22"/>
          <w:szCs w:val="22"/>
          <w:color w:val="auto"/>
        </w:rPr>
      </w:pPr>
    </w:p>
    <w:p>
      <w:pPr>
        <w:ind w:left="500" w:right="20" w:hanging="492"/>
        <w:spacing w:after="0" w:line="287" w:lineRule="auto"/>
        <w:tabs>
          <w:tab w:leader="none" w:pos="5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I hereby confirm that I have: (i) read and understand this letter; (ii) received all the clarifications and explanations that I have requested; and (iii) had the opportunity to consult with my advisors before signing this confirmation letter.</w:t>
      </w:r>
    </w:p>
    <w:p>
      <w:pPr>
        <w:spacing w:after="0" w:line="151" w:lineRule="exact"/>
        <w:rPr>
          <w:rFonts w:ascii="Arial" w:cs="Arial" w:eastAsia="Arial" w:hAnsi="Arial"/>
          <w:sz w:val="21"/>
          <w:szCs w:val="21"/>
          <w:color w:val="auto"/>
        </w:rPr>
      </w:pPr>
    </w:p>
    <w:p>
      <w:pPr>
        <w:jc w:val="both"/>
        <w:ind w:left="500" w:hanging="492"/>
        <w:spacing w:after="0" w:line="253" w:lineRule="auto"/>
        <w:tabs>
          <w:tab w:leader="none" w:pos="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hereby confirm that, in addition to my confirmation and agreement hereunder, the acceptance or settlement of any such Awards shall be deemed as irrevocable confirmation of my acknowledgements and undertakings herein with respect to such specific Award.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7" w:right="239" w:bottom="1440" w:gutter="0" w:footer="0" w:header="0"/>
        </w:sectPr>
      </w:pPr>
    </w:p>
    <w:bookmarkStart w:id="144" w:name="page145"/>
    <w:bookmarkEnd w:id="144"/>
    <w:p>
      <w:pPr>
        <w:jc w:val="both"/>
        <w:ind w:left="500" w:hanging="492"/>
        <w:spacing w:after="0" w:line="250" w:lineRule="auto"/>
        <w:tabs>
          <w:tab w:leader="none" w:pos="5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 declare that I am a resident of the state of Israel for tax purposes and agrees to notify the Company upon any change in the residence address and acknowledges that if I cease to be an Israeli resident or if my engagement with the Company or any affiliate is terminated, the Awards and underlying shares of common stock shall remain subject to Section 102, the trust agreement and the applicable equity plan and grant document.</w:t>
      </w:r>
    </w:p>
    <w:p>
      <w:pPr>
        <w:spacing w:after="0" w:line="188" w:lineRule="exact"/>
        <w:rPr>
          <w:rFonts w:ascii="Arial" w:cs="Arial" w:eastAsia="Arial" w:hAnsi="Arial"/>
          <w:sz w:val="22"/>
          <w:szCs w:val="22"/>
          <w:color w:val="auto"/>
        </w:rPr>
      </w:pPr>
    </w:p>
    <w:p>
      <w:pPr>
        <w:jc w:val="both"/>
        <w:ind w:left="500" w:hanging="492"/>
        <w:spacing w:after="0" w:line="312" w:lineRule="auto"/>
        <w:tabs>
          <w:tab w:leader="none" w:pos="5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 understand that this is a one-time Confirmation Letter, and that until Company will determine otherwise, this Confirmation Letter will apply to all future grants of Awards. I hereby confirm that by accepting this Confirmation Letter, I will be deemed to have elected to accept the terms and conditions herein in respect of any such future grant of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Confirmation: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Name of Employee:_______________________________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ID: ____________________________________________</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Signature:_______________________________________</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6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Terms of Grant. </w:t>
      </w:r>
      <w:r>
        <w:rPr>
          <w:rFonts w:ascii="Arial" w:cs="Arial" w:eastAsia="Arial" w:hAnsi="Arial"/>
          <w:sz w:val="22"/>
          <w:szCs w:val="22"/>
          <w:color w:val="auto"/>
        </w:rPr>
        <w:t>By accepting the Restricted Stock Units, Participant acknowledges that (1) Participant has received a copy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the Award Agreement, including this Addendum; (2) Participant has reviewed those documents in their entirety and fully understands the contents thereof; and (3) Participant accepts all provisions of the Plan and the Award Agreement, including this Addendum. Participant further acknowledges that Participant has read and specifically and expressly approves, without limitation, the following sections of the Award Agreement: Section 6 – “Forfeiture upon Termination of Status as a Service Provider”; Section 8 – “Withholding of Taxes”; Section 10 – “No Guarantee of Continued Service”; Section 11 – “Nature of Grant”; Section 13 – “Data Privacy” as replaced by the above consent; Section 25 – “Governing Law and Venue”; and Section 26 – “Language.”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Restricted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Restricted Stock Units), are beneficial owners of the investment pursuant to Italian money laundering provisions.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Tax on Foreign Financial Assets. </w:t>
      </w:r>
      <w:r>
        <w:rPr>
          <w:rFonts w:ascii="Arial" w:cs="Arial" w:eastAsia="Arial" w:hAnsi="Arial"/>
          <w:sz w:val="22"/>
          <w:szCs w:val="22"/>
          <w:color w:val="auto"/>
        </w:rPr>
        <w:t>A tax on the value of financial assets held outside of Italy by individuals resident in Italy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due. The taxable amount will be the fair market value of the financial assets (including Shares) assessed at the end of each calendar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Japanese residents are required to report details of any assets (including any Shares) held outside</w:t>
      </w:r>
      <w:r>
        <w:rPr>
          <w:rFonts w:ascii="Arial" w:cs="Arial" w:eastAsia="Arial" w:hAnsi="Arial"/>
          <w:sz w:val="22"/>
          <w:szCs w:val="22"/>
          <w:b w:val="1"/>
          <w:bCs w:val="1"/>
          <w:color w:val="auto"/>
        </w:rPr>
        <w:t xml:space="preserve"> </w:t>
      </w:r>
      <w:r>
        <w:rPr>
          <w:rFonts w:ascii="Arial" w:cs="Arial" w:eastAsia="Arial" w:hAnsi="Arial"/>
          <w:sz w:val="22"/>
          <w:szCs w:val="22"/>
          <w:color w:val="auto"/>
        </w:rPr>
        <w:t>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Restricted Stock Units or Shares that Participant holds.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KOREA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30" w:right="239" w:bottom="1440" w:gutter="0" w:footer="0" w:header="0"/>
        </w:sectPr>
      </w:pPr>
    </w:p>
    <w:bookmarkStart w:id="146" w:name="page147"/>
    <w:bookmarkEnd w:id="146"/>
    <w:p>
      <w:pPr>
        <w:jc w:val="both"/>
        <w:spacing w:after="0" w:line="26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Korean residents must declare all foreign financial accounts (</w:t>
      </w:r>
      <w:r>
        <w:rPr>
          <w:rFonts w:ascii="Arial" w:cs="Arial" w:eastAsia="Arial" w:hAnsi="Arial"/>
          <w:sz w:val="21"/>
          <w:szCs w:val="21"/>
          <w:i w:val="1"/>
          <w:iCs w:val="1"/>
          <w:color w:val="auto"/>
        </w:rPr>
        <w:t>e.g.</w:t>
      </w:r>
      <w:r>
        <w:rPr>
          <w:rFonts w:ascii="Arial" w:cs="Arial" w:eastAsia="Arial" w:hAnsi="Arial"/>
          <w:sz w:val="21"/>
          <w:szCs w:val="21"/>
          <w:color w:val="auto"/>
        </w:rPr>
        <w:t>, non-Korean</w:t>
      </w:r>
      <w:r>
        <w:rPr>
          <w:rFonts w:ascii="Arial" w:cs="Arial" w:eastAsia="Arial" w:hAnsi="Arial"/>
          <w:sz w:val="21"/>
          <w:szCs w:val="21"/>
          <w:b w:val="1"/>
          <w:bCs w:val="1"/>
          <w:color w:val="auto"/>
        </w:rPr>
        <w:t xml:space="preserve"> </w:t>
      </w:r>
      <w:r>
        <w:rPr>
          <w:rFonts w:ascii="Arial" w:cs="Arial" w:eastAsia="Arial" w:hAnsi="Arial"/>
          <w:sz w:val="21"/>
          <w:szCs w:val="21"/>
          <w:color w:val="auto"/>
        </w:rPr>
        <w:t>bank accounts, brokerage accounts holding shares) to the Korean tax authority and file a report with respect to such accounts if the value of such accounts exceeds KRW 500 million (or an equivalent amount in foreign currency). Participant should consult with his or her personal tax advisor to determine how to value Participant’s foreign accounts for purposes of this reporting requirement and whether Participant is required to file a report with respect to such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KUWAIT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MALAYSIA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8"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1800" w:type="dxa"/>
            <w:vAlign w:val="bottom"/>
            <w:gridSpan w:val="2"/>
          </w:tcPr>
          <w:p>
            <w:pPr>
              <w:ind w:left="640"/>
              <w:spacing w:after="0"/>
              <w:rPr>
                <w:sz w:val="20"/>
                <w:szCs w:val="20"/>
                <w:color w:val="auto"/>
              </w:rPr>
            </w:pPr>
            <w:r>
              <w:rPr>
                <w:rFonts w:ascii="Arial" w:cs="Arial" w:eastAsia="Arial" w:hAnsi="Arial"/>
                <w:sz w:val="22"/>
                <w:szCs w:val="22"/>
                <w:b w:val="1"/>
                <w:bCs w:val="1"/>
                <w:i w:val="1"/>
                <w:iCs w:val="1"/>
                <w:color w:val="auto"/>
              </w:rPr>
              <w:t>Participant</w:t>
            </w:r>
          </w:p>
        </w:tc>
        <w:tc>
          <w:tcPr>
            <w:tcW w:w="820" w:type="dxa"/>
            <w:vAlign w:val="bottom"/>
          </w:tcPr>
          <w:p>
            <w:pPr>
              <w:ind w:left="60"/>
              <w:spacing w:after="0"/>
              <w:rPr>
                <w:sz w:val="20"/>
                <w:szCs w:val="20"/>
                <w:color w:val="auto"/>
              </w:rPr>
            </w:pPr>
            <w:r>
              <w:rPr>
                <w:rFonts w:ascii="Arial" w:cs="Arial" w:eastAsia="Arial" w:hAnsi="Arial"/>
                <w:sz w:val="22"/>
                <w:szCs w:val="22"/>
                <w:b w:val="1"/>
                <w:bCs w:val="1"/>
                <w:i w:val="1"/>
                <w:iCs w:val="1"/>
                <w:color w:val="auto"/>
              </w:rPr>
              <w:t>hereby</w:t>
            </w:r>
          </w:p>
        </w:tc>
        <w:tc>
          <w:tcPr>
            <w:tcW w:w="1040" w:type="dxa"/>
            <w:vAlign w:val="bottom"/>
          </w:tcPr>
          <w:p>
            <w:pPr>
              <w:ind w:left="60"/>
              <w:spacing w:after="0"/>
              <w:rPr>
                <w:sz w:val="20"/>
                <w:szCs w:val="20"/>
                <w:color w:val="auto"/>
              </w:rPr>
            </w:pPr>
            <w:r>
              <w:rPr>
                <w:rFonts w:ascii="Arial" w:cs="Arial" w:eastAsia="Arial" w:hAnsi="Arial"/>
                <w:sz w:val="22"/>
                <w:szCs w:val="22"/>
                <w:b w:val="1"/>
                <w:bCs w:val="1"/>
                <w:i w:val="1"/>
                <w:iCs w:val="1"/>
                <w:color w:val="auto"/>
              </w:rPr>
              <w:t>explicitly</w:t>
            </w:r>
          </w:p>
        </w:tc>
        <w:tc>
          <w:tcPr>
            <w:tcW w:w="500" w:type="dxa"/>
            <w:vAlign w:val="bottom"/>
          </w:tcPr>
          <w:p>
            <w:pPr>
              <w:ind w:left="60"/>
              <w:spacing w:after="0"/>
              <w:rPr>
                <w:sz w:val="20"/>
                <w:szCs w:val="20"/>
                <w:color w:val="auto"/>
              </w:rPr>
            </w:pPr>
            <w:r>
              <w:rPr>
                <w:rFonts w:ascii="Arial" w:cs="Arial" w:eastAsia="Arial" w:hAnsi="Arial"/>
                <w:sz w:val="22"/>
                <w:szCs w:val="22"/>
                <w:b w:val="1"/>
                <w:bCs w:val="1"/>
                <w:i w:val="1"/>
                <w:iCs w:val="1"/>
                <w:color w:val="auto"/>
              </w:rPr>
              <w:t>and</w:t>
            </w:r>
          </w:p>
        </w:tc>
        <w:tc>
          <w:tcPr>
            <w:tcW w:w="1520" w:type="dxa"/>
            <w:vAlign w:val="bottom"/>
          </w:tcPr>
          <w:p>
            <w:pPr>
              <w:ind w:left="120"/>
              <w:spacing w:after="0"/>
              <w:rPr>
                <w:sz w:val="20"/>
                <w:szCs w:val="20"/>
                <w:color w:val="auto"/>
              </w:rPr>
            </w:pPr>
            <w:r>
              <w:rPr>
                <w:rFonts w:ascii="Arial" w:cs="Arial" w:eastAsia="Arial" w:hAnsi="Arial"/>
                <w:sz w:val="22"/>
                <w:szCs w:val="22"/>
                <w:b w:val="1"/>
                <w:bCs w:val="1"/>
                <w:i w:val="1"/>
                <w:iCs w:val="1"/>
                <w:color w:val="auto"/>
                <w:w w:val="84"/>
              </w:rPr>
              <w:t>unambiguously</w:t>
            </w:r>
          </w:p>
        </w:tc>
        <w:tc>
          <w:tcPr>
            <w:tcW w:w="1060" w:type="dxa"/>
            <w:vAlign w:val="bottom"/>
          </w:tcPr>
          <w:p>
            <w:pPr>
              <w:ind w:left="360"/>
              <w:spacing w:after="0"/>
              <w:rPr>
                <w:sz w:val="20"/>
                <w:szCs w:val="20"/>
                <w:color w:val="auto"/>
              </w:rPr>
            </w:pPr>
            <w:r>
              <w:rPr>
                <w:rFonts w:ascii="Arial" w:cs="Arial" w:eastAsia="Arial" w:hAnsi="Arial"/>
                <w:sz w:val="22"/>
                <w:szCs w:val="22"/>
                <w:b w:val="1"/>
                <w:bCs w:val="1"/>
                <w:i w:val="1"/>
                <w:iCs w:val="1"/>
                <w:color w:val="auto"/>
                <w:w w:val="85"/>
              </w:rPr>
              <w:t>Peserta</w:t>
            </w:r>
          </w:p>
        </w:tc>
        <w:tc>
          <w:tcPr>
            <w:tcW w:w="1200" w:type="dxa"/>
            <w:vAlign w:val="bottom"/>
            <w:gridSpan w:val="2"/>
          </w:tcPr>
          <w:p>
            <w:pPr>
              <w:jc w:val="right"/>
              <w:ind w:right="12"/>
              <w:spacing w:after="0"/>
              <w:rPr>
                <w:sz w:val="20"/>
                <w:szCs w:val="20"/>
                <w:color w:val="auto"/>
              </w:rPr>
            </w:pPr>
            <w:r>
              <w:rPr>
                <w:rFonts w:ascii="Arial" w:cs="Arial" w:eastAsia="Arial" w:hAnsi="Arial"/>
                <w:sz w:val="22"/>
                <w:szCs w:val="22"/>
                <w:b w:val="1"/>
                <w:bCs w:val="1"/>
                <w:i w:val="1"/>
                <w:iCs w:val="1"/>
                <w:color w:val="auto"/>
                <w:w w:val="96"/>
              </w:rPr>
              <w:t>dengan ini</w:t>
            </w:r>
          </w:p>
        </w:tc>
        <w:tc>
          <w:tcPr>
            <w:tcW w:w="3420" w:type="dxa"/>
            <w:vAlign w:val="bottom"/>
            <w:gridSpan w:val="5"/>
          </w:tcPr>
          <w:p>
            <w:pPr>
              <w:jc w:val="right"/>
              <w:spacing w:after="0"/>
              <w:rPr>
                <w:sz w:val="20"/>
                <w:szCs w:val="20"/>
                <w:color w:val="auto"/>
              </w:rPr>
            </w:pPr>
            <w:r>
              <w:rPr>
                <w:rFonts w:ascii="Arial" w:cs="Arial" w:eastAsia="Arial" w:hAnsi="Arial"/>
                <w:sz w:val="22"/>
                <w:szCs w:val="22"/>
                <w:b w:val="1"/>
                <w:bCs w:val="1"/>
                <w:i w:val="1"/>
                <w:iCs w:val="1"/>
                <w:color w:val="auto"/>
                <w:w w:val="89"/>
              </w:rPr>
              <w:t>secara eksplisit dan tanpa sebarang</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line="243" w:lineRule="exact"/>
              <w:rPr>
                <w:sz w:val="20"/>
                <w:szCs w:val="20"/>
                <w:color w:val="auto"/>
              </w:rPr>
            </w:pPr>
            <w:r>
              <w:rPr>
                <w:rFonts w:ascii="Arial" w:cs="Arial" w:eastAsia="Arial" w:hAnsi="Arial"/>
                <w:sz w:val="22"/>
                <w:szCs w:val="22"/>
                <w:b w:val="1"/>
                <w:bCs w:val="1"/>
                <w:i w:val="1"/>
                <w:iCs w:val="1"/>
                <w:color w:val="auto"/>
                <w:w w:val="92"/>
              </w:rPr>
              <w:t>consents to the collection, use and transfer, in electronic or keraguan</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88"/>
              </w:rPr>
              <w:t>mengizinkan</w:t>
            </w:r>
          </w:p>
        </w:tc>
        <w:tc>
          <w:tcPr>
            <w:tcW w:w="168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pengumpulan,</w:t>
            </w:r>
          </w:p>
        </w:tc>
        <w:tc>
          <w:tcPr>
            <w:tcW w:w="12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87"/>
              </w:rPr>
              <w:t>penggunaan</w:t>
            </w: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rPr>
              <w:t>dan</w:t>
            </w:r>
          </w:p>
        </w:tc>
        <w:tc>
          <w:tcPr>
            <w:tcW w:w="0" w:type="dxa"/>
            <w:vAlign w:val="bottom"/>
          </w:tcPr>
          <w:p>
            <w:pPr>
              <w:spacing w:after="0"/>
              <w:rPr>
                <w:sz w:val="1"/>
                <w:szCs w:val="1"/>
                <w:color w:val="auto"/>
              </w:rPr>
            </w:pPr>
          </w:p>
        </w:tc>
      </w:tr>
      <w:tr>
        <w:trPr>
          <w:trHeight w:val="243"/>
        </w:trPr>
        <w:tc>
          <w:tcPr>
            <w:tcW w:w="10880" w:type="dxa"/>
            <w:vAlign w:val="bottom"/>
            <w:gridSpan w:val="13"/>
          </w:tcPr>
          <w:p>
            <w:pPr>
              <w:spacing w:after="0" w:line="243" w:lineRule="exact"/>
              <w:rPr>
                <w:sz w:val="20"/>
                <w:szCs w:val="20"/>
                <w:color w:val="auto"/>
              </w:rPr>
            </w:pPr>
            <w:r>
              <w:rPr>
                <w:rFonts w:ascii="Arial" w:cs="Arial" w:eastAsia="Arial" w:hAnsi="Arial"/>
                <w:sz w:val="22"/>
                <w:szCs w:val="22"/>
                <w:b w:val="1"/>
                <w:bCs w:val="1"/>
                <w:i w:val="1"/>
                <w:iCs w:val="1"/>
                <w:color w:val="auto"/>
                <w:w w:val="91"/>
              </w:rPr>
              <w:t>other form, of Participant’s personal data as described in this pemindahan, dalam bentuk elektronik atau lain-lain,</w:t>
            </w: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w w:val="97"/>
              </w:rPr>
              <w:t>data</w:t>
            </w:r>
          </w:p>
        </w:tc>
        <w:tc>
          <w:tcPr>
            <w:tcW w:w="0" w:type="dxa"/>
            <w:vAlign w:val="bottom"/>
          </w:tcPr>
          <w:p>
            <w:pPr>
              <w:spacing w:after="0"/>
              <w:rPr>
                <w:sz w:val="1"/>
                <w:szCs w:val="1"/>
                <w:color w:val="auto"/>
              </w:rPr>
            </w:pPr>
          </w:p>
        </w:tc>
      </w:tr>
      <w:tr>
        <w:trPr>
          <w:trHeight w:val="243"/>
        </w:trPr>
        <w:tc>
          <w:tcPr>
            <w:tcW w:w="7300" w:type="dxa"/>
            <w:vAlign w:val="bottom"/>
            <w:gridSpan w:val="8"/>
          </w:tcPr>
          <w:p>
            <w:pPr>
              <w:spacing w:after="0" w:line="243" w:lineRule="exact"/>
              <w:rPr>
                <w:sz w:val="20"/>
                <w:szCs w:val="20"/>
                <w:color w:val="auto"/>
              </w:rPr>
            </w:pPr>
            <w:r>
              <w:rPr>
                <w:rFonts w:ascii="Arial" w:cs="Arial" w:eastAsia="Arial" w:hAnsi="Arial"/>
                <w:sz w:val="22"/>
                <w:szCs w:val="22"/>
                <w:b w:val="1"/>
                <w:bCs w:val="1"/>
                <w:i w:val="1"/>
                <w:iCs w:val="1"/>
                <w:color w:val="auto"/>
                <w:w w:val="90"/>
              </w:rPr>
              <w:t>Award Agreement and any other Restricted Stock Unit grant peribadi Peserta</w:t>
            </w:r>
          </w:p>
        </w:tc>
        <w:tc>
          <w:tcPr>
            <w:tcW w:w="64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w w:val="85"/>
              </w:rPr>
              <w:t>seperti</w:t>
            </w:r>
          </w:p>
        </w:tc>
        <w:tc>
          <w:tcPr>
            <w:tcW w:w="168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i w:val="1"/>
                <w:iCs w:val="1"/>
                <w:color w:val="auto"/>
                <w:w w:val="89"/>
              </w:rPr>
              <w:t>yang dinyatakan</w:t>
            </w:r>
          </w:p>
        </w:tc>
        <w:tc>
          <w:tcPr>
            <w:tcW w:w="1740" w:type="dxa"/>
            <w:vAlign w:val="bottom"/>
            <w:gridSpan w:val="3"/>
          </w:tcPr>
          <w:p>
            <w:pPr>
              <w:jc w:val="right"/>
              <w:spacing w:after="0" w:line="243" w:lineRule="exact"/>
              <w:rPr>
                <w:sz w:val="20"/>
                <w:szCs w:val="20"/>
                <w:color w:val="auto"/>
              </w:rPr>
            </w:pPr>
            <w:r>
              <w:rPr>
                <w:rFonts w:ascii="Arial" w:cs="Arial" w:eastAsia="Arial" w:hAnsi="Arial"/>
                <w:sz w:val="22"/>
                <w:szCs w:val="22"/>
                <w:b w:val="1"/>
                <w:bCs w:val="1"/>
                <w:i w:val="1"/>
                <w:iCs w:val="1"/>
                <w:color w:val="auto"/>
                <w:w w:val="97"/>
              </w:rPr>
              <w:t>dalam Perjanjian</w:t>
            </w:r>
          </w:p>
        </w:tc>
        <w:tc>
          <w:tcPr>
            <w:tcW w:w="0" w:type="dxa"/>
            <w:vAlign w:val="bottom"/>
          </w:tcPr>
          <w:p>
            <w:pPr>
              <w:spacing w:after="0"/>
              <w:rPr>
                <w:sz w:val="1"/>
                <w:szCs w:val="1"/>
                <w:color w:val="auto"/>
              </w:rPr>
            </w:pPr>
          </w:p>
        </w:tc>
      </w:tr>
      <w:tr>
        <w:trPr>
          <w:trHeight w:val="243"/>
        </w:trPr>
        <w:tc>
          <w:tcPr>
            <w:tcW w:w="7300" w:type="dxa"/>
            <w:vAlign w:val="bottom"/>
            <w:gridSpan w:val="8"/>
          </w:tcPr>
          <w:p>
            <w:pPr>
              <w:spacing w:after="0" w:line="243" w:lineRule="exact"/>
              <w:rPr>
                <w:sz w:val="20"/>
                <w:szCs w:val="20"/>
                <w:color w:val="auto"/>
              </w:rPr>
            </w:pPr>
            <w:r>
              <w:rPr>
                <w:rFonts w:ascii="Arial" w:cs="Arial" w:eastAsia="Arial" w:hAnsi="Arial"/>
                <w:sz w:val="22"/>
                <w:szCs w:val="22"/>
                <w:b w:val="1"/>
                <w:bCs w:val="1"/>
                <w:i w:val="1"/>
                <w:iCs w:val="1"/>
                <w:color w:val="auto"/>
                <w:w w:val="92"/>
              </w:rPr>
              <w:t>materials by and among, as applicable, the Employer, the Penganugerahan</w:t>
            </w:r>
          </w:p>
        </w:tc>
        <w:tc>
          <w:tcPr>
            <w:tcW w:w="1460" w:type="dxa"/>
            <w:vAlign w:val="bottom"/>
            <w:gridSpan w:val="2"/>
          </w:tcPr>
          <w:p>
            <w:pPr>
              <w:ind w:left="100"/>
              <w:spacing w:after="0" w:line="243" w:lineRule="exact"/>
              <w:rPr>
                <w:sz w:val="20"/>
                <w:szCs w:val="20"/>
                <w:color w:val="auto"/>
              </w:rPr>
            </w:pPr>
            <w:r>
              <w:rPr>
                <w:rFonts w:ascii="Arial" w:cs="Arial" w:eastAsia="Arial" w:hAnsi="Arial"/>
                <w:sz w:val="22"/>
                <w:szCs w:val="22"/>
                <w:b w:val="1"/>
                <w:bCs w:val="1"/>
                <w:i w:val="1"/>
                <w:iCs w:val="1"/>
                <w:color w:val="auto"/>
                <w:w w:val="99"/>
              </w:rPr>
              <w:t>dan  apa-apa</w:t>
            </w:r>
          </w:p>
        </w:tc>
        <w:tc>
          <w:tcPr>
            <w:tcW w:w="1840" w:type="dxa"/>
            <w:vAlign w:val="bottom"/>
            <w:gridSpan w:val="2"/>
          </w:tcPr>
          <w:p>
            <w:pPr>
              <w:ind w:left="20"/>
              <w:spacing w:after="0" w:line="243" w:lineRule="exact"/>
              <w:rPr>
                <w:sz w:val="20"/>
                <w:szCs w:val="20"/>
                <w:color w:val="auto"/>
              </w:rPr>
            </w:pPr>
            <w:r>
              <w:rPr>
                <w:rFonts w:ascii="Arial" w:cs="Arial" w:eastAsia="Arial" w:hAnsi="Arial"/>
                <w:sz w:val="22"/>
                <w:szCs w:val="22"/>
                <w:b w:val="1"/>
                <w:bCs w:val="1"/>
                <w:i w:val="1"/>
                <w:iCs w:val="1"/>
                <w:color w:val="auto"/>
                <w:w w:val="93"/>
              </w:rPr>
              <w:t>bahan  geran  Unit</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99"/>
              </w:rPr>
              <w:t>Saham</w:t>
            </w:r>
          </w:p>
        </w:tc>
        <w:tc>
          <w:tcPr>
            <w:tcW w:w="0" w:type="dxa"/>
            <w:vAlign w:val="bottom"/>
          </w:tcPr>
          <w:p>
            <w:pPr>
              <w:spacing w:after="0"/>
              <w:rPr>
                <w:sz w:val="1"/>
                <w:szCs w:val="1"/>
                <w:color w:val="auto"/>
              </w:rPr>
            </w:pPr>
          </w:p>
        </w:tc>
      </w:tr>
      <w:tr>
        <w:trPr>
          <w:trHeight w:val="243"/>
        </w:trPr>
        <w:tc>
          <w:tcPr>
            <w:tcW w:w="8760" w:type="dxa"/>
            <w:vAlign w:val="bottom"/>
            <w:gridSpan w:val="10"/>
          </w:tcPr>
          <w:p>
            <w:pPr>
              <w:spacing w:after="0" w:line="243" w:lineRule="exact"/>
              <w:rPr>
                <w:sz w:val="20"/>
                <w:szCs w:val="20"/>
                <w:color w:val="auto"/>
              </w:rPr>
            </w:pPr>
            <w:r>
              <w:rPr>
                <w:rFonts w:ascii="Arial" w:cs="Arial" w:eastAsia="Arial" w:hAnsi="Arial"/>
                <w:sz w:val="22"/>
                <w:szCs w:val="22"/>
                <w:b w:val="1"/>
                <w:bCs w:val="1"/>
                <w:i w:val="1"/>
                <w:iCs w:val="1"/>
                <w:color w:val="auto"/>
                <w:w w:val="95"/>
              </w:rPr>
              <w:t>Company and any Parent or Subsidiary for the exclusive Terbatas yang lain oleh dan di</w:t>
            </w:r>
          </w:p>
        </w:tc>
        <w:tc>
          <w:tcPr>
            <w:tcW w:w="860" w:type="dxa"/>
            <w:vAlign w:val="bottom"/>
          </w:tcPr>
          <w:p>
            <w:pPr>
              <w:ind w:left="100"/>
              <w:spacing w:after="0" w:line="243" w:lineRule="exact"/>
              <w:rPr>
                <w:sz w:val="20"/>
                <w:szCs w:val="20"/>
                <w:color w:val="auto"/>
              </w:rPr>
            </w:pPr>
            <w:r>
              <w:rPr>
                <w:rFonts w:ascii="Arial" w:cs="Arial" w:eastAsia="Arial" w:hAnsi="Arial"/>
                <w:sz w:val="22"/>
                <w:szCs w:val="22"/>
                <w:b w:val="1"/>
                <w:bCs w:val="1"/>
                <w:i w:val="1"/>
                <w:iCs w:val="1"/>
                <w:color w:val="auto"/>
              </w:rPr>
              <w:t>antara,</w:t>
            </w:r>
          </w:p>
        </w:tc>
        <w:tc>
          <w:tcPr>
            <w:tcW w:w="12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83"/>
              </w:rPr>
              <w:t>sebagaimana</w:t>
            </w: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w w:val="85"/>
              </w:rPr>
              <w:t>yang</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b w:val="1"/>
                <w:bCs w:val="1"/>
                <w:i w:val="1"/>
                <w:iCs w:val="1"/>
                <w:color w:val="auto"/>
              </w:rPr>
              <w:t>purpose  of</w:t>
            </w:r>
          </w:p>
        </w:tc>
        <w:tc>
          <w:tcPr>
            <w:tcW w:w="1340" w:type="dxa"/>
            <w:vAlign w:val="bottom"/>
            <w:gridSpan w:val="2"/>
          </w:tcPr>
          <w:p>
            <w:pPr>
              <w:spacing w:after="0" w:line="243" w:lineRule="exact"/>
              <w:rPr>
                <w:sz w:val="20"/>
                <w:szCs w:val="20"/>
                <w:color w:val="auto"/>
              </w:rPr>
            </w:pPr>
            <w:r>
              <w:rPr>
                <w:rFonts w:ascii="Arial" w:cs="Arial" w:eastAsia="Arial" w:hAnsi="Arial"/>
                <w:sz w:val="22"/>
                <w:szCs w:val="22"/>
                <w:b w:val="1"/>
                <w:bCs w:val="1"/>
                <w:i w:val="1"/>
                <w:iCs w:val="1"/>
                <w:color w:val="auto"/>
                <w:w w:val="88"/>
              </w:rPr>
              <w:t>implementing,</w:t>
            </w:r>
          </w:p>
        </w:tc>
        <w:tc>
          <w:tcPr>
            <w:tcW w:w="1540" w:type="dxa"/>
            <w:vAlign w:val="bottom"/>
            <w:gridSpan w:val="2"/>
          </w:tcPr>
          <w:p>
            <w:pPr>
              <w:ind w:left="140"/>
              <w:spacing w:after="0" w:line="243" w:lineRule="exact"/>
              <w:rPr>
                <w:sz w:val="20"/>
                <w:szCs w:val="20"/>
                <w:color w:val="auto"/>
              </w:rPr>
            </w:pPr>
            <w:r>
              <w:rPr>
                <w:rFonts w:ascii="Arial" w:cs="Arial" w:eastAsia="Arial" w:hAnsi="Arial"/>
                <w:sz w:val="22"/>
                <w:szCs w:val="22"/>
                <w:b w:val="1"/>
                <w:bCs w:val="1"/>
                <w:i w:val="1"/>
                <w:iCs w:val="1"/>
                <w:color w:val="auto"/>
                <w:w w:val="95"/>
              </w:rPr>
              <w:t>administering</w:t>
            </w:r>
          </w:p>
        </w:tc>
        <w:tc>
          <w:tcPr>
            <w:tcW w:w="7200" w:type="dxa"/>
            <w:vAlign w:val="bottom"/>
            <w:gridSpan w:val="9"/>
          </w:tcPr>
          <w:p>
            <w:pPr>
              <w:jc w:val="right"/>
              <w:spacing w:after="0" w:line="243" w:lineRule="exact"/>
              <w:rPr>
                <w:sz w:val="20"/>
                <w:szCs w:val="20"/>
                <w:color w:val="auto"/>
              </w:rPr>
            </w:pPr>
            <w:r>
              <w:rPr>
                <w:rFonts w:ascii="Arial" w:cs="Arial" w:eastAsia="Arial" w:hAnsi="Arial"/>
                <w:sz w:val="22"/>
                <w:szCs w:val="22"/>
                <w:b w:val="1"/>
                <w:bCs w:val="1"/>
                <w:i w:val="1"/>
                <w:iCs w:val="1"/>
                <w:color w:val="auto"/>
                <w:w w:val="89"/>
              </w:rPr>
              <w:t>and  managing berkenaan, Majikan, Syarikat, dan mana-mana Syarikat Induk</w:t>
            </w:r>
          </w:p>
        </w:tc>
        <w:tc>
          <w:tcPr>
            <w:tcW w:w="0" w:type="dxa"/>
            <w:vAlign w:val="bottom"/>
          </w:tcPr>
          <w:p>
            <w:pPr>
              <w:spacing w:after="0"/>
              <w:rPr>
                <w:sz w:val="1"/>
                <w:szCs w:val="1"/>
                <w:color w:val="auto"/>
              </w:rPr>
            </w:pPr>
          </w:p>
        </w:tc>
      </w:tr>
      <w:tr>
        <w:trPr>
          <w:trHeight w:val="243"/>
        </w:trPr>
        <w:tc>
          <w:tcPr>
            <w:tcW w:w="3660" w:type="dxa"/>
            <w:vAlign w:val="bottom"/>
            <w:gridSpan w:val="4"/>
          </w:tcPr>
          <w:p>
            <w:pPr>
              <w:spacing w:after="0" w:line="243" w:lineRule="exact"/>
              <w:rPr>
                <w:sz w:val="20"/>
                <w:szCs w:val="20"/>
                <w:color w:val="auto"/>
              </w:rPr>
            </w:pPr>
            <w:r>
              <w:rPr>
                <w:rFonts w:ascii="Arial" w:cs="Arial" w:eastAsia="Arial" w:hAnsi="Arial"/>
                <w:sz w:val="22"/>
                <w:szCs w:val="22"/>
                <w:b w:val="1"/>
                <w:bCs w:val="1"/>
                <w:i w:val="1"/>
                <w:iCs w:val="1"/>
                <w:color w:val="auto"/>
                <w:w w:val="92"/>
              </w:rPr>
              <w:t>Participant’s participation in the Plan.</w:t>
            </w: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80" w:type="dxa"/>
            <w:vAlign w:val="bottom"/>
            <w:gridSpan w:val="8"/>
          </w:tcPr>
          <w:p>
            <w:pPr>
              <w:jc w:val="right"/>
              <w:spacing w:after="0" w:line="243" w:lineRule="exact"/>
              <w:rPr>
                <w:sz w:val="20"/>
                <w:szCs w:val="20"/>
                <w:color w:val="auto"/>
              </w:rPr>
            </w:pPr>
            <w:r>
              <w:rPr>
                <w:rFonts w:ascii="Arial" w:cs="Arial" w:eastAsia="Arial" w:hAnsi="Arial"/>
                <w:sz w:val="22"/>
                <w:szCs w:val="22"/>
                <w:b w:val="1"/>
                <w:bCs w:val="1"/>
                <w:i w:val="1"/>
                <w:iCs w:val="1"/>
                <w:color w:val="auto"/>
                <w:w w:val="91"/>
              </w:rPr>
              <w:t>atau Anak Syarikat untuk tujuan ekslusif bagi pelaksanaan,</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80" w:type="dxa"/>
            <w:vAlign w:val="bottom"/>
            <w:gridSpan w:val="8"/>
          </w:tcPr>
          <w:p>
            <w:pPr>
              <w:jc w:val="right"/>
              <w:spacing w:after="0" w:line="243" w:lineRule="exact"/>
              <w:rPr>
                <w:sz w:val="20"/>
                <w:szCs w:val="20"/>
                <w:color w:val="auto"/>
              </w:rPr>
            </w:pPr>
            <w:r>
              <w:rPr>
                <w:rFonts w:ascii="Arial" w:cs="Arial" w:eastAsia="Arial" w:hAnsi="Arial"/>
                <w:sz w:val="22"/>
                <w:szCs w:val="22"/>
                <w:b w:val="1"/>
                <w:bCs w:val="1"/>
                <w:i w:val="1"/>
                <w:iCs w:val="1"/>
                <w:color w:val="auto"/>
                <w:w w:val="87"/>
              </w:rPr>
              <w:t>pentadbiran dan pengurusan penyertaan Peserta dalam Pelan</w:t>
            </w:r>
          </w:p>
        </w:tc>
        <w:tc>
          <w:tcPr>
            <w:tcW w:w="0" w:type="dxa"/>
            <w:vAlign w:val="bottom"/>
          </w:tcPr>
          <w:p>
            <w:pPr>
              <w:spacing w:after="0"/>
              <w:rPr>
                <w:sz w:val="1"/>
                <w:szCs w:val="1"/>
                <w:color w:val="auto"/>
              </w:rPr>
            </w:pPr>
          </w:p>
        </w:tc>
      </w:tr>
      <w:tr>
        <w:trPr>
          <w:trHeight w:val="243"/>
        </w:trPr>
        <w:tc>
          <w:tcPr>
            <w:tcW w:w="6740" w:type="dxa"/>
            <w:vAlign w:val="bottom"/>
            <w:gridSpan w:val="7"/>
          </w:tcPr>
          <w:p>
            <w:pPr>
              <w:ind w:left="640"/>
              <w:spacing w:after="0" w:line="243" w:lineRule="exact"/>
              <w:rPr>
                <w:sz w:val="20"/>
                <w:szCs w:val="20"/>
                <w:color w:val="auto"/>
              </w:rPr>
            </w:pPr>
            <w:r>
              <w:rPr>
                <w:rFonts w:ascii="Arial" w:cs="Arial" w:eastAsia="Arial" w:hAnsi="Arial"/>
                <w:sz w:val="22"/>
                <w:szCs w:val="22"/>
                <w:b w:val="1"/>
                <w:bCs w:val="1"/>
                <w:i w:val="1"/>
                <w:iCs w:val="1"/>
                <w:color w:val="auto"/>
                <w:w w:val="96"/>
              </w:rPr>
              <w:t>Participant understands that the Company and the tersebut.</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b w:val="1"/>
                <w:bCs w:val="1"/>
                <w:i w:val="1"/>
                <w:iCs w:val="1"/>
                <w:color w:val="auto"/>
                <w:w w:val="92"/>
              </w:rPr>
              <w:t>Employer  may  hold  certain  personal  information  about</w:t>
            </w:r>
          </w:p>
        </w:tc>
        <w:tc>
          <w:tcPr>
            <w:tcW w:w="5680" w:type="dxa"/>
            <w:vAlign w:val="bottom"/>
            <w:gridSpan w:val="8"/>
            <w:vMerge w:val="restart"/>
          </w:tcPr>
          <w:p>
            <w:pPr>
              <w:jc w:val="right"/>
              <w:spacing w:after="0"/>
              <w:rPr>
                <w:sz w:val="20"/>
                <w:szCs w:val="20"/>
                <w:color w:val="auto"/>
              </w:rPr>
            </w:pPr>
            <w:r>
              <w:rPr>
                <w:rFonts w:ascii="Arial" w:cs="Arial" w:eastAsia="Arial" w:hAnsi="Arial"/>
                <w:sz w:val="22"/>
                <w:szCs w:val="22"/>
                <w:b w:val="1"/>
                <w:bCs w:val="1"/>
                <w:i w:val="1"/>
                <w:iCs w:val="1"/>
                <w:color w:val="auto"/>
                <w:w w:val="92"/>
              </w:rPr>
              <w:t>Peserta memahami bahawa Syarikat dan Majikan mungkin</w:t>
            </w:r>
          </w:p>
        </w:tc>
        <w:tc>
          <w:tcPr>
            <w:tcW w:w="0" w:type="dxa"/>
            <w:vAlign w:val="bottom"/>
          </w:tcPr>
          <w:p>
            <w:pPr>
              <w:spacing w:after="0"/>
              <w:rPr>
                <w:sz w:val="1"/>
                <w:szCs w:val="1"/>
                <w:color w:val="auto"/>
              </w:rPr>
            </w:pPr>
          </w:p>
        </w:tc>
      </w:tr>
      <w:tr>
        <w:trPr>
          <w:trHeight w:val="216"/>
        </w:trPr>
        <w:tc>
          <w:tcPr>
            <w:tcW w:w="5680" w:type="dxa"/>
            <w:vAlign w:val="bottom"/>
            <w:gridSpan w:val="6"/>
          </w:tcPr>
          <w:p>
            <w:pPr>
              <w:spacing w:after="0" w:line="217" w:lineRule="exact"/>
              <w:rPr>
                <w:sz w:val="20"/>
                <w:szCs w:val="20"/>
                <w:color w:val="auto"/>
              </w:rPr>
            </w:pPr>
            <w:r>
              <w:rPr>
                <w:rFonts w:ascii="Arial" w:cs="Arial" w:eastAsia="Arial" w:hAnsi="Arial"/>
                <w:sz w:val="22"/>
                <w:szCs w:val="22"/>
                <w:b w:val="1"/>
                <w:bCs w:val="1"/>
                <w:i w:val="1"/>
                <w:iCs w:val="1"/>
                <w:color w:val="auto"/>
                <w:w w:val="90"/>
              </w:rPr>
              <w:t>Participant, including, but not limited to, Participant’s name,</w:t>
            </w:r>
          </w:p>
        </w:tc>
        <w:tc>
          <w:tcPr>
            <w:tcW w:w="568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tcPr>
          <w:p>
            <w:pPr>
              <w:spacing w:after="0"/>
              <w:rPr>
                <w:sz w:val="20"/>
                <w:szCs w:val="20"/>
                <w:color w:val="auto"/>
              </w:rPr>
            </w:pPr>
            <w:r>
              <w:rPr>
                <w:rFonts w:ascii="Arial" w:cs="Arial" w:eastAsia="Arial" w:hAnsi="Arial"/>
                <w:sz w:val="22"/>
                <w:szCs w:val="22"/>
                <w:b w:val="1"/>
                <w:bCs w:val="1"/>
                <w:i w:val="1"/>
                <w:iCs w:val="1"/>
                <w:color w:val="auto"/>
                <w:w w:val="84"/>
              </w:rPr>
              <w:t>home address</w:t>
            </w:r>
          </w:p>
        </w:tc>
        <w:tc>
          <w:tcPr>
            <w:tcW w:w="520" w:type="dxa"/>
            <w:vAlign w:val="bottom"/>
          </w:tcPr>
          <w:p>
            <w:pPr>
              <w:ind w:left="120"/>
              <w:spacing w:after="0"/>
              <w:rPr>
                <w:sz w:val="20"/>
                <w:szCs w:val="20"/>
                <w:color w:val="auto"/>
              </w:rPr>
            </w:pPr>
            <w:r>
              <w:rPr>
                <w:rFonts w:ascii="Arial" w:cs="Arial" w:eastAsia="Arial" w:hAnsi="Arial"/>
                <w:sz w:val="22"/>
                <w:szCs w:val="22"/>
                <w:b w:val="1"/>
                <w:bCs w:val="1"/>
                <w:i w:val="1"/>
                <w:iCs w:val="1"/>
                <w:color w:val="auto"/>
                <w:w w:val="97"/>
              </w:rPr>
              <w:t>and</w:t>
            </w:r>
          </w:p>
        </w:tc>
        <w:tc>
          <w:tcPr>
            <w:tcW w:w="1860" w:type="dxa"/>
            <w:vAlign w:val="bottom"/>
            <w:gridSpan w:val="2"/>
          </w:tcPr>
          <w:p>
            <w:pPr>
              <w:ind w:left="80"/>
              <w:spacing w:after="0"/>
              <w:rPr>
                <w:sz w:val="20"/>
                <w:szCs w:val="20"/>
                <w:color w:val="auto"/>
              </w:rPr>
            </w:pPr>
            <w:r>
              <w:rPr>
                <w:rFonts w:ascii="Arial" w:cs="Arial" w:eastAsia="Arial" w:hAnsi="Arial"/>
                <w:sz w:val="22"/>
                <w:szCs w:val="22"/>
                <w:b w:val="1"/>
                <w:bCs w:val="1"/>
                <w:i w:val="1"/>
                <w:iCs w:val="1"/>
                <w:color w:val="auto"/>
                <w:w w:val="89"/>
              </w:rPr>
              <w:t>telephone number,</w:t>
            </w:r>
          </w:p>
        </w:tc>
        <w:tc>
          <w:tcPr>
            <w:tcW w:w="500" w:type="dxa"/>
            <w:vAlign w:val="bottom"/>
          </w:tcPr>
          <w:p>
            <w:pPr>
              <w:ind w:left="60"/>
              <w:spacing w:after="0"/>
              <w:rPr>
                <w:sz w:val="20"/>
                <w:szCs w:val="20"/>
                <w:color w:val="auto"/>
              </w:rPr>
            </w:pPr>
            <w:r>
              <w:rPr>
                <w:rFonts w:ascii="Arial" w:cs="Arial" w:eastAsia="Arial" w:hAnsi="Arial"/>
                <w:sz w:val="22"/>
                <w:szCs w:val="22"/>
                <w:b w:val="1"/>
                <w:bCs w:val="1"/>
                <w:i w:val="1"/>
                <w:iCs w:val="1"/>
                <w:color w:val="auto"/>
                <w:w w:val="92"/>
              </w:rPr>
              <w:t>date</w:t>
            </w:r>
          </w:p>
        </w:tc>
        <w:tc>
          <w:tcPr>
            <w:tcW w:w="2580" w:type="dxa"/>
            <w:vAlign w:val="bottom"/>
            <w:gridSpan w:val="2"/>
          </w:tcPr>
          <w:p>
            <w:pPr>
              <w:ind w:left="60"/>
              <w:spacing w:after="0"/>
              <w:rPr>
                <w:sz w:val="20"/>
                <w:szCs w:val="20"/>
                <w:color w:val="auto"/>
              </w:rPr>
            </w:pPr>
            <w:r>
              <w:rPr>
                <w:rFonts w:ascii="Arial" w:cs="Arial" w:eastAsia="Arial" w:hAnsi="Arial"/>
                <w:sz w:val="22"/>
                <w:szCs w:val="22"/>
                <w:b w:val="1"/>
                <w:bCs w:val="1"/>
                <w:i w:val="1"/>
                <w:iCs w:val="1"/>
                <w:color w:val="auto"/>
                <w:w w:val="91"/>
              </w:rPr>
              <w:t>of birth, social memegang</w:t>
            </w:r>
          </w:p>
        </w:tc>
        <w:tc>
          <w:tcPr>
            <w:tcW w:w="1200" w:type="dxa"/>
            <w:vAlign w:val="bottom"/>
            <w:gridSpan w:val="2"/>
          </w:tcPr>
          <w:p>
            <w:pPr>
              <w:jc w:val="right"/>
              <w:ind w:right="72"/>
              <w:spacing w:after="0"/>
              <w:rPr>
                <w:sz w:val="20"/>
                <w:szCs w:val="20"/>
                <w:color w:val="auto"/>
              </w:rPr>
            </w:pPr>
            <w:r>
              <w:rPr>
                <w:rFonts w:ascii="Arial" w:cs="Arial" w:eastAsia="Arial" w:hAnsi="Arial"/>
                <w:sz w:val="22"/>
                <w:szCs w:val="22"/>
                <w:b w:val="1"/>
                <w:bCs w:val="1"/>
                <w:i w:val="1"/>
                <w:iCs w:val="1"/>
                <w:color w:val="auto"/>
                <w:w w:val="97"/>
              </w:rPr>
              <w:t>maklumat</w:t>
            </w:r>
          </w:p>
        </w:tc>
        <w:tc>
          <w:tcPr>
            <w:tcW w:w="820" w:type="dxa"/>
            <w:vAlign w:val="bottom"/>
          </w:tcPr>
          <w:p>
            <w:pPr>
              <w:ind w:left="20"/>
              <w:spacing w:after="0"/>
              <w:rPr>
                <w:sz w:val="20"/>
                <w:szCs w:val="20"/>
                <w:color w:val="auto"/>
              </w:rPr>
            </w:pPr>
            <w:r>
              <w:rPr>
                <w:rFonts w:ascii="Arial" w:cs="Arial" w:eastAsia="Arial" w:hAnsi="Arial"/>
                <w:sz w:val="22"/>
                <w:szCs w:val="22"/>
                <w:b w:val="1"/>
                <w:bCs w:val="1"/>
                <w:i w:val="1"/>
                <w:iCs w:val="1"/>
                <w:color w:val="auto"/>
                <w:w w:val="91"/>
              </w:rPr>
              <w:t>peribadi</w:t>
            </w:r>
          </w:p>
        </w:tc>
        <w:tc>
          <w:tcPr>
            <w:tcW w:w="860" w:type="dxa"/>
            <w:vAlign w:val="bottom"/>
          </w:tcPr>
          <w:p>
            <w:pPr>
              <w:ind w:left="120"/>
              <w:spacing w:after="0"/>
              <w:rPr>
                <w:sz w:val="20"/>
                <w:szCs w:val="20"/>
                <w:color w:val="auto"/>
              </w:rPr>
            </w:pPr>
            <w:r>
              <w:rPr>
                <w:rFonts w:ascii="Arial" w:cs="Arial" w:eastAsia="Arial" w:hAnsi="Arial"/>
                <w:sz w:val="22"/>
                <w:szCs w:val="22"/>
                <w:b w:val="1"/>
                <w:bCs w:val="1"/>
                <w:i w:val="1"/>
                <w:iCs w:val="1"/>
                <w:color w:val="auto"/>
                <w:w w:val="87"/>
              </w:rPr>
              <w:t>tertentu</w:t>
            </w:r>
          </w:p>
        </w:tc>
        <w:tc>
          <w:tcPr>
            <w:tcW w:w="980" w:type="dxa"/>
            <w:vAlign w:val="bottom"/>
          </w:tcPr>
          <w:p>
            <w:pPr>
              <w:ind w:left="140"/>
              <w:spacing w:after="0"/>
              <w:rPr>
                <w:sz w:val="20"/>
                <w:szCs w:val="20"/>
                <w:color w:val="auto"/>
              </w:rPr>
            </w:pPr>
            <w:r>
              <w:rPr>
                <w:rFonts w:ascii="Arial" w:cs="Arial" w:eastAsia="Arial" w:hAnsi="Arial"/>
                <w:sz w:val="22"/>
                <w:szCs w:val="22"/>
                <w:b w:val="1"/>
                <w:bCs w:val="1"/>
                <w:i w:val="1"/>
                <w:iCs w:val="1"/>
                <w:color w:val="auto"/>
              </w:rPr>
              <w:t>tentang</w:t>
            </w:r>
          </w:p>
        </w:tc>
        <w:tc>
          <w:tcPr>
            <w:tcW w:w="760" w:type="dxa"/>
            <w:vAlign w:val="bottom"/>
            <w:gridSpan w:val="2"/>
          </w:tcPr>
          <w:p>
            <w:pPr>
              <w:jc w:val="right"/>
              <w:spacing w:after="0"/>
              <w:rPr>
                <w:sz w:val="20"/>
                <w:szCs w:val="20"/>
                <w:color w:val="auto"/>
              </w:rPr>
            </w:pPr>
            <w:r>
              <w:rPr>
                <w:rFonts w:ascii="Arial" w:cs="Arial" w:eastAsia="Arial" w:hAnsi="Arial"/>
                <w:sz w:val="22"/>
                <w:szCs w:val="22"/>
                <w:b w:val="1"/>
                <w:bCs w:val="1"/>
                <w:i w:val="1"/>
                <w:iCs w:val="1"/>
                <w:color w:val="auto"/>
                <w:w w:val="84"/>
              </w:rPr>
              <w:t>Peserta,</w:t>
            </w:r>
          </w:p>
        </w:tc>
        <w:tc>
          <w:tcPr>
            <w:tcW w:w="0" w:type="dxa"/>
            <w:vAlign w:val="bottom"/>
          </w:tcPr>
          <w:p>
            <w:pPr>
              <w:spacing w:after="0"/>
              <w:rPr>
                <w:sz w:val="1"/>
                <w:szCs w:val="1"/>
                <w:color w:val="auto"/>
              </w:rPr>
            </w:pPr>
          </w:p>
        </w:tc>
      </w:tr>
    </w:tbl>
    <w:p>
      <w:pPr>
        <w:jc w:val="both"/>
        <w:ind w:right="20"/>
        <w:spacing w:after="0" w:line="267" w:lineRule="auto"/>
        <w:rPr>
          <w:sz w:val="20"/>
          <w:szCs w:val="20"/>
          <w:color w:val="auto"/>
        </w:rPr>
      </w:pPr>
      <w:r>
        <w:rPr>
          <w:rFonts w:ascii="Arial" w:cs="Arial" w:eastAsia="Arial" w:hAnsi="Arial"/>
          <w:sz w:val="19"/>
          <w:szCs w:val="19"/>
          <w:b w:val="1"/>
          <w:bCs w:val="1"/>
          <w:i w:val="1"/>
          <w:iCs w:val="1"/>
          <w:color w:val="auto"/>
        </w:rPr>
        <w:t>insurance number or other identification number, salary, termasuk, tetapi tidak terhad kepada, namanya, alamat rumah nationality, job title, any shares of stock or directorships held in dan nombor telefon, tarikh lahir, nombor insurans sosial atau the Company, details of all Restricted Stock Units or any other nombor pengenalan lain, gaji, kewarganegaraan, jawatan, entitlement to shares of stock awarded, canceled, exercised, apa-apa saham atau jawatan pengarah yang dipegang dalam vested, unvested or outstanding in Participant’s favor (“Data”), Syarikat, butir-butir semua Unit Saham Terbatas atau apa-apa</w:t>
      </w:r>
    </w:p>
    <w:tbl>
      <w:tblPr>
        <w:tblLayout w:type="fixed"/>
        <w:tblInd w:w="0" w:type="dxa"/>
        <w:tblCellMar>
          <w:top w:w="0" w:type="dxa"/>
          <w:left w:w="0" w:type="dxa"/>
          <w:bottom w:w="0" w:type="dxa"/>
          <w:right w:w="0" w:type="dxa"/>
        </w:tblCellMar>
      </w:tblPr>
      <w:tr>
        <w:trPr>
          <w:trHeight w:val="225"/>
        </w:trPr>
        <w:tc>
          <w:tcPr>
            <w:tcW w:w="6160" w:type="dxa"/>
            <w:vAlign w:val="bottom"/>
            <w:gridSpan w:val="7"/>
          </w:tcPr>
          <w:p>
            <w:pPr>
              <w:spacing w:after="0" w:line="225" w:lineRule="exact"/>
              <w:rPr>
                <w:sz w:val="20"/>
                <w:szCs w:val="20"/>
                <w:color w:val="auto"/>
              </w:rPr>
            </w:pPr>
            <w:r>
              <w:rPr>
                <w:rFonts w:ascii="Arial" w:cs="Arial" w:eastAsia="Arial" w:hAnsi="Arial"/>
                <w:sz w:val="22"/>
                <w:szCs w:val="22"/>
                <w:b w:val="1"/>
                <w:bCs w:val="1"/>
                <w:i w:val="1"/>
                <w:iCs w:val="1"/>
                <w:color w:val="auto"/>
                <w:w w:val="89"/>
              </w:rPr>
              <w:t>for the exclusive purpose of implementing, administering and hak</w:t>
            </w:r>
          </w:p>
        </w:tc>
        <w:tc>
          <w:tcPr>
            <w:tcW w:w="460" w:type="dxa"/>
            <w:vAlign w:val="bottom"/>
          </w:tcPr>
          <w:p>
            <w:pPr>
              <w:ind w:left="40"/>
              <w:spacing w:after="0" w:line="225" w:lineRule="exact"/>
              <w:rPr>
                <w:sz w:val="20"/>
                <w:szCs w:val="20"/>
                <w:color w:val="auto"/>
              </w:rPr>
            </w:pPr>
            <w:r>
              <w:rPr>
                <w:rFonts w:ascii="Arial" w:cs="Arial" w:eastAsia="Arial" w:hAnsi="Arial"/>
                <w:sz w:val="22"/>
                <w:szCs w:val="22"/>
                <w:b w:val="1"/>
                <w:bCs w:val="1"/>
                <w:i w:val="1"/>
                <w:iCs w:val="1"/>
                <w:color w:val="auto"/>
              </w:rPr>
              <w:t>lain</w:t>
            </w:r>
          </w:p>
        </w:tc>
        <w:tc>
          <w:tcPr>
            <w:tcW w:w="620" w:type="dxa"/>
            <w:vAlign w:val="bottom"/>
            <w:gridSpan w:val="3"/>
          </w:tcPr>
          <w:p>
            <w:pPr>
              <w:ind w:left="80"/>
              <w:spacing w:after="0" w:line="225" w:lineRule="exact"/>
              <w:rPr>
                <w:sz w:val="20"/>
                <w:szCs w:val="20"/>
                <w:color w:val="auto"/>
              </w:rPr>
            </w:pPr>
            <w:r>
              <w:rPr>
                <w:rFonts w:ascii="Arial" w:cs="Arial" w:eastAsia="Arial" w:hAnsi="Arial"/>
                <w:sz w:val="22"/>
                <w:szCs w:val="22"/>
                <w:b w:val="1"/>
                <w:bCs w:val="1"/>
                <w:i w:val="1"/>
                <w:iCs w:val="1"/>
                <w:color w:val="auto"/>
                <w:w w:val="86"/>
              </w:rPr>
              <w:t>untuk</w:t>
            </w:r>
          </w:p>
        </w:tc>
        <w:tc>
          <w:tcPr>
            <w:tcW w:w="4120" w:type="dxa"/>
            <w:vAlign w:val="bottom"/>
            <w:gridSpan w:val="9"/>
          </w:tcPr>
          <w:p>
            <w:pPr>
              <w:jc w:val="right"/>
              <w:spacing w:after="0" w:line="225" w:lineRule="exact"/>
              <w:rPr>
                <w:sz w:val="20"/>
                <w:szCs w:val="20"/>
                <w:color w:val="auto"/>
              </w:rPr>
            </w:pPr>
            <w:r>
              <w:rPr>
                <w:rFonts w:ascii="Arial" w:cs="Arial" w:eastAsia="Arial" w:hAnsi="Arial"/>
                <w:sz w:val="22"/>
                <w:szCs w:val="22"/>
                <w:b w:val="1"/>
                <w:bCs w:val="1"/>
                <w:i w:val="1"/>
                <w:iCs w:val="1"/>
                <w:color w:val="auto"/>
                <w:w w:val="92"/>
              </w:rPr>
              <w:t>syer  dalam  saham  yang  dianugerahkan,</w:t>
            </w:r>
          </w:p>
        </w:tc>
        <w:tc>
          <w:tcPr>
            <w:tcW w:w="0" w:type="dxa"/>
            <w:vAlign w:val="bottom"/>
          </w:tcPr>
          <w:p>
            <w:pPr>
              <w:spacing w:after="0"/>
              <w:rPr>
                <w:sz w:val="1"/>
                <w:szCs w:val="1"/>
                <w:color w:val="auto"/>
              </w:rPr>
            </w:pPr>
          </w:p>
        </w:tc>
      </w:tr>
      <w:tr>
        <w:trPr>
          <w:trHeight w:val="243"/>
        </w:trPr>
        <w:tc>
          <w:tcPr>
            <w:tcW w:w="6760" w:type="dxa"/>
            <w:vAlign w:val="bottom"/>
            <w:gridSpan w:val="9"/>
          </w:tcPr>
          <w:p>
            <w:pPr>
              <w:spacing w:after="0" w:line="243" w:lineRule="exact"/>
              <w:rPr>
                <w:sz w:val="20"/>
                <w:szCs w:val="20"/>
                <w:color w:val="auto"/>
              </w:rPr>
            </w:pPr>
            <w:r>
              <w:rPr>
                <w:rFonts w:ascii="Arial" w:cs="Arial" w:eastAsia="Arial" w:hAnsi="Arial"/>
                <w:sz w:val="22"/>
                <w:szCs w:val="22"/>
                <w:b w:val="1"/>
                <w:bCs w:val="1"/>
                <w:i w:val="1"/>
                <w:iCs w:val="1"/>
                <w:color w:val="auto"/>
                <w:w w:val="88"/>
              </w:rPr>
              <w:t>managing the Plan. The Data is supplied by the Employer and dibatalkan,</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3"/>
              </w:rPr>
              <w:t>dilaksanakan,  terletak  hak,  tidak  diletak  hak</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8"/>
              </w:rPr>
              <w:t>also  by  Participant  through  information  collected</w:t>
            </w:r>
          </w:p>
        </w:tc>
        <w:tc>
          <w:tcPr>
            <w:tcW w:w="5960" w:type="dxa"/>
            <w:vAlign w:val="bottom"/>
            <w:gridSpan w:val="15"/>
          </w:tcPr>
          <w:p>
            <w:pPr>
              <w:jc w:val="right"/>
              <w:spacing w:after="0" w:line="243" w:lineRule="exact"/>
              <w:rPr>
                <w:sz w:val="20"/>
                <w:szCs w:val="20"/>
                <w:color w:val="auto"/>
              </w:rPr>
            </w:pPr>
            <w:r>
              <w:rPr>
                <w:rFonts w:ascii="Arial" w:cs="Arial" w:eastAsia="Arial" w:hAnsi="Arial"/>
                <w:sz w:val="22"/>
                <w:szCs w:val="22"/>
                <w:b w:val="1"/>
                <w:bCs w:val="1"/>
                <w:i w:val="1"/>
                <w:iCs w:val="1"/>
                <w:color w:val="auto"/>
                <w:w w:val="89"/>
              </w:rPr>
              <w:t>in ataupun yang belum dijelaskan bagi faedah Peserta (“Data”),</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8"/>
              </w:rPr>
              <w:t>connection with the Award Agreement and the Plan.</w:t>
            </w:r>
          </w:p>
        </w:tc>
        <w:tc>
          <w:tcPr>
            <w:tcW w:w="280" w:type="dxa"/>
            <w:vAlign w:val="bottom"/>
          </w:tcPr>
          <w:p>
            <w:pPr>
              <w:spacing w:after="0"/>
              <w:rPr>
                <w:sz w:val="21"/>
                <w:szCs w:val="21"/>
                <w:color w:val="auto"/>
              </w:rPr>
            </w:pPr>
          </w:p>
        </w:tc>
        <w:tc>
          <w:tcPr>
            <w:tcW w:w="5680" w:type="dxa"/>
            <w:vAlign w:val="bottom"/>
            <w:gridSpan w:val="14"/>
          </w:tcPr>
          <w:p>
            <w:pPr>
              <w:jc w:val="right"/>
              <w:spacing w:after="0" w:line="243" w:lineRule="exact"/>
              <w:rPr>
                <w:sz w:val="20"/>
                <w:szCs w:val="20"/>
                <w:color w:val="auto"/>
              </w:rPr>
            </w:pPr>
            <w:r>
              <w:rPr>
                <w:rFonts w:ascii="Arial" w:cs="Arial" w:eastAsia="Arial" w:hAnsi="Arial"/>
                <w:sz w:val="22"/>
                <w:szCs w:val="22"/>
                <w:b w:val="1"/>
                <w:bCs w:val="1"/>
                <w:i w:val="1"/>
                <w:iCs w:val="1"/>
                <w:color w:val="auto"/>
                <w:w w:val="91"/>
              </w:rPr>
              <w:t>untuk tujuan yang eksklusif bagi melaksanakan, mentadbir</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80" w:type="dxa"/>
            <w:vAlign w:val="bottom"/>
            <w:gridSpan w:val="14"/>
          </w:tcPr>
          <w:p>
            <w:pPr>
              <w:jc w:val="right"/>
              <w:spacing w:after="0" w:line="243" w:lineRule="exact"/>
              <w:rPr>
                <w:sz w:val="20"/>
                <w:szCs w:val="20"/>
                <w:color w:val="auto"/>
              </w:rPr>
            </w:pPr>
            <w:r>
              <w:rPr>
                <w:rFonts w:ascii="Arial" w:cs="Arial" w:eastAsia="Arial" w:hAnsi="Arial"/>
                <w:sz w:val="22"/>
                <w:szCs w:val="22"/>
                <w:b w:val="1"/>
                <w:bCs w:val="1"/>
                <w:i w:val="1"/>
                <w:iCs w:val="1"/>
                <w:color w:val="auto"/>
                <w:w w:val="91"/>
              </w:rPr>
              <w:t>dan menguruskan Pelan. Data dibekalkan oleh Majikan dan</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2"/>
              </w:rPr>
              <w:t>Participant  understands  that  Data  will  be  transferred</w:t>
            </w:r>
          </w:p>
        </w:tc>
        <w:tc>
          <w:tcPr>
            <w:tcW w:w="5960" w:type="dxa"/>
            <w:vAlign w:val="bottom"/>
            <w:gridSpan w:val="15"/>
          </w:tcPr>
          <w:p>
            <w:pPr>
              <w:jc w:val="right"/>
              <w:spacing w:after="0" w:line="243" w:lineRule="exact"/>
              <w:rPr>
                <w:sz w:val="20"/>
                <w:szCs w:val="20"/>
                <w:color w:val="auto"/>
              </w:rPr>
            </w:pPr>
            <w:r>
              <w:rPr>
                <w:rFonts w:ascii="Arial" w:cs="Arial" w:eastAsia="Arial" w:hAnsi="Arial"/>
                <w:sz w:val="22"/>
                <w:szCs w:val="22"/>
                <w:b w:val="1"/>
                <w:bCs w:val="1"/>
                <w:i w:val="1"/>
                <w:iCs w:val="1"/>
                <w:color w:val="auto"/>
                <w:w w:val="87"/>
              </w:rPr>
              <w:t>to juga oleh Peserta melalui maklumat yang dikumpul berkenaan</w:t>
            </w:r>
          </w:p>
        </w:tc>
        <w:tc>
          <w:tcPr>
            <w:tcW w:w="0" w:type="dxa"/>
            <w:vAlign w:val="bottom"/>
          </w:tcPr>
          <w:p>
            <w:pPr>
              <w:spacing w:after="0"/>
              <w:rPr>
                <w:sz w:val="1"/>
                <w:szCs w:val="1"/>
                <w:color w:val="auto"/>
              </w:rPr>
            </w:pPr>
          </w:p>
        </w:tc>
      </w:tr>
      <w:tr>
        <w:trPr>
          <w:trHeight w:val="270"/>
        </w:trPr>
        <w:tc>
          <w:tcPr>
            <w:tcW w:w="10360" w:type="dxa"/>
            <w:vAlign w:val="bottom"/>
            <w:gridSpan w:val="18"/>
          </w:tcPr>
          <w:p>
            <w:pPr>
              <w:spacing w:after="0"/>
              <w:rPr>
                <w:sz w:val="20"/>
                <w:szCs w:val="20"/>
                <w:color w:val="auto"/>
              </w:rPr>
            </w:pPr>
            <w:r>
              <w:rPr>
                <w:rFonts w:ascii="Arial" w:cs="Arial" w:eastAsia="Arial" w:hAnsi="Arial"/>
                <w:sz w:val="22"/>
                <w:szCs w:val="22"/>
                <w:b w:val="1"/>
                <w:bCs w:val="1"/>
                <w:i w:val="1"/>
                <w:iCs w:val="1"/>
                <w:color w:val="auto"/>
                <w:w w:val="91"/>
              </w:rPr>
              <w:t>Charles Schwab &amp; Co., Inc., or such other stock plan service dengan Perjanjian Penganugerahan dan Pelan.</w:t>
            </w: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b w:val="1"/>
                <w:bCs w:val="1"/>
                <w:i w:val="1"/>
                <w:iCs w:val="1"/>
                <w:color w:val="auto"/>
                <w:w w:val="92"/>
              </w:rPr>
              <w:t>provider as may be selected by the Company in the future,</w:t>
            </w:r>
          </w:p>
        </w:tc>
        <w:tc>
          <w:tcPr>
            <w:tcW w:w="5680" w:type="dxa"/>
            <w:vAlign w:val="bottom"/>
            <w:gridSpan w:val="14"/>
            <w:vMerge w:val="restart"/>
          </w:tcPr>
          <w:p>
            <w:pPr>
              <w:jc w:val="right"/>
              <w:spacing w:after="0"/>
              <w:rPr>
                <w:sz w:val="20"/>
                <w:szCs w:val="20"/>
                <w:color w:val="auto"/>
              </w:rPr>
            </w:pPr>
            <w:r>
              <w:rPr>
                <w:rFonts w:ascii="Arial" w:cs="Arial" w:eastAsia="Arial" w:hAnsi="Arial"/>
                <w:sz w:val="22"/>
                <w:szCs w:val="22"/>
                <w:b w:val="1"/>
                <w:bCs w:val="1"/>
                <w:i w:val="1"/>
                <w:iCs w:val="1"/>
                <w:color w:val="auto"/>
                <w:w w:val="98"/>
              </w:rPr>
              <w:t>Peserta memahami bahawa Data akan dipindah kepada</w:t>
            </w:r>
          </w:p>
        </w:tc>
        <w:tc>
          <w:tcPr>
            <w:tcW w:w="0" w:type="dxa"/>
            <w:vAlign w:val="bottom"/>
          </w:tcPr>
          <w:p>
            <w:pPr>
              <w:spacing w:after="0"/>
              <w:rPr>
                <w:sz w:val="1"/>
                <w:szCs w:val="1"/>
                <w:color w:val="auto"/>
              </w:rPr>
            </w:pPr>
          </w:p>
        </w:tc>
      </w:tr>
      <w:tr>
        <w:trPr>
          <w:trHeight w:val="211"/>
        </w:trPr>
        <w:tc>
          <w:tcPr>
            <w:tcW w:w="5680" w:type="dxa"/>
            <w:vAlign w:val="bottom"/>
            <w:gridSpan w:val="6"/>
          </w:tcPr>
          <w:p>
            <w:pPr>
              <w:spacing w:after="0" w:line="210" w:lineRule="exact"/>
              <w:rPr>
                <w:sz w:val="20"/>
                <w:szCs w:val="20"/>
                <w:color w:val="auto"/>
              </w:rPr>
            </w:pPr>
            <w:r>
              <w:rPr>
                <w:rFonts w:ascii="Arial" w:cs="Arial" w:eastAsia="Arial" w:hAnsi="Arial"/>
                <w:sz w:val="22"/>
                <w:szCs w:val="22"/>
                <w:b w:val="1"/>
                <w:bCs w:val="1"/>
                <w:i w:val="1"/>
                <w:iCs w:val="1"/>
                <w:color w:val="auto"/>
                <w:w w:val="94"/>
              </w:rPr>
              <w:t>which is assisting the Company with the implementation,</w:t>
            </w:r>
          </w:p>
        </w:tc>
        <w:tc>
          <w:tcPr>
            <w:tcW w:w="5680" w:type="dxa"/>
            <w:vAlign w:val="bottom"/>
            <w:gridSpan w:val="1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b w:val="1"/>
                <w:bCs w:val="1"/>
                <w:i w:val="1"/>
                <w:iCs w:val="1"/>
                <w:color w:val="auto"/>
                <w:w w:val="91"/>
              </w:rPr>
              <w:t>administration  and  management  of  the  Plan.  Participant</w:t>
            </w:r>
          </w:p>
        </w:tc>
        <w:tc>
          <w:tcPr>
            <w:tcW w:w="1560" w:type="dxa"/>
            <w:vAlign w:val="bottom"/>
            <w:gridSpan w:val="5"/>
          </w:tcPr>
          <w:p>
            <w:pPr>
              <w:ind w:left="20"/>
              <w:spacing w:after="0" w:line="243" w:lineRule="exact"/>
              <w:rPr>
                <w:sz w:val="20"/>
                <w:szCs w:val="20"/>
                <w:color w:val="auto"/>
              </w:rPr>
            </w:pPr>
            <w:r>
              <w:rPr>
                <w:rFonts w:ascii="Arial" w:cs="Arial" w:eastAsia="Arial" w:hAnsi="Arial"/>
                <w:sz w:val="22"/>
                <w:szCs w:val="22"/>
                <w:b w:val="1"/>
                <w:bCs w:val="1"/>
                <w:i w:val="1"/>
                <w:iCs w:val="1"/>
                <w:color w:val="auto"/>
                <w:w w:val="89"/>
              </w:rPr>
              <w:t>Charles Schwab</w:t>
            </w:r>
          </w:p>
        </w:tc>
        <w:tc>
          <w:tcPr>
            <w:tcW w:w="4120" w:type="dxa"/>
            <w:vAlign w:val="bottom"/>
            <w:gridSpan w:val="9"/>
          </w:tcPr>
          <w:p>
            <w:pPr>
              <w:jc w:val="right"/>
              <w:spacing w:after="0" w:line="243" w:lineRule="exact"/>
              <w:rPr>
                <w:sz w:val="20"/>
                <w:szCs w:val="20"/>
                <w:color w:val="auto"/>
              </w:rPr>
            </w:pPr>
            <w:r>
              <w:rPr>
                <w:rFonts w:ascii="Arial" w:cs="Arial" w:eastAsia="Arial" w:hAnsi="Arial"/>
                <w:sz w:val="22"/>
                <w:szCs w:val="22"/>
                <w:b w:val="1"/>
                <w:bCs w:val="1"/>
                <w:i w:val="1"/>
                <w:iCs w:val="1"/>
                <w:color w:val="auto"/>
                <w:w w:val="96"/>
              </w:rPr>
              <w:t>&amp; Co., Inc., atau pembekal perkhidmatan</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understands that the recipients of the Data may be located in </w:t>
            </w:r>
            <w:r>
              <w:rPr>
                <w:rFonts w:ascii="Arial" w:cs="Arial" w:eastAsia="Arial" w:hAnsi="Arial"/>
                <w:sz w:val="28"/>
                <w:szCs w:val="28"/>
                <w:b w:val="1"/>
                <w:bCs w:val="1"/>
                <w:i w:val="1"/>
                <w:iCs w:val="1"/>
                <w:color w:val="auto"/>
                <w:vertAlign w:val="superscript"/>
              </w:rPr>
              <w:t>pelan saham lain yang mungkin dipilih oleh Syarikat pada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the United States or elsewhere, and that the recipients’ country </w:t>
            </w:r>
            <w:r>
              <w:rPr>
                <w:rFonts w:ascii="Arial" w:cs="Arial" w:eastAsia="Arial" w:hAnsi="Arial"/>
                <w:sz w:val="28"/>
                <w:szCs w:val="28"/>
                <w:b w:val="1"/>
                <w:bCs w:val="1"/>
                <w:i w:val="1"/>
                <w:iCs w:val="1"/>
                <w:color w:val="auto"/>
                <w:vertAlign w:val="superscript"/>
              </w:rPr>
              <w:t>masa depan yang membantu Syarikat dalam melaksanakan,</w:t>
            </w:r>
          </w:p>
        </w:tc>
        <w:tc>
          <w:tcPr>
            <w:tcW w:w="0" w:type="dxa"/>
            <w:vAlign w:val="bottom"/>
          </w:tcPr>
          <w:p>
            <w:pPr>
              <w:spacing w:after="0"/>
              <w:rPr>
                <w:sz w:val="1"/>
                <w:szCs w:val="1"/>
                <w:color w:val="auto"/>
              </w:rPr>
            </w:pPr>
          </w:p>
        </w:tc>
      </w:tr>
      <w:tr>
        <w:trPr>
          <w:trHeight w:val="243"/>
        </w:trPr>
        <w:tc>
          <w:tcPr>
            <w:tcW w:w="6620" w:type="dxa"/>
            <w:vAlign w:val="bottom"/>
            <w:gridSpan w:val="8"/>
          </w:tcPr>
          <w:p>
            <w:pPr>
              <w:spacing w:after="0" w:line="243" w:lineRule="exact"/>
              <w:rPr>
                <w:sz w:val="20"/>
                <w:szCs w:val="20"/>
                <w:color w:val="auto"/>
              </w:rPr>
            </w:pPr>
            <w:r>
              <w:rPr>
                <w:rFonts w:ascii="Arial" w:cs="Arial" w:eastAsia="Arial" w:hAnsi="Arial"/>
                <w:sz w:val="16"/>
                <w:szCs w:val="16"/>
                <w:b w:val="1"/>
                <w:bCs w:val="1"/>
                <w:i w:val="1"/>
                <w:iCs w:val="1"/>
                <w:color w:val="auto"/>
              </w:rPr>
              <w:t xml:space="preserve">(e.g., the United States) may have different data privacy laws </w:t>
            </w:r>
            <w:r>
              <w:rPr>
                <w:rFonts w:ascii="Arial" w:cs="Arial" w:eastAsia="Arial" w:hAnsi="Arial"/>
                <w:sz w:val="28"/>
                <w:szCs w:val="28"/>
                <w:b w:val="1"/>
                <w:bCs w:val="1"/>
                <w:i w:val="1"/>
                <w:iCs w:val="1"/>
                <w:color w:val="auto"/>
                <w:vertAlign w:val="superscript"/>
              </w:rPr>
              <w:t>mentadbir</w:t>
            </w:r>
          </w:p>
        </w:tc>
        <w:tc>
          <w:tcPr>
            <w:tcW w:w="140" w:type="dxa"/>
            <w:vAlign w:val="bottom"/>
          </w:tcPr>
          <w:p>
            <w:pPr>
              <w:spacing w:after="0"/>
              <w:rPr>
                <w:sz w:val="21"/>
                <w:szCs w:val="21"/>
                <w:color w:val="auto"/>
              </w:rPr>
            </w:pPr>
          </w:p>
        </w:tc>
        <w:tc>
          <w:tcPr>
            <w:tcW w:w="480" w:type="dxa"/>
            <w:vAlign w:val="bottom"/>
            <w:gridSpan w:val="2"/>
          </w:tcPr>
          <w:p>
            <w:pPr>
              <w:ind w:left="100"/>
              <w:spacing w:after="0" w:line="243" w:lineRule="exact"/>
              <w:rPr>
                <w:sz w:val="20"/>
                <w:szCs w:val="20"/>
                <w:color w:val="auto"/>
              </w:rPr>
            </w:pPr>
            <w:r>
              <w:rPr>
                <w:rFonts w:ascii="Arial" w:cs="Arial" w:eastAsia="Arial" w:hAnsi="Arial"/>
                <w:sz w:val="22"/>
                <w:szCs w:val="22"/>
                <w:b w:val="1"/>
                <w:bCs w:val="1"/>
                <w:i w:val="1"/>
                <w:iCs w:val="1"/>
                <w:color w:val="auto"/>
                <w:w w:val="91"/>
              </w:rPr>
              <w:t>dan</w:t>
            </w:r>
          </w:p>
        </w:tc>
        <w:tc>
          <w:tcPr>
            <w:tcW w:w="1460" w:type="dxa"/>
            <w:vAlign w:val="bottom"/>
            <w:gridSpan w:val="3"/>
          </w:tcPr>
          <w:p>
            <w:pPr>
              <w:ind w:left="200"/>
              <w:spacing w:after="0" w:line="243" w:lineRule="exact"/>
              <w:rPr>
                <w:sz w:val="20"/>
                <w:szCs w:val="20"/>
                <w:color w:val="auto"/>
              </w:rPr>
            </w:pPr>
            <w:r>
              <w:rPr>
                <w:rFonts w:ascii="Arial" w:cs="Arial" w:eastAsia="Arial" w:hAnsi="Arial"/>
                <w:sz w:val="22"/>
                <w:szCs w:val="22"/>
                <w:b w:val="1"/>
                <w:bCs w:val="1"/>
                <w:i w:val="1"/>
                <w:iCs w:val="1"/>
                <w:color w:val="auto"/>
                <w:w w:val="85"/>
              </w:rPr>
              <w:t>menguruskan</w:t>
            </w:r>
          </w:p>
        </w:tc>
        <w:tc>
          <w:tcPr>
            <w:tcW w:w="840" w:type="dxa"/>
            <w:vAlign w:val="bottom"/>
            <w:gridSpan w:val="3"/>
          </w:tcPr>
          <w:p>
            <w:pPr>
              <w:ind w:left="220"/>
              <w:spacing w:after="0" w:line="243" w:lineRule="exact"/>
              <w:rPr>
                <w:sz w:val="20"/>
                <w:szCs w:val="20"/>
                <w:color w:val="auto"/>
              </w:rPr>
            </w:pPr>
            <w:r>
              <w:rPr>
                <w:rFonts w:ascii="Arial" w:cs="Arial" w:eastAsia="Arial" w:hAnsi="Arial"/>
                <w:sz w:val="22"/>
                <w:szCs w:val="22"/>
                <w:b w:val="1"/>
                <w:bCs w:val="1"/>
                <w:i w:val="1"/>
                <w:iCs w:val="1"/>
                <w:color w:val="auto"/>
              </w:rPr>
              <w:t>Pelan</w:t>
            </w:r>
          </w:p>
        </w:tc>
        <w:tc>
          <w:tcPr>
            <w:tcW w:w="1820" w:type="dxa"/>
            <w:vAlign w:val="bottom"/>
            <w:gridSpan w:val="3"/>
          </w:tcPr>
          <w:p>
            <w:pPr>
              <w:jc w:val="right"/>
              <w:spacing w:after="0" w:line="243" w:lineRule="exact"/>
              <w:rPr>
                <w:sz w:val="20"/>
                <w:szCs w:val="20"/>
                <w:color w:val="auto"/>
              </w:rPr>
            </w:pPr>
            <w:r>
              <w:rPr>
                <w:rFonts w:ascii="Arial" w:cs="Arial" w:eastAsia="Arial" w:hAnsi="Arial"/>
                <w:sz w:val="22"/>
                <w:szCs w:val="22"/>
                <w:b w:val="1"/>
                <w:bCs w:val="1"/>
                <w:i w:val="1"/>
                <w:iCs w:val="1"/>
                <w:color w:val="auto"/>
                <w:w w:val="96"/>
              </w:rPr>
              <w:t>tersebut.  Peserta</w:t>
            </w: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b w:val="1"/>
                <w:bCs w:val="1"/>
                <w:i w:val="1"/>
                <w:iCs w:val="1"/>
                <w:color w:val="auto"/>
              </w:rPr>
              <w:t>and</w:t>
            </w:r>
          </w:p>
        </w:tc>
        <w:tc>
          <w:tcPr>
            <w:tcW w:w="1780" w:type="dxa"/>
            <w:vAlign w:val="bottom"/>
          </w:tcPr>
          <w:p>
            <w:pPr>
              <w:ind w:left="60"/>
              <w:spacing w:after="0" w:line="243" w:lineRule="exact"/>
              <w:rPr>
                <w:sz w:val="20"/>
                <w:szCs w:val="20"/>
                <w:color w:val="auto"/>
              </w:rPr>
            </w:pPr>
            <w:r>
              <w:rPr>
                <w:rFonts w:ascii="Arial" w:cs="Arial" w:eastAsia="Arial" w:hAnsi="Arial"/>
                <w:sz w:val="22"/>
                <w:szCs w:val="22"/>
                <w:b w:val="1"/>
                <w:bCs w:val="1"/>
                <w:i w:val="1"/>
                <w:iCs w:val="1"/>
                <w:color w:val="auto"/>
                <w:w w:val="95"/>
              </w:rPr>
              <w:t>protections  than</w:t>
            </w:r>
          </w:p>
        </w:tc>
        <w:tc>
          <w:tcPr>
            <w:tcW w:w="1360" w:type="dxa"/>
            <w:vAlign w:val="bottom"/>
          </w:tcPr>
          <w:p>
            <w:pPr>
              <w:ind w:left="100"/>
              <w:spacing w:after="0" w:line="243" w:lineRule="exact"/>
              <w:rPr>
                <w:sz w:val="20"/>
                <w:szCs w:val="20"/>
                <w:color w:val="auto"/>
              </w:rPr>
            </w:pPr>
            <w:r>
              <w:rPr>
                <w:rFonts w:ascii="Arial" w:cs="Arial" w:eastAsia="Arial" w:hAnsi="Arial"/>
                <w:sz w:val="22"/>
                <w:szCs w:val="22"/>
                <w:b w:val="1"/>
                <w:bCs w:val="1"/>
                <w:i w:val="1"/>
                <w:iCs w:val="1"/>
                <w:color w:val="auto"/>
                <w:w w:val="93"/>
              </w:rPr>
              <w:t>Participant’s</w:t>
            </w:r>
          </w:p>
        </w:tc>
        <w:tc>
          <w:tcPr>
            <w:tcW w:w="960" w:type="dxa"/>
            <w:vAlign w:val="bottom"/>
          </w:tcPr>
          <w:p>
            <w:pPr>
              <w:ind w:left="80"/>
              <w:spacing w:after="0" w:line="243" w:lineRule="exact"/>
              <w:rPr>
                <w:sz w:val="20"/>
                <w:szCs w:val="20"/>
                <w:color w:val="auto"/>
              </w:rPr>
            </w:pPr>
            <w:r>
              <w:rPr>
                <w:rFonts w:ascii="Arial" w:cs="Arial" w:eastAsia="Arial" w:hAnsi="Arial"/>
                <w:sz w:val="22"/>
                <w:szCs w:val="22"/>
                <w:b w:val="1"/>
                <w:bCs w:val="1"/>
                <w:i w:val="1"/>
                <w:iCs w:val="1"/>
                <w:color w:val="auto"/>
                <w:w w:val="99"/>
              </w:rPr>
              <w:t>country.</w:t>
            </w:r>
          </w:p>
        </w:tc>
        <w:tc>
          <w:tcPr>
            <w:tcW w:w="6780" w:type="dxa"/>
            <w:vAlign w:val="bottom"/>
            <w:gridSpan w:val="16"/>
          </w:tcPr>
          <w:p>
            <w:pPr>
              <w:jc w:val="right"/>
              <w:spacing w:after="0" w:line="243" w:lineRule="exact"/>
              <w:rPr>
                <w:sz w:val="20"/>
                <w:szCs w:val="20"/>
                <w:color w:val="auto"/>
              </w:rPr>
            </w:pPr>
            <w:r>
              <w:rPr>
                <w:rFonts w:ascii="Arial" w:cs="Arial" w:eastAsia="Arial" w:hAnsi="Arial"/>
                <w:sz w:val="28"/>
                <w:szCs w:val="28"/>
                <w:b w:val="1"/>
                <w:bCs w:val="1"/>
                <w:i w:val="1"/>
                <w:iCs w:val="1"/>
                <w:color w:val="auto"/>
                <w:vertAlign w:val="subscript"/>
              </w:rPr>
              <w:t>Participant</w:t>
            </w:r>
            <w:r>
              <w:rPr>
                <w:rFonts w:ascii="Arial" w:cs="Arial" w:eastAsia="Arial" w:hAnsi="Arial"/>
                <w:sz w:val="16"/>
                <w:szCs w:val="16"/>
                <w:b w:val="1"/>
                <w:bCs w:val="1"/>
                <w:i w:val="1"/>
                <w:iCs w:val="1"/>
                <w:color w:val="auto"/>
              </w:rPr>
              <w:t xml:space="preserve"> memahami bahawa penerima-penerima Data mungkin berada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understands that if he or she resides outside the United States, </w:t>
            </w:r>
            <w:r>
              <w:rPr>
                <w:rFonts w:ascii="Arial" w:cs="Arial" w:eastAsia="Arial" w:hAnsi="Arial"/>
                <w:sz w:val="28"/>
                <w:szCs w:val="28"/>
                <w:b w:val="1"/>
                <w:bCs w:val="1"/>
                <w:i w:val="1"/>
                <w:iCs w:val="1"/>
                <w:color w:val="auto"/>
                <w:vertAlign w:val="superscript"/>
              </w:rPr>
              <w:t>di Amerika Syarikat atau di tempat lain, dan bahawa negara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28"/>
                <w:szCs w:val="28"/>
                <w:b w:val="1"/>
                <w:bCs w:val="1"/>
                <w:i w:val="1"/>
                <w:iCs w:val="1"/>
                <w:color w:val="auto"/>
                <w:vertAlign w:val="subscript"/>
              </w:rPr>
              <w:t>he or she may request a list with the names and addresses of</w:t>
            </w:r>
            <w:r>
              <w:rPr>
                <w:rFonts w:ascii="Arial" w:cs="Arial" w:eastAsia="Arial" w:hAnsi="Arial"/>
                <w:sz w:val="16"/>
                <w:szCs w:val="16"/>
                <w:b w:val="1"/>
                <w:bCs w:val="1"/>
                <w:i w:val="1"/>
                <w:iCs w:val="1"/>
                <w:color w:val="auto"/>
              </w:rPr>
              <w:t xml:space="preserve"> penerima (contohnya, Amerika Syarikat) mungkin mempunyai</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any potential recipients of the Data by contacting his or her </w:t>
            </w:r>
            <w:r>
              <w:rPr>
                <w:rFonts w:ascii="Arial" w:cs="Arial" w:eastAsia="Arial" w:hAnsi="Arial"/>
                <w:sz w:val="28"/>
                <w:szCs w:val="28"/>
                <w:b w:val="1"/>
                <w:bCs w:val="1"/>
                <w:i w:val="1"/>
                <w:iCs w:val="1"/>
                <w:color w:val="auto"/>
                <w:vertAlign w:val="superscript"/>
              </w:rPr>
              <w:t>undang-undang privasi data dan perlindungan yang berbeza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local human resources representative. Participant authorizes </w:t>
            </w:r>
            <w:r>
              <w:rPr>
                <w:rFonts w:ascii="Arial" w:cs="Arial" w:eastAsia="Arial" w:hAnsi="Arial"/>
                <w:sz w:val="28"/>
                <w:szCs w:val="28"/>
                <w:b w:val="1"/>
                <w:bCs w:val="1"/>
                <w:i w:val="1"/>
                <w:iCs w:val="1"/>
                <w:color w:val="auto"/>
                <w:vertAlign w:val="superscript"/>
              </w:rPr>
              <w:t>daripada negara Peserta. Peserta fahami bahawa sekiranya dia</w:t>
            </w:r>
          </w:p>
        </w:tc>
        <w:tc>
          <w:tcPr>
            <w:tcW w:w="0" w:type="dxa"/>
            <w:vAlign w:val="bottom"/>
          </w:tcPr>
          <w:p>
            <w:pPr>
              <w:spacing w:after="0"/>
              <w:rPr>
                <w:sz w:val="1"/>
                <w:szCs w:val="1"/>
                <w:color w:val="auto"/>
              </w:rPr>
            </w:pPr>
          </w:p>
        </w:tc>
      </w:tr>
      <w:tr>
        <w:trPr>
          <w:trHeight w:val="243"/>
        </w:trPr>
        <w:tc>
          <w:tcPr>
            <w:tcW w:w="6760" w:type="dxa"/>
            <w:vAlign w:val="bottom"/>
            <w:gridSpan w:val="9"/>
          </w:tcPr>
          <w:p>
            <w:pPr>
              <w:spacing w:after="0" w:line="243" w:lineRule="exact"/>
              <w:rPr>
                <w:sz w:val="20"/>
                <w:szCs w:val="20"/>
                <w:color w:val="auto"/>
              </w:rPr>
            </w:pPr>
            <w:r>
              <w:rPr>
                <w:rFonts w:ascii="Arial" w:cs="Arial" w:eastAsia="Arial" w:hAnsi="Arial"/>
                <w:sz w:val="16"/>
                <w:szCs w:val="16"/>
                <w:b w:val="1"/>
                <w:bCs w:val="1"/>
                <w:i w:val="1"/>
                <w:iCs w:val="1"/>
                <w:color w:val="auto"/>
              </w:rPr>
              <w:t xml:space="preserve">the Company, its broker and any other possible recipients </w:t>
            </w:r>
            <w:r>
              <w:rPr>
                <w:rFonts w:ascii="Arial" w:cs="Arial" w:eastAsia="Arial" w:hAnsi="Arial"/>
                <w:sz w:val="28"/>
                <w:szCs w:val="28"/>
                <w:b w:val="1"/>
                <w:bCs w:val="1"/>
                <w:i w:val="1"/>
                <w:iCs w:val="1"/>
                <w:color w:val="auto"/>
                <w:vertAlign w:val="superscript"/>
              </w:rPr>
              <w:t>menetap di</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5"/>
              </w:rPr>
              <w:t>luar Amerika Syarikat, Peserta boleh meminta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which may assist the Company (presently or in the future) with </w:t>
            </w:r>
            <w:r>
              <w:rPr>
                <w:rFonts w:ascii="Arial" w:cs="Arial" w:eastAsia="Arial" w:hAnsi="Arial"/>
                <w:sz w:val="28"/>
                <w:szCs w:val="28"/>
                <w:b w:val="1"/>
                <w:bCs w:val="1"/>
                <w:i w:val="1"/>
                <w:iCs w:val="1"/>
                <w:color w:val="auto"/>
                <w:vertAlign w:val="superscript"/>
              </w:rPr>
              <w:t>senarai nama dan alamat mana-mana penerima Data yang</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3"/>
              </w:rPr>
              <w:t>implementing,  administering  and  managing  the  Plan</w:t>
            </w:r>
          </w:p>
        </w:tc>
        <w:tc>
          <w:tcPr>
            <w:tcW w:w="1360" w:type="dxa"/>
            <w:vAlign w:val="bottom"/>
            <w:gridSpan w:val="4"/>
          </w:tcPr>
          <w:p>
            <w:pPr>
              <w:ind w:left="80"/>
              <w:spacing w:after="0" w:line="243" w:lineRule="exact"/>
              <w:rPr>
                <w:sz w:val="20"/>
                <w:szCs w:val="20"/>
                <w:color w:val="auto"/>
              </w:rPr>
            </w:pPr>
            <w:r>
              <w:rPr>
                <w:rFonts w:ascii="Arial" w:cs="Arial" w:eastAsia="Arial" w:hAnsi="Arial"/>
                <w:sz w:val="28"/>
                <w:szCs w:val="28"/>
                <w:b w:val="1"/>
                <w:bCs w:val="1"/>
                <w:i w:val="1"/>
                <w:iCs w:val="1"/>
                <w:color w:val="auto"/>
                <w:vertAlign w:val="subscript"/>
              </w:rPr>
              <w:t>to</w:t>
            </w:r>
            <w:r>
              <w:rPr>
                <w:rFonts w:ascii="Arial" w:cs="Arial" w:eastAsia="Arial" w:hAnsi="Arial"/>
                <w:sz w:val="16"/>
                <w:szCs w:val="16"/>
                <w:b w:val="1"/>
                <w:bCs w:val="1"/>
                <w:i w:val="1"/>
                <w:iCs w:val="1"/>
                <w:color w:val="auto"/>
              </w:rPr>
              <w:t xml:space="preserve"> berpotensi</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2"/>
              </w:rPr>
              <w:t>dengan  menghubungi  wakil  sumber  manusia</w:t>
            </w:r>
          </w:p>
        </w:tc>
        <w:tc>
          <w:tcPr>
            <w:tcW w:w="0" w:type="dxa"/>
            <w:vAlign w:val="bottom"/>
          </w:tcPr>
          <w:p>
            <w:pPr>
              <w:spacing w:after="0"/>
              <w:rPr>
                <w:sz w:val="1"/>
                <w:szCs w:val="1"/>
                <w:color w:val="auto"/>
              </w:rPr>
            </w:pPr>
          </w:p>
        </w:tc>
      </w:tr>
      <w:tr>
        <w:trPr>
          <w:trHeight w:val="243"/>
        </w:trPr>
        <w:tc>
          <w:tcPr>
            <w:tcW w:w="7080" w:type="dxa"/>
            <w:vAlign w:val="bottom"/>
            <w:gridSpan w:val="1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receive, possess, use, retain and transfer the Data, in electronic </w:t>
            </w:r>
            <w:r>
              <w:rPr>
                <w:rFonts w:ascii="Arial" w:cs="Arial" w:eastAsia="Arial" w:hAnsi="Arial"/>
                <w:sz w:val="28"/>
                <w:szCs w:val="28"/>
                <w:b w:val="1"/>
                <w:bCs w:val="1"/>
                <w:i w:val="1"/>
                <w:iCs w:val="1"/>
                <w:color w:val="auto"/>
                <w:vertAlign w:val="superscript"/>
              </w:rPr>
              <w:t>tempatannya.</w:t>
            </w:r>
          </w:p>
        </w:tc>
        <w:tc>
          <w:tcPr>
            <w:tcW w:w="700" w:type="dxa"/>
            <w:vAlign w:val="bottom"/>
            <w:gridSpan w:val="2"/>
          </w:tcPr>
          <w:p>
            <w:pPr>
              <w:ind w:left="40"/>
              <w:spacing w:after="0" w:line="243" w:lineRule="exact"/>
              <w:rPr>
                <w:sz w:val="20"/>
                <w:szCs w:val="20"/>
                <w:color w:val="auto"/>
              </w:rPr>
            </w:pPr>
            <w:r>
              <w:rPr>
                <w:rFonts w:ascii="Arial" w:cs="Arial" w:eastAsia="Arial" w:hAnsi="Arial"/>
                <w:sz w:val="22"/>
                <w:szCs w:val="22"/>
                <w:b w:val="1"/>
                <w:bCs w:val="1"/>
                <w:i w:val="1"/>
                <w:iCs w:val="1"/>
                <w:color w:val="auto"/>
                <w:w w:val="80"/>
              </w:rPr>
              <w:t>Peserta</w:t>
            </w:r>
          </w:p>
        </w:tc>
        <w:tc>
          <w:tcPr>
            <w:tcW w:w="1180" w:type="dxa"/>
            <w:vAlign w:val="bottom"/>
            <w:gridSpan w:val="3"/>
          </w:tcPr>
          <w:p>
            <w:pPr>
              <w:ind w:left="200"/>
              <w:spacing w:after="0" w:line="243" w:lineRule="exact"/>
              <w:rPr>
                <w:sz w:val="20"/>
                <w:szCs w:val="20"/>
                <w:color w:val="auto"/>
              </w:rPr>
            </w:pPr>
            <w:r>
              <w:rPr>
                <w:rFonts w:ascii="Arial" w:cs="Arial" w:eastAsia="Arial" w:hAnsi="Arial"/>
                <w:sz w:val="22"/>
                <w:szCs w:val="22"/>
                <w:b w:val="1"/>
                <w:bCs w:val="1"/>
                <w:i w:val="1"/>
                <w:iCs w:val="1"/>
                <w:color w:val="auto"/>
              </w:rPr>
              <w:t>memberi</w:t>
            </w:r>
          </w:p>
        </w:tc>
        <w:tc>
          <w:tcPr>
            <w:tcW w:w="58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i w:val="1"/>
                <w:iCs w:val="1"/>
                <w:color w:val="auto"/>
                <w:w w:val="83"/>
              </w:rPr>
              <w:t>kuasa</w:t>
            </w:r>
          </w:p>
        </w:tc>
        <w:tc>
          <w:tcPr>
            <w:tcW w:w="820" w:type="dxa"/>
            <w:vAlign w:val="bottom"/>
          </w:tcPr>
          <w:p>
            <w:pPr>
              <w:ind w:left="160"/>
              <w:spacing w:after="0" w:line="243" w:lineRule="exact"/>
              <w:rPr>
                <w:sz w:val="20"/>
                <w:szCs w:val="20"/>
                <w:color w:val="auto"/>
              </w:rPr>
            </w:pPr>
            <w:r>
              <w:rPr>
                <w:rFonts w:ascii="Arial" w:cs="Arial" w:eastAsia="Arial" w:hAnsi="Arial"/>
                <w:sz w:val="22"/>
                <w:szCs w:val="22"/>
                <w:b w:val="1"/>
                <w:bCs w:val="1"/>
                <w:i w:val="1"/>
                <w:iCs w:val="1"/>
                <w:color w:val="auto"/>
                <w:w w:val="84"/>
              </w:rPr>
              <w:t>kepada</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rPr>
              <w:t>Syarikat,</w:t>
            </w:r>
          </w:p>
        </w:tc>
        <w:tc>
          <w:tcPr>
            <w:tcW w:w="0" w:type="dxa"/>
            <w:vAlign w:val="bottom"/>
          </w:tcPr>
          <w:p>
            <w:pPr>
              <w:spacing w:after="0"/>
              <w:rPr>
                <w:sz w:val="1"/>
                <w:szCs w:val="1"/>
                <w:color w:val="auto"/>
              </w:rPr>
            </w:pPr>
          </w:p>
        </w:tc>
      </w:tr>
      <w:tr>
        <w:trPr>
          <w:trHeight w:val="243"/>
        </w:trPr>
        <w:tc>
          <w:tcPr>
            <w:tcW w:w="6620" w:type="dxa"/>
            <w:vAlign w:val="bottom"/>
            <w:gridSpan w:val="8"/>
          </w:tcPr>
          <w:p>
            <w:pPr>
              <w:spacing w:after="0" w:line="243" w:lineRule="exact"/>
              <w:rPr>
                <w:sz w:val="20"/>
                <w:szCs w:val="20"/>
                <w:color w:val="auto"/>
              </w:rPr>
            </w:pPr>
            <w:r>
              <w:rPr>
                <w:rFonts w:ascii="Arial" w:cs="Arial" w:eastAsia="Arial" w:hAnsi="Arial"/>
                <w:sz w:val="16"/>
                <w:szCs w:val="16"/>
                <w:b w:val="1"/>
                <w:bCs w:val="1"/>
                <w:i w:val="1"/>
                <w:iCs w:val="1"/>
                <w:color w:val="auto"/>
              </w:rPr>
              <w:t xml:space="preserve">or  other  form,  for  the  sole  purpose  of  implementing, </w:t>
            </w:r>
            <w:r>
              <w:rPr>
                <w:rFonts w:ascii="Arial" w:cs="Arial" w:eastAsia="Arial" w:hAnsi="Arial"/>
                <w:sz w:val="28"/>
                <w:szCs w:val="28"/>
                <w:b w:val="1"/>
                <w:bCs w:val="1"/>
                <w:i w:val="1"/>
                <w:iCs w:val="1"/>
                <w:color w:val="auto"/>
                <w:vertAlign w:val="superscript"/>
              </w:rPr>
              <w:t>brokernya</w:t>
            </w:r>
          </w:p>
        </w:tc>
        <w:tc>
          <w:tcPr>
            <w:tcW w:w="140" w:type="dxa"/>
            <w:vAlign w:val="bottom"/>
          </w:tcPr>
          <w:p>
            <w:pPr>
              <w:spacing w:after="0"/>
              <w:rPr>
                <w:sz w:val="21"/>
                <w:szCs w:val="21"/>
                <w:color w:val="auto"/>
              </w:rPr>
            </w:pP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0"/>
              </w:rPr>
              <w:t>dan  mana-mana  penerima  lain  yang  mungkin</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administering and managing his or her participation in the </w:t>
            </w:r>
            <w:r>
              <w:rPr>
                <w:rFonts w:ascii="Arial" w:cs="Arial" w:eastAsia="Arial" w:hAnsi="Arial"/>
                <w:sz w:val="28"/>
                <w:szCs w:val="28"/>
                <w:b w:val="1"/>
                <w:bCs w:val="1"/>
                <w:i w:val="1"/>
                <w:iCs w:val="1"/>
                <w:color w:val="auto"/>
                <w:vertAlign w:val="superscript"/>
              </w:rPr>
              <w:t>membantu Syarikat (pada masa kini atau masa depan) untuk</w:t>
            </w:r>
          </w:p>
        </w:tc>
        <w:tc>
          <w:tcPr>
            <w:tcW w:w="0" w:type="dxa"/>
            <w:vAlign w:val="bottom"/>
          </w:tcPr>
          <w:p>
            <w:pPr>
              <w:spacing w:after="0"/>
              <w:rPr>
                <w:sz w:val="1"/>
                <w:szCs w:val="1"/>
                <w:color w:val="auto"/>
              </w:rPr>
            </w:pPr>
          </w:p>
        </w:tc>
      </w:tr>
      <w:tr>
        <w:trPr>
          <w:trHeight w:val="243"/>
        </w:trPr>
        <w:tc>
          <w:tcPr>
            <w:tcW w:w="7080" w:type="dxa"/>
            <w:vAlign w:val="bottom"/>
            <w:gridSpan w:val="1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Plan. Participant understands that Data will be held only as </w:t>
            </w:r>
            <w:r>
              <w:rPr>
                <w:rFonts w:ascii="Arial" w:cs="Arial" w:eastAsia="Arial" w:hAnsi="Arial"/>
                <w:sz w:val="28"/>
                <w:szCs w:val="28"/>
                <w:b w:val="1"/>
                <w:bCs w:val="1"/>
                <w:i w:val="1"/>
                <w:iCs w:val="1"/>
                <w:color w:val="auto"/>
                <w:vertAlign w:val="superscript"/>
              </w:rPr>
              <w:t>melaksanakan,</w:t>
            </w:r>
          </w:p>
        </w:tc>
        <w:tc>
          <w:tcPr>
            <w:tcW w:w="1100" w:type="dxa"/>
            <w:vAlign w:val="bottom"/>
            <w:gridSpan w:val="3"/>
          </w:tcPr>
          <w:p>
            <w:pPr>
              <w:ind w:left="120"/>
              <w:spacing w:after="0" w:line="243" w:lineRule="exact"/>
              <w:rPr>
                <w:sz w:val="20"/>
                <w:szCs w:val="20"/>
                <w:color w:val="auto"/>
              </w:rPr>
            </w:pPr>
            <w:r>
              <w:rPr>
                <w:rFonts w:ascii="Arial" w:cs="Arial" w:eastAsia="Arial" w:hAnsi="Arial"/>
                <w:sz w:val="22"/>
                <w:szCs w:val="22"/>
                <w:b w:val="1"/>
                <w:bCs w:val="1"/>
                <w:i w:val="1"/>
                <w:iCs w:val="1"/>
                <w:color w:val="auto"/>
                <w:w w:val="90"/>
              </w:rPr>
              <w:t>mentadbir</w:t>
            </w:r>
          </w:p>
        </w:tc>
        <w:tc>
          <w:tcPr>
            <w:tcW w:w="520" w:type="dxa"/>
            <w:vAlign w:val="bottom"/>
          </w:tcPr>
          <w:p>
            <w:pPr>
              <w:ind w:left="100"/>
              <w:spacing w:after="0" w:line="243" w:lineRule="exact"/>
              <w:rPr>
                <w:sz w:val="20"/>
                <w:szCs w:val="20"/>
                <w:color w:val="auto"/>
              </w:rPr>
            </w:pPr>
            <w:r>
              <w:rPr>
                <w:rFonts w:ascii="Arial" w:cs="Arial" w:eastAsia="Arial" w:hAnsi="Arial"/>
                <w:sz w:val="22"/>
                <w:szCs w:val="22"/>
                <w:b w:val="1"/>
                <w:bCs w:val="1"/>
                <w:i w:val="1"/>
                <w:iCs w:val="1"/>
                <w:color w:val="auto"/>
              </w:rPr>
              <w:t>dan</w:t>
            </w:r>
          </w:p>
        </w:tc>
        <w:tc>
          <w:tcPr>
            <w:tcW w:w="2100" w:type="dxa"/>
            <w:vAlign w:val="bottom"/>
            <w:gridSpan w:val="5"/>
          </w:tcPr>
          <w:p>
            <w:pPr>
              <w:ind w:left="60"/>
              <w:spacing w:after="0" w:line="243" w:lineRule="exact"/>
              <w:rPr>
                <w:sz w:val="20"/>
                <w:szCs w:val="20"/>
                <w:color w:val="auto"/>
              </w:rPr>
            </w:pPr>
            <w:r>
              <w:rPr>
                <w:rFonts w:ascii="Arial" w:cs="Arial" w:eastAsia="Arial" w:hAnsi="Arial"/>
                <w:sz w:val="22"/>
                <w:szCs w:val="22"/>
                <w:b w:val="1"/>
                <w:bCs w:val="1"/>
                <w:i w:val="1"/>
                <w:iCs w:val="1"/>
                <w:color w:val="auto"/>
                <w:w w:val="93"/>
              </w:rPr>
              <w:t>menguruskan  Pelan</w:t>
            </w:r>
          </w:p>
        </w:tc>
        <w:tc>
          <w:tcPr>
            <w:tcW w:w="56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w w:val="86"/>
              </w:rPr>
              <w:t>untuk</w:t>
            </w:r>
          </w:p>
        </w:tc>
        <w:tc>
          <w:tcPr>
            <w:tcW w:w="0" w:type="dxa"/>
            <w:vAlign w:val="bottom"/>
          </w:tcPr>
          <w:p>
            <w:pPr>
              <w:spacing w:after="0"/>
              <w:rPr>
                <w:sz w:val="1"/>
                <w:szCs w:val="1"/>
                <w:color w:val="auto"/>
              </w:rPr>
            </w:pPr>
          </w:p>
        </w:tc>
      </w:tr>
      <w:tr>
        <w:trPr>
          <w:trHeight w:val="243"/>
        </w:trPr>
        <w:tc>
          <w:tcPr>
            <w:tcW w:w="6760" w:type="dxa"/>
            <w:vAlign w:val="bottom"/>
            <w:gridSpan w:val="9"/>
          </w:tcPr>
          <w:p>
            <w:pPr>
              <w:spacing w:after="0" w:line="243" w:lineRule="exact"/>
              <w:rPr>
                <w:sz w:val="20"/>
                <w:szCs w:val="20"/>
                <w:color w:val="auto"/>
              </w:rPr>
            </w:pPr>
            <w:r>
              <w:rPr>
                <w:rFonts w:ascii="Arial" w:cs="Arial" w:eastAsia="Arial" w:hAnsi="Arial"/>
                <w:sz w:val="16"/>
                <w:szCs w:val="16"/>
                <w:b w:val="1"/>
                <w:bCs w:val="1"/>
                <w:i w:val="1"/>
                <w:iCs w:val="1"/>
                <w:color w:val="auto"/>
              </w:rPr>
              <w:t xml:space="preserve">long as is necessary to implement, administer and manage </w:t>
            </w:r>
            <w:r>
              <w:rPr>
                <w:rFonts w:ascii="Arial" w:cs="Arial" w:eastAsia="Arial" w:hAnsi="Arial"/>
                <w:sz w:val="28"/>
                <w:szCs w:val="28"/>
                <w:b w:val="1"/>
                <w:bCs w:val="1"/>
                <w:i w:val="1"/>
                <w:iCs w:val="1"/>
                <w:color w:val="auto"/>
                <w:vertAlign w:val="superscript"/>
              </w:rPr>
              <w:t>menerima,</w:t>
            </w:r>
          </w:p>
        </w:tc>
        <w:tc>
          <w:tcPr>
            <w:tcW w:w="1020" w:type="dxa"/>
            <w:vAlign w:val="bottom"/>
            <w:gridSpan w:val="3"/>
          </w:tcPr>
          <w:p>
            <w:pPr>
              <w:ind w:left="140"/>
              <w:spacing w:after="0" w:line="243" w:lineRule="exact"/>
              <w:rPr>
                <w:sz w:val="20"/>
                <w:szCs w:val="20"/>
                <w:color w:val="auto"/>
              </w:rPr>
            </w:pPr>
            <w:r>
              <w:rPr>
                <w:rFonts w:ascii="Arial" w:cs="Arial" w:eastAsia="Arial" w:hAnsi="Arial"/>
                <w:sz w:val="22"/>
                <w:szCs w:val="22"/>
                <w:b w:val="1"/>
                <w:bCs w:val="1"/>
                <w:i w:val="1"/>
                <w:iCs w:val="1"/>
                <w:color w:val="auto"/>
                <w:w w:val="91"/>
              </w:rPr>
              <w:t>memiliki,</w:t>
            </w:r>
          </w:p>
        </w:tc>
        <w:tc>
          <w:tcPr>
            <w:tcW w:w="1580" w:type="dxa"/>
            <w:vAlign w:val="bottom"/>
            <w:gridSpan w:val="4"/>
          </w:tcPr>
          <w:p>
            <w:pPr>
              <w:jc w:val="right"/>
              <w:spacing w:after="0" w:line="243" w:lineRule="exact"/>
              <w:rPr>
                <w:sz w:val="20"/>
                <w:szCs w:val="20"/>
                <w:color w:val="auto"/>
              </w:rPr>
            </w:pPr>
            <w:r>
              <w:rPr>
                <w:rFonts w:ascii="Arial" w:cs="Arial" w:eastAsia="Arial" w:hAnsi="Arial"/>
                <w:sz w:val="22"/>
                <w:szCs w:val="22"/>
                <w:b w:val="1"/>
                <w:bCs w:val="1"/>
                <w:i w:val="1"/>
                <w:iCs w:val="1"/>
                <w:color w:val="auto"/>
                <w:w w:val="97"/>
              </w:rPr>
              <w:t>menggunakan,</w:t>
            </w:r>
          </w:p>
        </w:tc>
        <w:tc>
          <w:tcPr>
            <w:tcW w:w="180" w:type="dxa"/>
            <w:vAlign w:val="bottom"/>
          </w:tcPr>
          <w:p>
            <w:pPr>
              <w:spacing w:after="0"/>
              <w:rPr>
                <w:sz w:val="21"/>
                <w:szCs w:val="21"/>
                <w:color w:val="auto"/>
              </w:rPr>
            </w:pPr>
          </w:p>
        </w:tc>
        <w:tc>
          <w:tcPr>
            <w:tcW w:w="1260" w:type="dxa"/>
            <w:vAlign w:val="bottom"/>
            <w:gridSpan w:val="2"/>
          </w:tcPr>
          <w:p>
            <w:pPr>
              <w:ind w:left="20"/>
              <w:spacing w:after="0" w:line="243" w:lineRule="exact"/>
              <w:rPr>
                <w:sz w:val="20"/>
                <w:szCs w:val="20"/>
                <w:color w:val="auto"/>
              </w:rPr>
            </w:pPr>
            <w:r>
              <w:rPr>
                <w:rFonts w:ascii="Arial" w:cs="Arial" w:eastAsia="Arial" w:hAnsi="Arial"/>
                <w:sz w:val="22"/>
                <w:szCs w:val="22"/>
                <w:b w:val="1"/>
                <w:bCs w:val="1"/>
                <w:i w:val="1"/>
                <w:iCs w:val="1"/>
                <w:color w:val="auto"/>
                <w:w w:val="87"/>
              </w:rPr>
              <w:t>mengekalkan</w:t>
            </w:r>
          </w:p>
        </w:tc>
        <w:tc>
          <w:tcPr>
            <w:tcW w:w="56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rPr>
              <w:t>dan</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Participant’s participation in the Plan. Participant understands </w:t>
            </w:r>
            <w:r>
              <w:rPr>
                <w:rFonts w:ascii="Arial" w:cs="Arial" w:eastAsia="Arial" w:hAnsi="Arial"/>
                <w:sz w:val="28"/>
                <w:szCs w:val="28"/>
                <w:b w:val="1"/>
                <w:bCs w:val="1"/>
                <w:i w:val="1"/>
                <w:iCs w:val="1"/>
                <w:color w:val="auto"/>
                <w:vertAlign w:val="superscript"/>
              </w:rPr>
              <w:t>memindahkan Data, dalam bentuk elektronik atau lain-lain,</w:t>
            </w:r>
          </w:p>
        </w:tc>
        <w:tc>
          <w:tcPr>
            <w:tcW w:w="0" w:type="dxa"/>
            <w:vAlign w:val="bottom"/>
          </w:tcPr>
          <w:p>
            <w:pPr>
              <w:spacing w:after="0"/>
              <w:rPr>
                <w:sz w:val="1"/>
                <w:szCs w:val="1"/>
                <w:color w:val="auto"/>
              </w:rPr>
            </w:pPr>
          </w:p>
        </w:tc>
      </w:tr>
      <w:tr>
        <w:trPr>
          <w:trHeight w:val="243"/>
        </w:trPr>
        <w:tc>
          <w:tcPr>
            <w:tcW w:w="6620" w:type="dxa"/>
            <w:vAlign w:val="bottom"/>
            <w:gridSpan w:val="8"/>
          </w:tcPr>
          <w:p>
            <w:pPr>
              <w:spacing w:after="0" w:line="243" w:lineRule="exact"/>
              <w:rPr>
                <w:sz w:val="20"/>
                <w:szCs w:val="20"/>
                <w:color w:val="auto"/>
              </w:rPr>
            </w:pPr>
            <w:r>
              <w:rPr>
                <w:rFonts w:ascii="Arial" w:cs="Arial" w:eastAsia="Arial" w:hAnsi="Arial"/>
                <w:sz w:val="16"/>
                <w:szCs w:val="16"/>
                <w:b w:val="1"/>
                <w:bCs w:val="1"/>
                <w:i w:val="1"/>
                <w:iCs w:val="1"/>
                <w:color w:val="auto"/>
              </w:rPr>
              <w:t xml:space="preserve">if he or she resides outside the United States, he or she may, at </w:t>
            </w:r>
            <w:r>
              <w:rPr>
                <w:rFonts w:ascii="Arial" w:cs="Arial" w:eastAsia="Arial" w:hAnsi="Arial"/>
                <w:sz w:val="28"/>
                <w:szCs w:val="28"/>
                <w:b w:val="1"/>
                <w:bCs w:val="1"/>
                <w:i w:val="1"/>
                <w:iCs w:val="1"/>
                <w:color w:val="auto"/>
                <w:vertAlign w:val="superscript"/>
              </w:rPr>
              <w:t>dengan</w:t>
            </w:r>
          </w:p>
        </w:tc>
        <w:tc>
          <w:tcPr>
            <w:tcW w:w="620" w:type="dxa"/>
            <w:vAlign w:val="bottom"/>
            <w:gridSpan w:val="3"/>
          </w:tcPr>
          <w:p>
            <w:pPr>
              <w:spacing w:after="0" w:line="243" w:lineRule="exact"/>
              <w:rPr>
                <w:sz w:val="20"/>
                <w:szCs w:val="20"/>
                <w:color w:val="auto"/>
              </w:rPr>
            </w:pPr>
            <w:r>
              <w:rPr>
                <w:rFonts w:ascii="Arial" w:cs="Arial" w:eastAsia="Arial" w:hAnsi="Arial"/>
                <w:sz w:val="22"/>
                <w:szCs w:val="22"/>
                <w:b w:val="1"/>
                <w:bCs w:val="1"/>
                <w:i w:val="1"/>
                <w:iCs w:val="1"/>
                <w:color w:val="auto"/>
                <w:w w:val="90"/>
              </w:rPr>
              <w:t>tujuan</w:t>
            </w:r>
          </w:p>
        </w:tc>
        <w:tc>
          <w:tcPr>
            <w:tcW w:w="940" w:type="dxa"/>
            <w:vAlign w:val="bottom"/>
            <w:gridSpan w:val="2"/>
          </w:tcPr>
          <w:p>
            <w:pPr>
              <w:ind w:left="220"/>
              <w:spacing w:after="0" w:line="243" w:lineRule="exact"/>
              <w:rPr>
                <w:sz w:val="20"/>
                <w:szCs w:val="20"/>
                <w:color w:val="auto"/>
              </w:rPr>
            </w:pPr>
            <w:r>
              <w:rPr>
                <w:rFonts w:ascii="Arial" w:cs="Arial" w:eastAsia="Arial" w:hAnsi="Arial"/>
                <w:sz w:val="22"/>
                <w:szCs w:val="22"/>
                <w:b w:val="1"/>
                <w:bCs w:val="1"/>
                <w:i w:val="1"/>
                <w:iCs w:val="1"/>
                <w:color w:val="auto"/>
              </w:rPr>
              <w:t>untuk</w:t>
            </w:r>
          </w:p>
        </w:tc>
        <w:tc>
          <w:tcPr>
            <w:tcW w:w="2620" w:type="dxa"/>
            <w:vAlign w:val="bottom"/>
            <w:gridSpan w:val="6"/>
          </w:tcPr>
          <w:p>
            <w:pPr>
              <w:ind w:left="60"/>
              <w:spacing w:after="0" w:line="243" w:lineRule="exact"/>
              <w:rPr>
                <w:sz w:val="20"/>
                <w:szCs w:val="20"/>
                <w:color w:val="auto"/>
              </w:rPr>
            </w:pPr>
            <w:r>
              <w:rPr>
                <w:rFonts w:ascii="Arial" w:cs="Arial" w:eastAsia="Arial" w:hAnsi="Arial"/>
                <w:sz w:val="22"/>
                <w:szCs w:val="22"/>
                <w:b w:val="1"/>
                <w:bCs w:val="1"/>
                <w:i w:val="1"/>
                <w:iCs w:val="1"/>
                <w:color w:val="auto"/>
                <w:w w:val="92"/>
              </w:rPr>
              <w:t>melaksanakan,  mentadbir</w:t>
            </w:r>
          </w:p>
        </w:tc>
        <w:tc>
          <w:tcPr>
            <w:tcW w:w="56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rPr>
              <w:t>dan</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any time, view Data, request additional information about the </w:t>
            </w:r>
            <w:r>
              <w:rPr>
                <w:rFonts w:ascii="Arial" w:cs="Arial" w:eastAsia="Arial" w:hAnsi="Arial"/>
                <w:sz w:val="28"/>
                <w:szCs w:val="28"/>
                <w:b w:val="1"/>
                <w:bCs w:val="1"/>
                <w:i w:val="1"/>
                <w:iCs w:val="1"/>
                <w:color w:val="auto"/>
                <w:vertAlign w:val="superscript"/>
              </w:rPr>
              <w:t>menguruskan penyertaan Peserta dalam Pelan. Peserta fahami</w:t>
            </w:r>
          </w:p>
        </w:tc>
        <w:tc>
          <w:tcPr>
            <w:tcW w:w="0" w:type="dxa"/>
            <w:vAlign w:val="bottom"/>
          </w:tcPr>
          <w:p>
            <w:pPr>
              <w:spacing w:after="0"/>
              <w:rPr>
                <w:sz w:val="1"/>
                <w:szCs w:val="1"/>
                <w:color w:val="auto"/>
              </w:rPr>
            </w:pPr>
          </w:p>
        </w:tc>
      </w:tr>
      <w:tr>
        <w:trPr>
          <w:trHeight w:val="243"/>
        </w:trPr>
        <w:tc>
          <w:tcPr>
            <w:tcW w:w="8700" w:type="dxa"/>
            <w:vAlign w:val="bottom"/>
            <w:gridSpan w:val="14"/>
          </w:tcPr>
          <w:p>
            <w:pPr>
              <w:spacing w:after="0" w:line="243" w:lineRule="exact"/>
              <w:rPr>
                <w:sz w:val="20"/>
                <w:szCs w:val="20"/>
                <w:color w:val="auto"/>
              </w:rPr>
            </w:pPr>
            <w:r>
              <w:rPr>
                <w:rFonts w:ascii="Arial" w:cs="Arial" w:eastAsia="Arial" w:hAnsi="Arial"/>
                <w:sz w:val="16"/>
                <w:szCs w:val="16"/>
                <w:b w:val="1"/>
                <w:bCs w:val="1"/>
                <w:i w:val="1"/>
                <w:iCs w:val="1"/>
                <w:color w:val="auto"/>
              </w:rPr>
              <w:t xml:space="preserve">storage  and  processing  of  Data,  require  any  necessary </w:t>
            </w:r>
            <w:r>
              <w:rPr>
                <w:rFonts w:ascii="Arial" w:cs="Arial" w:eastAsia="Arial" w:hAnsi="Arial"/>
                <w:sz w:val="28"/>
                <w:szCs w:val="28"/>
                <w:b w:val="1"/>
                <w:bCs w:val="1"/>
                <w:i w:val="1"/>
                <w:iCs w:val="1"/>
                <w:color w:val="auto"/>
                <w:vertAlign w:val="superscript"/>
              </w:rPr>
              <w:t>bahawa  Data  akan  dipegang</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84"/>
              </w:rPr>
              <w:t>hanya</w:t>
            </w:r>
          </w:p>
        </w:tc>
        <w:tc>
          <w:tcPr>
            <w:tcW w:w="1440" w:type="dxa"/>
            <w:vAlign w:val="bottom"/>
            <w:gridSpan w:val="3"/>
          </w:tcPr>
          <w:p>
            <w:pPr>
              <w:ind w:left="60"/>
              <w:spacing w:after="0" w:line="243" w:lineRule="exact"/>
              <w:rPr>
                <w:sz w:val="20"/>
                <w:szCs w:val="20"/>
                <w:color w:val="auto"/>
              </w:rPr>
            </w:pPr>
            <w:r>
              <w:rPr>
                <w:rFonts w:ascii="Arial" w:cs="Arial" w:eastAsia="Arial" w:hAnsi="Arial"/>
                <w:sz w:val="22"/>
                <w:szCs w:val="22"/>
                <w:b w:val="1"/>
                <w:bCs w:val="1"/>
                <w:i w:val="1"/>
                <w:iCs w:val="1"/>
                <w:color w:val="auto"/>
                <w:w w:val="89"/>
              </w:rPr>
              <w:t>untuk  tempoh</w:t>
            </w:r>
          </w:p>
        </w:tc>
        <w:tc>
          <w:tcPr>
            <w:tcW w:w="56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rPr>
              <w:t>yang</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16"/>
                <w:szCs w:val="16"/>
                <w:b w:val="1"/>
                <w:bCs w:val="1"/>
                <w:i w:val="1"/>
                <w:iCs w:val="1"/>
                <w:color w:val="auto"/>
              </w:rPr>
              <w:t xml:space="preserve">amendments to Data or refuse or withdraw the consents herein, </w:t>
            </w:r>
            <w:r>
              <w:rPr>
                <w:rFonts w:ascii="Arial" w:cs="Arial" w:eastAsia="Arial" w:hAnsi="Arial"/>
                <w:sz w:val="28"/>
                <w:szCs w:val="28"/>
                <w:b w:val="1"/>
                <w:bCs w:val="1"/>
                <w:i w:val="1"/>
                <w:iCs w:val="1"/>
                <w:color w:val="auto"/>
                <w:vertAlign w:val="superscript"/>
              </w:rPr>
              <w:t>diperlukan untuk melaksanakan, mentadbir dan menguruskan</w:t>
            </w:r>
          </w:p>
        </w:tc>
        <w:tc>
          <w:tcPr>
            <w:tcW w:w="0" w:type="dxa"/>
            <w:vAlign w:val="bottom"/>
          </w:tcPr>
          <w:p>
            <w:pPr>
              <w:spacing w:after="0"/>
              <w:rPr>
                <w:sz w:val="1"/>
                <w:szCs w:val="1"/>
                <w:color w:val="auto"/>
              </w:rPr>
            </w:pPr>
          </w:p>
        </w:tc>
      </w:tr>
      <w:tr>
        <w:trPr>
          <w:trHeight w:val="243"/>
        </w:trPr>
        <w:tc>
          <w:tcPr>
            <w:tcW w:w="6760" w:type="dxa"/>
            <w:vAlign w:val="bottom"/>
            <w:gridSpan w:val="9"/>
          </w:tcPr>
          <w:p>
            <w:pPr>
              <w:spacing w:after="0" w:line="243" w:lineRule="exact"/>
              <w:rPr>
                <w:sz w:val="20"/>
                <w:szCs w:val="20"/>
                <w:color w:val="auto"/>
              </w:rPr>
            </w:pPr>
            <w:r>
              <w:rPr>
                <w:rFonts w:ascii="Arial" w:cs="Arial" w:eastAsia="Arial" w:hAnsi="Arial"/>
                <w:sz w:val="16"/>
                <w:szCs w:val="16"/>
                <w:b w:val="1"/>
                <w:bCs w:val="1"/>
                <w:i w:val="1"/>
                <w:iCs w:val="1"/>
                <w:color w:val="auto"/>
              </w:rPr>
              <w:t xml:space="preserve">in any case without cost, by contacting in writing his or her </w:t>
            </w:r>
            <w:r>
              <w:rPr>
                <w:rFonts w:ascii="Arial" w:cs="Arial" w:eastAsia="Arial" w:hAnsi="Arial"/>
                <w:sz w:val="28"/>
                <w:szCs w:val="28"/>
                <w:b w:val="1"/>
                <w:bCs w:val="1"/>
                <w:i w:val="1"/>
                <w:iCs w:val="1"/>
                <w:color w:val="auto"/>
                <w:vertAlign w:val="superscript"/>
              </w:rPr>
              <w:t>penyertaan</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1"/>
              </w:rPr>
              <w:t>Peserta  dalam  Pelan.  Peserta  fahami  bahawa</w:t>
            </w: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b w:val="1"/>
                <w:bCs w:val="1"/>
                <w:i w:val="1"/>
                <w:iCs w:val="1"/>
                <w:color w:val="auto"/>
                <w:w w:val="91"/>
              </w:rPr>
              <w:t>local</w:t>
            </w:r>
          </w:p>
        </w:tc>
        <w:tc>
          <w:tcPr>
            <w:tcW w:w="1780" w:type="dxa"/>
            <w:vAlign w:val="bottom"/>
          </w:tcPr>
          <w:p>
            <w:pPr>
              <w:ind w:left="80"/>
              <w:spacing w:after="0" w:line="243" w:lineRule="exact"/>
              <w:rPr>
                <w:sz w:val="20"/>
                <w:szCs w:val="20"/>
                <w:color w:val="auto"/>
              </w:rPr>
            </w:pPr>
            <w:r>
              <w:rPr>
                <w:rFonts w:ascii="Arial" w:cs="Arial" w:eastAsia="Arial" w:hAnsi="Arial"/>
                <w:sz w:val="22"/>
                <w:szCs w:val="22"/>
                <w:b w:val="1"/>
                <w:bCs w:val="1"/>
                <w:i w:val="1"/>
                <w:iCs w:val="1"/>
                <w:color w:val="auto"/>
                <w:w w:val="91"/>
              </w:rPr>
              <w:t>human resources</w:t>
            </w:r>
          </w:p>
        </w:tc>
        <w:tc>
          <w:tcPr>
            <w:tcW w:w="1360" w:type="dxa"/>
            <w:vAlign w:val="bottom"/>
          </w:tcPr>
          <w:p>
            <w:pPr>
              <w:ind w:left="60"/>
              <w:spacing w:after="0" w:line="243" w:lineRule="exact"/>
              <w:rPr>
                <w:sz w:val="20"/>
                <w:szCs w:val="20"/>
                <w:color w:val="auto"/>
              </w:rPr>
            </w:pPr>
            <w:r>
              <w:rPr>
                <w:rFonts w:ascii="Arial" w:cs="Arial" w:eastAsia="Arial" w:hAnsi="Arial"/>
                <w:sz w:val="22"/>
                <w:szCs w:val="22"/>
                <w:b w:val="1"/>
                <w:bCs w:val="1"/>
                <w:i w:val="1"/>
                <w:iCs w:val="1"/>
                <w:color w:val="auto"/>
                <w:w w:val="85"/>
              </w:rPr>
              <w:t>representative</w:t>
            </w:r>
          </w:p>
        </w:tc>
        <w:tc>
          <w:tcPr>
            <w:tcW w:w="960" w:type="dxa"/>
            <w:vAlign w:val="bottom"/>
          </w:tcPr>
          <w:p>
            <w:pPr>
              <w:ind w:left="80"/>
              <w:spacing w:after="0" w:line="243" w:lineRule="exact"/>
              <w:rPr>
                <w:sz w:val="20"/>
                <w:szCs w:val="20"/>
                <w:color w:val="auto"/>
              </w:rPr>
            </w:pPr>
            <w:r>
              <w:rPr>
                <w:rFonts w:ascii="Arial" w:cs="Arial" w:eastAsia="Arial" w:hAnsi="Arial"/>
                <w:sz w:val="22"/>
                <w:szCs w:val="22"/>
                <w:b w:val="1"/>
                <w:bCs w:val="1"/>
                <w:i w:val="1"/>
                <w:iCs w:val="1"/>
                <w:color w:val="auto"/>
                <w:w w:val="92"/>
              </w:rPr>
              <w:t>at [insert</w:t>
            </w:r>
          </w:p>
        </w:tc>
        <w:tc>
          <w:tcPr>
            <w:tcW w:w="6780" w:type="dxa"/>
            <w:vAlign w:val="bottom"/>
            <w:gridSpan w:val="16"/>
          </w:tcPr>
          <w:p>
            <w:pPr>
              <w:jc w:val="right"/>
              <w:spacing w:after="0" w:line="243" w:lineRule="exact"/>
              <w:rPr>
                <w:sz w:val="20"/>
                <w:szCs w:val="20"/>
                <w:color w:val="auto"/>
              </w:rPr>
            </w:pPr>
            <w:r>
              <w:rPr>
                <w:rFonts w:ascii="Arial" w:cs="Arial" w:eastAsia="Arial" w:hAnsi="Arial"/>
                <w:sz w:val="28"/>
                <w:szCs w:val="28"/>
                <w:b w:val="1"/>
                <w:bCs w:val="1"/>
                <w:i w:val="1"/>
                <w:iCs w:val="1"/>
                <w:color w:val="auto"/>
                <w:vertAlign w:val="subscript"/>
              </w:rPr>
              <w:t>Malaysian</w:t>
            </w:r>
            <w:r>
              <w:rPr>
                <w:rFonts w:ascii="Arial" w:cs="Arial" w:eastAsia="Arial" w:hAnsi="Arial"/>
                <w:sz w:val="16"/>
                <w:szCs w:val="16"/>
                <w:b w:val="1"/>
                <w:bCs w:val="1"/>
                <w:i w:val="1"/>
                <w:iCs w:val="1"/>
                <w:color w:val="auto"/>
              </w:rPr>
              <w:t xml:space="preserve"> sekiranya dia menetap di luar Amerika Syarikat, dia boleh,</w:t>
            </w:r>
          </w:p>
        </w:tc>
        <w:tc>
          <w:tcPr>
            <w:tcW w:w="0" w:type="dxa"/>
            <w:vAlign w:val="bottom"/>
          </w:tcPr>
          <w:p>
            <w:pPr>
              <w:spacing w:after="0"/>
              <w:rPr>
                <w:sz w:val="1"/>
                <w:szCs w:val="1"/>
                <w:color w:val="auto"/>
              </w:rPr>
            </w:pPr>
          </w:p>
        </w:tc>
      </w:tr>
      <w:tr>
        <w:trPr>
          <w:trHeight w:val="243"/>
        </w:trPr>
        <w:tc>
          <w:tcPr>
            <w:tcW w:w="6160" w:type="dxa"/>
            <w:vAlign w:val="bottom"/>
            <w:gridSpan w:val="7"/>
          </w:tcPr>
          <w:p>
            <w:pPr>
              <w:spacing w:after="0" w:line="243" w:lineRule="exact"/>
              <w:rPr>
                <w:sz w:val="20"/>
                <w:szCs w:val="20"/>
                <w:color w:val="auto"/>
              </w:rPr>
            </w:pPr>
            <w:r>
              <w:rPr>
                <w:rFonts w:ascii="Arial" w:cs="Arial" w:eastAsia="Arial" w:hAnsi="Arial"/>
                <w:sz w:val="16"/>
                <w:szCs w:val="16"/>
                <w:b w:val="1"/>
                <w:bCs w:val="1"/>
                <w:i w:val="1"/>
                <w:iCs w:val="1"/>
                <w:color w:val="auto"/>
              </w:rPr>
              <w:t xml:space="preserve">entity information]. Further, Participant understands that he </w:t>
            </w:r>
            <w:r>
              <w:rPr>
                <w:rFonts w:ascii="Arial" w:cs="Arial" w:eastAsia="Arial" w:hAnsi="Arial"/>
                <w:sz w:val="28"/>
                <w:szCs w:val="28"/>
                <w:b w:val="1"/>
                <w:bCs w:val="1"/>
                <w:i w:val="1"/>
                <w:iCs w:val="1"/>
                <w:color w:val="auto"/>
                <w:vertAlign w:val="superscript"/>
              </w:rPr>
              <w:t>pada</w:t>
            </w:r>
          </w:p>
        </w:tc>
        <w:tc>
          <w:tcPr>
            <w:tcW w:w="920" w:type="dxa"/>
            <w:vAlign w:val="bottom"/>
            <w:gridSpan w:val="3"/>
          </w:tcPr>
          <w:p>
            <w:pPr>
              <w:ind w:left="160"/>
              <w:spacing w:after="0" w:line="243" w:lineRule="exact"/>
              <w:rPr>
                <w:sz w:val="20"/>
                <w:szCs w:val="20"/>
                <w:color w:val="auto"/>
              </w:rPr>
            </w:pPr>
            <w:r>
              <w:rPr>
                <w:rFonts w:ascii="Arial" w:cs="Arial" w:eastAsia="Arial" w:hAnsi="Arial"/>
                <w:sz w:val="22"/>
                <w:szCs w:val="22"/>
                <w:b w:val="1"/>
                <w:bCs w:val="1"/>
                <w:i w:val="1"/>
                <w:iCs w:val="1"/>
                <w:color w:val="auto"/>
                <w:w w:val="88"/>
              </w:rPr>
              <w:t>bila-bila</w:t>
            </w:r>
          </w:p>
        </w:tc>
        <w:tc>
          <w:tcPr>
            <w:tcW w:w="160" w:type="dxa"/>
            <w:vAlign w:val="bottom"/>
          </w:tcPr>
          <w:p>
            <w:pPr>
              <w:spacing w:after="0"/>
              <w:rPr>
                <w:sz w:val="21"/>
                <w:szCs w:val="21"/>
                <w:color w:val="auto"/>
              </w:rPr>
            </w:pPr>
          </w:p>
        </w:tc>
        <w:tc>
          <w:tcPr>
            <w:tcW w:w="540" w:type="dxa"/>
            <w:vAlign w:val="bottom"/>
          </w:tcPr>
          <w:p>
            <w:pPr>
              <w:spacing w:after="0" w:line="243" w:lineRule="exact"/>
              <w:rPr>
                <w:sz w:val="20"/>
                <w:szCs w:val="20"/>
                <w:color w:val="auto"/>
              </w:rPr>
            </w:pPr>
            <w:r>
              <w:rPr>
                <w:rFonts w:ascii="Arial" w:cs="Arial" w:eastAsia="Arial" w:hAnsi="Arial"/>
                <w:sz w:val="22"/>
                <w:szCs w:val="22"/>
                <w:b w:val="1"/>
                <w:bCs w:val="1"/>
                <w:i w:val="1"/>
                <w:iCs w:val="1"/>
                <w:color w:val="auto"/>
                <w:w w:val="83"/>
              </w:rPr>
              <w:t>masa,</w:t>
            </w:r>
          </w:p>
        </w:tc>
        <w:tc>
          <w:tcPr>
            <w:tcW w:w="9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i w:val="1"/>
                <w:iCs w:val="1"/>
                <w:color w:val="auto"/>
                <w:w w:val="93"/>
              </w:rPr>
              <w:t>melihat</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rPr>
              <w:t>Data,</w:t>
            </w:r>
          </w:p>
        </w:tc>
        <w:tc>
          <w:tcPr>
            <w:tcW w:w="100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i w:val="1"/>
                <w:iCs w:val="1"/>
                <w:color w:val="auto"/>
                <w:w w:val="86"/>
              </w:rPr>
              <w:t>meminta</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93"/>
              </w:rPr>
              <w:t>maklumat</w:t>
            </w:r>
          </w:p>
        </w:tc>
        <w:tc>
          <w:tcPr>
            <w:tcW w:w="0" w:type="dxa"/>
            <w:vAlign w:val="bottom"/>
          </w:tcPr>
          <w:p>
            <w:pPr>
              <w:spacing w:after="0"/>
              <w:rPr>
                <w:sz w:val="1"/>
                <w:szCs w:val="1"/>
                <w:color w:val="auto"/>
              </w:rPr>
            </w:pPr>
          </w:p>
        </w:tc>
      </w:tr>
      <w:tr>
        <w:trPr>
          <w:trHeight w:val="243"/>
        </w:trPr>
        <w:tc>
          <w:tcPr>
            <w:tcW w:w="6620" w:type="dxa"/>
            <w:vAlign w:val="bottom"/>
            <w:gridSpan w:val="8"/>
          </w:tcPr>
          <w:p>
            <w:pPr>
              <w:spacing w:after="0" w:line="243" w:lineRule="exact"/>
              <w:rPr>
                <w:sz w:val="20"/>
                <w:szCs w:val="20"/>
                <w:color w:val="auto"/>
              </w:rPr>
            </w:pPr>
            <w:r>
              <w:rPr>
                <w:rFonts w:ascii="Arial" w:cs="Arial" w:eastAsia="Arial" w:hAnsi="Arial"/>
                <w:sz w:val="16"/>
                <w:szCs w:val="16"/>
                <w:b w:val="1"/>
                <w:bCs w:val="1"/>
                <w:i w:val="1"/>
                <w:iCs w:val="1"/>
                <w:color w:val="auto"/>
              </w:rPr>
              <w:t xml:space="preserve">or she is providing the consents herein on a purely voluntary </w:t>
            </w:r>
            <w:r>
              <w:rPr>
                <w:rFonts w:ascii="Arial" w:cs="Arial" w:eastAsia="Arial" w:hAnsi="Arial"/>
                <w:sz w:val="28"/>
                <w:szCs w:val="28"/>
                <w:b w:val="1"/>
                <w:bCs w:val="1"/>
                <w:i w:val="1"/>
                <w:iCs w:val="1"/>
                <w:color w:val="auto"/>
                <w:vertAlign w:val="superscript"/>
              </w:rPr>
              <w:t>tambahan</w:t>
            </w:r>
          </w:p>
        </w:tc>
        <w:tc>
          <w:tcPr>
            <w:tcW w:w="2340" w:type="dxa"/>
            <w:vAlign w:val="bottom"/>
            <w:gridSpan w:val="7"/>
          </w:tcPr>
          <w:p>
            <w:pPr>
              <w:ind w:left="120"/>
              <w:spacing w:after="0" w:line="243" w:lineRule="exact"/>
              <w:rPr>
                <w:sz w:val="20"/>
                <w:szCs w:val="20"/>
                <w:color w:val="auto"/>
              </w:rPr>
            </w:pPr>
            <w:r>
              <w:rPr>
                <w:rFonts w:ascii="Arial" w:cs="Arial" w:eastAsia="Arial" w:hAnsi="Arial"/>
                <w:sz w:val="22"/>
                <w:szCs w:val="22"/>
                <w:b w:val="1"/>
                <w:bCs w:val="1"/>
                <w:i w:val="1"/>
                <w:iCs w:val="1"/>
                <w:color w:val="auto"/>
                <w:w w:val="87"/>
              </w:rPr>
              <w:t>mengenai penyimpanan</w:t>
            </w:r>
          </w:p>
        </w:tc>
        <w:tc>
          <w:tcPr>
            <w:tcW w:w="58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i w:val="1"/>
                <w:iCs w:val="1"/>
                <w:color w:val="auto"/>
                <w:w w:val="86"/>
              </w:rPr>
              <w:t>dan</w:t>
            </w:r>
          </w:p>
        </w:tc>
        <w:tc>
          <w:tcPr>
            <w:tcW w:w="1260" w:type="dxa"/>
            <w:vAlign w:val="bottom"/>
            <w:gridSpan w:val="2"/>
          </w:tcPr>
          <w:p>
            <w:pPr>
              <w:ind w:left="20"/>
              <w:spacing w:after="0" w:line="243" w:lineRule="exact"/>
              <w:rPr>
                <w:sz w:val="20"/>
                <w:szCs w:val="20"/>
                <w:color w:val="auto"/>
              </w:rPr>
            </w:pPr>
            <w:r>
              <w:rPr>
                <w:rFonts w:ascii="Arial" w:cs="Arial" w:eastAsia="Arial" w:hAnsi="Arial"/>
                <w:sz w:val="22"/>
                <w:szCs w:val="22"/>
                <w:b w:val="1"/>
                <w:bCs w:val="1"/>
                <w:i w:val="1"/>
                <w:iCs w:val="1"/>
                <w:color w:val="auto"/>
                <w:w w:val="85"/>
              </w:rPr>
              <w:t>pemprosesan</w:t>
            </w:r>
          </w:p>
        </w:tc>
        <w:tc>
          <w:tcPr>
            <w:tcW w:w="560" w:type="dxa"/>
            <w:vAlign w:val="bottom"/>
          </w:tcPr>
          <w:p>
            <w:pPr>
              <w:jc w:val="right"/>
              <w:spacing w:after="0" w:line="243" w:lineRule="exact"/>
              <w:rPr>
                <w:sz w:val="20"/>
                <w:szCs w:val="20"/>
                <w:color w:val="auto"/>
              </w:rPr>
            </w:pPr>
            <w:r>
              <w:rPr>
                <w:rFonts w:ascii="Arial" w:cs="Arial" w:eastAsia="Arial" w:hAnsi="Arial"/>
                <w:sz w:val="22"/>
                <w:szCs w:val="22"/>
                <w:b w:val="1"/>
                <w:bCs w:val="1"/>
                <w:i w:val="1"/>
                <w:iCs w:val="1"/>
                <w:color w:val="auto"/>
                <w:w w:val="96"/>
              </w:rPr>
              <w:t>Data,</w:t>
            </w:r>
          </w:p>
        </w:tc>
        <w:tc>
          <w:tcPr>
            <w:tcW w:w="0" w:type="dxa"/>
            <w:vAlign w:val="bottom"/>
          </w:tcPr>
          <w:p>
            <w:pPr>
              <w:spacing w:after="0"/>
              <w:rPr>
                <w:sz w:val="1"/>
                <w:szCs w:val="1"/>
                <w:color w:val="auto"/>
              </w:rPr>
            </w:pPr>
          </w:p>
        </w:tc>
      </w:tr>
      <w:tr>
        <w:trPr>
          <w:trHeight w:val="243"/>
        </w:trPr>
        <w:tc>
          <w:tcPr>
            <w:tcW w:w="6620" w:type="dxa"/>
            <w:vAlign w:val="bottom"/>
            <w:gridSpan w:val="8"/>
          </w:tcPr>
          <w:p>
            <w:pPr>
              <w:spacing w:after="0" w:line="243" w:lineRule="exact"/>
              <w:rPr>
                <w:sz w:val="20"/>
                <w:szCs w:val="20"/>
                <w:color w:val="auto"/>
              </w:rPr>
            </w:pPr>
            <w:r>
              <w:rPr>
                <w:rFonts w:ascii="Arial" w:cs="Arial" w:eastAsia="Arial" w:hAnsi="Arial"/>
                <w:sz w:val="16"/>
                <w:szCs w:val="16"/>
                <w:b w:val="1"/>
                <w:bCs w:val="1"/>
                <w:i w:val="1"/>
                <w:iCs w:val="1"/>
                <w:color w:val="auto"/>
              </w:rPr>
              <w:t xml:space="preserve">basis. If Participant does not consent, or if Participant later </w:t>
            </w:r>
            <w:r>
              <w:rPr>
                <w:rFonts w:ascii="Arial" w:cs="Arial" w:eastAsia="Arial" w:hAnsi="Arial"/>
                <w:sz w:val="28"/>
                <w:szCs w:val="28"/>
                <w:b w:val="1"/>
                <w:bCs w:val="1"/>
                <w:i w:val="1"/>
                <w:iCs w:val="1"/>
                <w:color w:val="auto"/>
                <w:vertAlign w:val="superscript"/>
              </w:rPr>
              <w:t>meminta</w:t>
            </w:r>
          </w:p>
        </w:tc>
        <w:tc>
          <w:tcPr>
            <w:tcW w:w="140" w:type="dxa"/>
            <w:vAlign w:val="bottom"/>
          </w:tcPr>
          <w:p>
            <w:pPr>
              <w:spacing w:after="0"/>
              <w:rPr>
                <w:sz w:val="21"/>
                <w:szCs w:val="21"/>
                <w:color w:val="auto"/>
              </w:rPr>
            </w:pPr>
          </w:p>
        </w:tc>
        <w:tc>
          <w:tcPr>
            <w:tcW w:w="1020" w:type="dxa"/>
            <w:vAlign w:val="bottom"/>
            <w:gridSpan w:val="3"/>
          </w:tcPr>
          <w:p>
            <w:pPr>
              <w:ind w:left="40"/>
              <w:spacing w:after="0" w:line="243" w:lineRule="exact"/>
              <w:rPr>
                <w:sz w:val="20"/>
                <w:szCs w:val="20"/>
                <w:color w:val="auto"/>
              </w:rPr>
            </w:pPr>
            <w:r>
              <w:rPr>
                <w:rFonts w:ascii="Arial" w:cs="Arial" w:eastAsia="Arial" w:hAnsi="Arial"/>
                <w:sz w:val="22"/>
                <w:szCs w:val="22"/>
                <w:b w:val="1"/>
                <w:bCs w:val="1"/>
                <w:i w:val="1"/>
                <w:iCs w:val="1"/>
                <w:color w:val="auto"/>
              </w:rPr>
              <w:t>bahawa</w:t>
            </w:r>
          </w:p>
        </w:tc>
        <w:tc>
          <w:tcPr>
            <w:tcW w:w="1580" w:type="dxa"/>
            <w:vAlign w:val="bottom"/>
            <w:gridSpan w:val="4"/>
          </w:tcPr>
          <w:p>
            <w:pPr>
              <w:jc w:val="right"/>
              <w:spacing w:after="0" w:line="243" w:lineRule="exact"/>
              <w:rPr>
                <w:sz w:val="20"/>
                <w:szCs w:val="20"/>
                <w:color w:val="auto"/>
              </w:rPr>
            </w:pPr>
            <w:r>
              <w:rPr>
                <w:rFonts w:ascii="Arial" w:cs="Arial" w:eastAsia="Arial" w:hAnsi="Arial"/>
                <w:sz w:val="22"/>
                <w:szCs w:val="22"/>
                <w:b w:val="1"/>
                <w:bCs w:val="1"/>
                <w:i w:val="1"/>
                <w:iCs w:val="1"/>
                <w:color w:val="auto"/>
                <w:w w:val="86"/>
              </w:rPr>
              <w:t>pindaan-pindaan</w:t>
            </w:r>
          </w:p>
        </w:tc>
        <w:tc>
          <w:tcPr>
            <w:tcW w:w="180" w:type="dxa"/>
            <w:vAlign w:val="bottom"/>
          </w:tcPr>
          <w:p>
            <w:pPr>
              <w:spacing w:after="0"/>
              <w:rPr>
                <w:sz w:val="21"/>
                <w:szCs w:val="21"/>
                <w:color w:val="auto"/>
              </w:rPr>
            </w:pPr>
          </w:p>
        </w:tc>
        <w:tc>
          <w:tcPr>
            <w:tcW w:w="820" w:type="dxa"/>
            <w:vAlign w:val="bottom"/>
          </w:tcPr>
          <w:p>
            <w:pPr>
              <w:jc w:val="center"/>
              <w:ind w:right="92"/>
              <w:spacing w:after="0" w:line="243" w:lineRule="exact"/>
              <w:rPr>
                <w:sz w:val="20"/>
                <w:szCs w:val="20"/>
                <w:color w:val="auto"/>
              </w:rPr>
            </w:pPr>
            <w:r>
              <w:rPr>
                <w:rFonts w:ascii="Arial" w:cs="Arial" w:eastAsia="Arial" w:hAnsi="Arial"/>
                <w:sz w:val="22"/>
                <w:szCs w:val="22"/>
                <w:b w:val="1"/>
                <w:bCs w:val="1"/>
                <w:i w:val="1"/>
                <w:iCs w:val="1"/>
                <w:color w:val="auto"/>
                <w:w w:val="81"/>
              </w:rPr>
              <w:t>yang</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b w:val="1"/>
                <w:bCs w:val="1"/>
                <w:i w:val="1"/>
                <w:iCs w:val="1"/>
                <w:color w:val="auto"/>
                <w:w w:val="86"/>
              </w:rPr>
              <w:t>diperlukan</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28"/>
                <w:szCs w:val="28"/>
                <w:b w:val="1"/>
                <w:bCs w:val="1"/>
                <w:i w:val="1"/>
                <w:iCs w:val="1"/>
                <w:color w:val="auto"/>
                <w:vertAlign w:val="subscript"/>
              </w:rPr>
              <w:t>seeks to revoke his or her consent, his or her employment</w:t>
            </w:r>
            <w:r>
              <w:rPr>
                <w:rFonts w:ascii="Arial" w:cs="Arial" w:eastAsia="Arial" w:hAnsi="Arial"/>
                <w:sz w:val="16"/>
                <w:szCs w:val="16"/>
                <w:b w:val="1"/>
                <w:bCs w:val="1"/>
                <w:i w:val="1"/>
                <w:iCs w:val="1"/>
                <w:color w:val="auto"/>
              </w:rPr>
              <w:t xml:space="preserve"> dilaksanakan ke atas Data atau menolak atau menarik balik</w:t>
            </w:r>
          </w:p>
        </w:tc>
        <w:tc>
          <w:tcPr>
            <w:tcW w:w="0" w:type="dxa"/>
            <w:vAlign w:val="bottom"/>
          </w:tcPr>
          <w:p>
            <w:pPr>
              <w:spacing w:after="0"/>
              <w:rPr>
                <w:sz w:val="1"/>
                <w:szCs w:val="1"/>
                <w:color w:val="auto"/>
              </w:rPr>
            </w:pPr>
          </w:p>
        </w:tc>
      </w:tr>
      <w:tr>
        <w:trPr>
          <w:trHeight w:val="243"/>
        </w:trPr>
        <w:tc>
          <w:tcPr>
            <w:tcW w:w="6760" w:type="dxa"/>
            <w:vAlign w:val="bottom"/>
            <w:gridSpan w:val="9"/>
          </w:tcPr>
          <w:p>
            <w:pPr>
              <w:spacing w:after="0" w:line="243" w:lineRule="exact"/>
              <w:rPr>
                <w:sz w:val="20"/>
                <w:szCs w:val="20"/>
                <w:color w:val="auto"/>
              </w:rPr>
            </w:pPr>
            <w:r>
              <w:rPr>
                <w:rFonts w:ascii="Arial" w:cs="Arial" w:eastAsia="Arial" w:hAnsi="Arial"/>
                <w:sz w:val="16"/>
                <w:szCs w:val="16"/>
                <w:b w:val="1"/>
                <w:bCs w:val="1"/>
                <w:i w:val="1"/>
                <w:iCs w:val="1"/>
                <w:color w:val="auto"/>
              </w:rPr>
              <w:t xml:space="preserve">status or service and career with the Employer will not be </w:t>
            </w:r>
            <w:r>
              <w:rPr>
                <w:rFonts w:ascii="Arial" w:cs="Arial" w:eastAsia="Arial" w:hAnsi="Arial"/>
                <w:sz w:val="28"/>
                <w:szCs w:val="28"/>
                <w:b w:val="1"/>
                <w:bCs w:val="1"/>
                <w:i w:val="1"/>
                <w:iCs w:val="1"/>
                <w:color w:val="auto"/>
                <w:vertAlign w:val="superscript"/>
              </w:rPr>
              <w:t>persetujuan</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8"/>
              </w:rPr>
              <w:t>dalam ini, dalam mana-mana kes, tanpa kos,</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0"/>
              </w:rPr>
              <w:t>adversely  affected;  the  only  consequence  of  refusing</w:t>
            </w:r>
          </w:p>
        </w:tc>
        <w:tc>
          <w:tcPr>
            <w:tcW w:w="5960" w:type="dxa"/>
            <w:vAlign w:val="bottom"/>
            <w:gridSpan w:val="15"/>
          </w:tcPr>
          <w:p>
            <w:pPr>
              <w:jc w:val="right"/>
              <w:spacing w:after="0" w:line="243" w:lineRule="exact"/>
              <w:rPr>
                <w:sz w:val="20"/>
                <w:szCs w:val="20"/>
                <w:color w:val="auto"/>
              </w:rPr>
            </w:pPr>
            <w:r>
              <w:rPr>
                <w:rFonts w:ascii="Arial" w:cs="Arial" w:eastAsia="Arial" w:hAnsi="Arial"/>
                <w:sz w:val="28"/>
                <w:szCs w:val="28"/>
                <w:b w:val="1"/>
                <w:bCs w:val="1"/>
                <w:i w:val="1"/>
                <w:iCs w:val="1"/>
                <w:color w:val="auto"/>
                <w:vertAlign w:val="subscript"/>
              </w:rPr>
              <w:t>or</w:t>
            </w:r>
            <w:r>
              <w:rPr>
                <w:rFonts w:ascii="Arial" w:cs="Arial" w:eastAsia="Arial" w:hAnsi="Arial"/>
                <w:sz w:val="16"/>
                <w:szCs w:val="16"/>
                <w:b w:val="1"/>
                <w:bCs w:val="1"/>
                <w:i w:val="1"/>
                <w:iCs w:val="1"/>
                <w:color w:val="auto"/>
              </w:rPr>
              <w:t xml:space="preserve"> dengan menghubungi secara bertulis wakil sumber manusia</w:t>
            </w:r>
          </w:p>
        </w:tc>
        <w:tc>
          <w:tcPr>
            <w:tcW w:w="0" w:type="dxa"/>
            <w:vAlign w:val="bottom"/>
          </w:tcPr>
          <w:p>
            <w:pPr>
              <w:spacing w:after="0"/>
              <w:rPr>
                <w:sz w:val="1"/>
                <w:szCs w:val="1"/>
                <w:color w:val="auto"/>
              </w:rPr>
            </w:pPr>
          </w:p>
        </w:tc>
      </w:tr>
      <w:tr>
        <w:trPr>
          <w:trHeight w:val="243"/>
        </w:trPr>
        <w:tc>
          <w:tcPr>
            <w:tcW w:w="7240" w:type="dxa"/>
            <w:vAlign w:val="bottom"/>
            <w:gridSpan w:val="11"/>
          </w:tcPr>
          <w:p>
            <w:pPr>
              <w:spacing w:after="0" w:line="243" w:lineRule="exact"/>
              <w:rPr>
                <w:sz w:val="20"/>
                <w:szCs w:val="20"/>
                <w:color w:val="auto"/>
              </w:rPr>
            </w:pPr>
            <w:r>
              <w:rPr>
                <w:rFonts w:ascii="Arial" w:cs="Arial" w:eastAsia="Arial" w:hAnsi="Arial"/>
                <w:sz w:val="16"/>
                <w:szCs w:val="16"/>
                <w:b w:val="1"/>
                <w:bCs w:val="1"/>
                <w:i w:val="1"/>
                <w:iCs w:val="1"/>
                <w:color w:val="auto"/>
              </w:rPr>
              <w:t xml:space="preserve">withdrawing Participant’s consent is that the Company would </w:t>
            </w:r>
            <w:r>
              <w:rPr>
                <w:rFonts w:ascii="Arial" w:cs="Arial" w:eastAsia="Arial" w:hAnsi="Arial"/>
                <w:sz w:val="28"/>
                <w:szCs w:val="28"/>
                <w:b w:val="1"/>
                <w:bCs w:val="1"/>
                <w:i w:val="1"/>
                <w:iCs w:val="1"/>
                <w:color w:val="auto"/>
                <w:vertAlign w:val="superscript"/>
              </w:rPr>
              <w:t>tempatannya  di</w:t>
            </w:r>
          </w:p>
        </w:tc>
        <w:tc>
          <w:tcPr>
            <w:tcW w:w="4120" w:type="dxa"/>
            <w:vAlign w:val="bottom"/>
            <w:gridSpan w:val="9"/>
          </w:tcPr>
          <w:p>
            <w:pPr>
              <w:jc w:val="right"/>
              <w:spacing w:after="0" w:line="243" w:lineRule="exact"/>
              <w:rPr>
                <w:sz w:val="20"/>
                <w:szCs w:val="20"/>
                <w:color w:val="auto"/>
              </w:rPr>
            </w:pPr>
            <w:r>
              <w:rPr>
                <w:rFonts w:ascii="Arial" w:cs="Arial" w:eastAsia="Arial" w:hAnsi="Arial"/>
                <w:sz w:val="22"/>
                <w:szCs w:val="22"/>
                <w:b w:val="1"/>
                <w:bCs w:val="1"/>
                <w:i w:val="1"/>
                <w:iCs w:val="1"/>
                <w:color w:val="auto"/>
                <w:w w:val="93"/>
              </w:rPr>
              <w:t>[masukkan  informasi  mengenai  entiti  di</w:t>
            </w:r>
          </w:p>
        </w:tc>
        <w:tc>
          <w:tcPr>
            <w:tcW w:w="0" w:type="dxa"/>
            <w:vAlign w:val="bottom"/>
          </w:tcPr>
          <w:p>
            <w:pPr>
              <w:spacing w:after="0"/>
              <w:rPr>
                <w:sz w:val="1"/>
                <w:szCs w:val="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b w:val="1"/>
                <w:bCs w:val="1"/>
                <w:i w:val="1"/>
                <w:iCs w:val="1"/>
                <w:color w:val="auto"/>
                <w:w w:val="86"/>
              </w:rPr>
              <w:t>not be able to grant Participant Restricted Stock Units or other</w:t>
            </w:r>
          </w:p>
        </w:tc>
        <w:tc>
          <w:tcPr>
            <w:tcW w:w="1080" w:type="dxa"/>
            <w:vAlign w:val="bottom"/>
            <w:gridSpan w:val="3"/>
          </w:tcPr>
          <w:p>
            <w:pPr>
              <w:ind w:left="20"/>
              <w:spacing w:after="0" w:line="243" w:lineRule="exact"/>
              <w:rPr>
                <w:sz w:val="20"/>
                <w:szCs w:val="20"/>
                <w:color w:val="auto"/>
              </w:rPr>
            </w:pPr>
            <w:r>
              <w:rPr>
                <w:rFonts w:ascii="Arial" w:cs="Arial" w:eastAsia="Arial" w:hAnsi="Arial"/>
                <w:sz w:val="22"/>
                <w:szCs w:val="22"/>
                <w:b w:val="1"/>
                <w:bCs w:val="1"/>
                <w:i w:val="1"/>
                <w:iCs w:val="1"/>
                <w:color w:val="auto"/>
                <w:w w:val="98"/>
              </w:rPr>
              <w:t>Malaysia].</w:t>
            </w:r>
          </w:p>
        </w:tc>
        <w:tc>
          <w:tcPr>
            <w:tcW w:w="4600" w:type="dxa"/>
            <w:vAlign w:val="bottom"/>
            <w:gridSpan w:val="11"/>
          </w:tcPr>
          <w:p>
            <w:pPr>
              <w:jc w:val="right"/>
              <w:spacing w:after="0" w:line="243" w:lineRule="exact"/>
              <w:rPr>
                <w:sz w:val="20"/>
                <w:szCs w:val="20"/>
                <w:color w:val="auto"/>
              </w:rPr>
            </w:pPr>
            <w:r>
              <w:rPr>
                <w:rFonts w:ascii="Arial" w:cs="Arial" w:eastAsia="Arial" w:hAnsi="Arial"/>
                <w:sz w:val="22"/>
                <w:szCs w:val="22"/>
                <w:b w:val="1"/>
                <w:bCs w:val="1"/>
                <w:i w:val="1"/>
                <w:iCs w:val="1"/>
                <w:color w:val="auto"/>
                <w:w w:val="93"/>
              </w:rPr>
              <w:t>Selanjutnya,  Peserta  memahami  bahawa  dia</w:t>
            </w:r>
          </w:p>
        </w:tc>
        <w:tc>
          <w:tcPr>
            <w:tcW w:w="0" w:type="dxa"/>
            <w:vAlign w:val="bottom"/>
          </w:tcPr>
          <w:p>
            <w:pPr>
              <w:spacing w:after="0"/>
              <w:rPr>
                <w:sz w:val="1"/>
                <w:szCs w:val="1"/>
                <w:color w:val="auto"/>
              </w:rPr>
            </w:pPr>
          </w:p>
        </w:tc>
      </w:tr>
      <w:tr>
        <w:trPr>
          <w:trHeight w:val="243"/>
        </w:trPr>
        <w:tc>
          <w:tcPr>
            <w:tcW w:w="11360" w:type="dxa"/>
            <w:vAlign w:val="bottom"/>
            <w:gridSpan w:val="20"/>
          </w:tcPr>
          <w:p>
            <w:pPr>
              <w:spacing w:after="0" w:line="243" w:lineRule="exact"/>
              <w:rPr>
                <w:sz w:val="20"/>
                <w:szCs w:val="20"/>
                <w:color w:val="auto"/>
              </w:rPr>
            </w:pPr>
            <w:r>
              <w:rPr>
                <w:rFonts w:ascii="Arial" w:cs="Arial" w:eastAsia="Arial" w:hAnsi="Arial"/>
                <w:sz w:val="28"/>
                <w:szCs w:val="28"/>
                <w:b w:val="1"/>
                <w:bCs w:val="1"/>
                <w:i w:val="1"/>
                <w:iCs w:val="1"/>
                <w:color w:val="auto"/>
                <w:vertAlign w:val="subscript"/>
              </w:rPr>
              <w:t>Awards or administer or maintain such Awards. Therefore,</w:t>
            </w:r>
            <w:r>
              <w:rPr>
                <w:rFonts w:ascii="Arial" w:cs="Arial" w:eastAsia="Arial" w:hAnsi="Arial"/>
                <w:sz w:val="16"/>
                <w:szCs w:val="16"/>
                <w:b w:val="1"/>
                <w:bCs w:val="1"/>
                <w:i w:val="1"/>
                <w:iCs w:val="1"/>
                <w:color w:val="auto"/>
              </w:rPr>
              <w:t xml:space="preserve"> memberikan persetujuan di sini secara sukarela. Jika Peserta</w:t>
            </w:r>
          </w:p>
        </w:tc>
        <w:tc>
          <w:tcPr>
            <w:tcW w:w="0" w:type="dxa"/>
            <w:vAlign w:val="bottom"/>
          </w:tcPr>
          <w:p>
            <w:pPr>
              <w:spacing w:after="0"/>
              <w:rPr>
                <w:sz w:val="1"/>
                <w:szCs w:val="1"/>
                <w:color w:val="auto"/>
              </w:rPr>
            </w:pPr>
          </w:p>
        </w:tc>
      </w:tr>
      <w:tr>
        <w:trPr>
          <w:trHeight w:val="243"/>
        </w:trPr>
        <w:tc>
          <w:tcPr>
            <w:tcW w:w="6160" w:type="dxa"/>
            <w:vAlign w:val="bottom"/>
            <w:gridSpan w:val="7"/>
          </w:tcPr>
          <w:p>
            <w:pPr>
              <w:spacing w:after="0" w:line="243" w:lineRule="exact"/>
              <w:rPr>
                <w:sz w:val="20"/>
                <w:szCs w:val="20"/>
                <w:color w:val="auto"/>
              </w:rPr>
            </w:pPr>
            <w:r>
              <w:rPr>
                <w:rFonts w:ascii="Arial" w:cs="Arial" w:eastAsia="Arial" w:hAnsi="Arial"/>
                <w:sz w:val="16"/>
                <w:szCs w:val="16"/>
                <w:b w:val="1"/>
                <w:bCs w:val="1"/>
                <w:i w:val="1"/>
                <w:iCs w:val="1"/>
                <w:color w:val="auto"/>
              </w:rPr>
              <w:t xml:space="preserve">Participant understands that refusing or withdrawing his or </w:t>
            </w:r>
            <w:r>
              <w:rPr>
                <w:rFonts w:ascii="Arial" w:cs="Arial" w:eastAsia="Arial" w:hAnsi="Arial"/>
                <w:sz w:val="28"/>
                <w:szCs w:val="28"/>
                <w:b w:val="1"/>
                <w:bCs w:val="1"/>
                <w:i w:val="1"/>
                <w:iCs w:val="1"/>
                <w:color w:val="auto"/>
                <w:vertAlign w:val="superscript"/>
              </w:rPr>
              <w:t>tidak</w:t>
            </w:r>
          </w:p>
        </w:tc>
        <w:tc>
          <w:tcPr>
            <w:tcW w:w="1080" w:type="dxa"/>
            <w:vAlign w:val="bottom"/>
            <w:gridSpan w:val="4"/>
          </w:tcPr>
          <w:p>
            <w:pPr>
              <w:ind w:left="120"/>
              <w:spacing w:after="0" w:line="243" w:lineRule="exact"/>
              <w:rPr>
                <w:sz w:val="20"/>
                <w:szCs w:val="20"/>
                <w:color w:val="auto"/>
              </w:rPr>
            </w:pPr>
            <w:r>
              <w:rPr>
                <w:rFonts w:ascii="Arial" w:cs="Arial" w:eastAsia="Arial" w:hAnsi="Arial"/>
                <w:sz w:val="22"/>
                <w:szCs w:val="22"/>
                <w:b w:val="1"/>
                <w:bCs w:val="1"/>
                <w:i w:val="1"/>
                <w:iCs w:val="1"/>
                <w:color w:val="auto"/>
                <w:w w:val="89"/>
              </w:rPr>
              <w:t>bersetuju,</w:t>
            </w:r>
          </w:p>
        </w:tc>
        <w:tc>
          <w:tcPr>
            <w:tcW w:w="4120" w:type="dxa"/>
            <w:vAlign w:val="bottom"/>
            <w:gridSpan w:val="9"/>
          </w:tcPr>
          <w:p>
            <w:pPr>
              <w:jc w:val="right"/>
              <w:spacing w:after="0" w:line="243" w:lineRule="exact"/>
              <w:rPr>
                <w:sz w:val="20"/>
                <w:szCs w:val="20"/>
                <w:color w:val="auto"/>
              </w:rPr>
            </w:pPr>
            <w:r>
              <w:rPr>
                <w:rFonts w:ascii="Arial" w:cs="Arial" w:eastAsia="Arial" w:hAnsi="Arial"/>
                <w:sz w:val="22"/>
                <w:szCs w:val="22"/>
                <w:b w:val="1"/>
                <w:bCs w:val="1"/>
                <w:i w:val="1"/>
                <w:iCs w:val="1"/>
                <w:color w:val="auto"/>
                <w:w w:val="95"/>
              </w:rPr>
              <w:t>atau jika Peserta kemudian membatalkan</w:t>
            </w:r>
          </w:p>
        </w:tc>
        <w:tc>
          <w:tcPr>
            <w:tcW w:w="0" w:type="dxa"/>
            <w:vAlign w:val="bottom"/>
          </w:tcPr>
          <w:p>
            <w:pPr>
              <w:spacing w:after="0"/>
              <w:rPr>
                <w:sz w:val="1"/>
                <w:szCs w:val="1"/>
                <w:color w:val="auto"/>
              </w:rPr>
            </w:pPr>
          </w:p>
        </w:tc>
      </w:tr>
      <w:tr>
        <w:trPr>
          <w:trHeight w:val="243"/>
        </w:trPr>
        <w:tc>
          <w:tcPr>
            <w:tcW w:w="7240" w:type="dxa"/>
            <w:vAlign w:val="bottom"/>
            <w:gridSpan w:val="11"/>
          </w:tcPr>
          <w:p>
            <w:pPr>
              <w:spacing w:after="0" w:line="243" w:lineRule="exact"/>
              <w:rPr>
                <w:sz w:val="20"/>
                <w:szCs w:val="20"/>
                <w:color w:val="auto"/>
              </w:rPr>
            </w:pPr>
            <w:r>
              <w:rPr>
                <w:rFonts w:ascii="Arial" w:cs="Arial" w:eastAsia="Arial" w:hAnsi="Arial"/>
                <w:sz w:val="16"/>
                <w:szCs w:val="16"/>
                <w:b w:val="1"/>
                <w:bCs w:val="1"/>
                <w:i w:val="1"/>
                <w:iCs w:val="1"/>
                <w:color w:val="auto"/>
              </w:rPr>
              <w:t xml:space="preserve">her consent may affect Participant’s ability to participate in the </w:t>
            </w:r>
            <w:r>
              <w:rPr>
                <w:rFonts w:ascii="Arial" w:cs="Arial" w:eastAsia="Arial" w:hAnsi="Arial"/>
                <w:sz w:val="28"/>
                <w:szCs w:val="28"/>
                <w:b w:val="1"/>
                <w:bCs w:val="1"/>
                <w:i w:val="1"/>
                <w:iCs w:val="1"/>
                <w:color w:val="auto"/>
                <w:vertAlign w:val="superscript"/>
              </w:rPr>
              <w:t>persetujuannya,</w:t>
            </w:r>
          </w:p>
        </w:tc>
        <w:tc>
          <w:tcPr>
            <w:tcW w:w="4120" w:type="dxa"/>
            <w:vAlign w:val="bottom"/>
            <w:gridSpan w:val="9"/>
          </w:tcPr>
          <w:p>
            <w:pPr>
              <w:jc w:val="right"/>
              <w:spacing w:after="0" w:line="243" w:lineRule="exact"/>
              <w:rPr>
                <w:sz w:val="20"/>
                <w:szCs w:val="20"/>
                <w:color w:val="auto"/>
              </w:rPr>
            </w:pPr>
            <w:r>
              <w:rPr>
                <w:rFonts w:ascii="Arial" w:cs="Arial" w:eastAsia="Arial" w:hAnsi="Arial"/>
                <w:sz w:val="22"/>
                <w:szCs w:val="22"/>
                <w:b w:val="1"/>
                <w:bCs w:val="1"/>
                <w:i w:val="1"/>
                <w:iCs w:val="1"/>
                <w:color w:val="auto"/>
                <w:w w:val="92"/>
              </w:rPr>
              <w:t>status  pekerjaan  atau  perkhidmatan  dan</w:t>
            </w:r>
          </w:p>
        </w:tc>
        <w:tc>
          <w:tcPr>
            <w:tcW w:w="0" w:type="dxa"/>
            <w:vAlign w:val="bottom"/>
          </w:tcPr>
          <w:p>
            <w:pPr>
              <w:spacing w:after="0"/>
              <w:rPr>
                <w:sz w:val="1"/>
                <w:szCs w:val="1"/>
                <w:color w:val="auto"/>
              </w:rPr>
            </w:pPr>
          </w:p>
        </w:tc>
      </w:tr>
      <w:tr>
        <w:trPr>
          <w:trHeight w:val="243"/>
        </w:trPr>
        <w:tc>
          <w:tcPr>
            <w:tcW w:w="5400" w:type="dxa"/>
            <w:vAlign w:val="bottom"/>
            <w:gridSpan w:val="5"/>
          </w:tcPr>
          <w:p>
            <w:pPr>
              <w:spacing w:after="0" w:line="243" w:lineRule="exact"/>
              <w:rPr>
                <w:sz w:val="20"/>
                <w:szCs w:val="20"/>
                <w:color w:val="auto"/>
              </w:rPr>
            </w:pPr>
            <w:r>
              <w:rPr>
                <w:rFonts w:ascii="Arial" w:cs="Arial" w:eastAsia="Arial" w:hAnsi="Arial"/>
                <w:sz w:val="22"/>
                <w:szCs w:val="22"/>
                <w:b w:val="1"/>
                <w:bCs w:val="1"/>
                <w:i w:val="1"/>
                <w:iCs w:val="1"/>
                <w:color w:val="auto"/>
                <w:w w:val="97"/>
              </w:rPr>
              <w:t>Plan.  For  more  information  on  the  consequences</w:t>
            </w:r>
          </w:p>
        </w:tc>
        <w:tc>
          <w:tcPr>
            <w:tcW w:w="5960" w:type="dxa"/>
            <w:vAlign w:val="bottom"/>
            <w:gridSpan w:val="15"/>
          </w:tcPr>
          <w:p>
            <w:pPr>
              <w:jc w:val="right"/>
              <w:spacing w:after="0" w:line="243" w:lineRule="exact"/>
              <w:rPr>
                <w:sz w:val="20"/>
                <w:szCs w:val="20"/>
                <w:color w:val="auto"/>
              </w:rPr>
            </w:pPr>
            <w:r>
              <w:rPr>
                <w:rFonts w:ascii="Arial" w:cs="Arial" w:eastAsia="Arial" w:hAnsi="Arial"/>
                <w:sz w:val="28"/>
                <w:szCs w:val="28"/>
                <w:b w:val="1"/>
                <w:bCs w:val="1"/>
                <w:i w:val="1"/>
                <w:iCs w:val="1"/>
                <w:color w:val="auto"/>
                <w:vertAlign w:val="subscript"/>
              </w:rPr>
              <w:t>of</w:t>
            </w:r>
            <w:r>
              <w:rPr>
                <w:rFonts w:ascii="Arial" w:cs="Arial" w:eastAsia="Arial" w:hAnsi="Arial"/>
                <w:sz w:val="16"/>
                <w:szCs w:val="16"/>
                <w:b w:val="1"/>
                <w:bCs w:val="1"/>
                <w:i w:val="1"/>
                <w:iCs w:val="1"/>
                <w:color w:val="auto"/>
              </w:rPr>
              <w:t xml:space="preserve"> kerjayanya dengan Majikan tidak akan terjejas; satunya akibat</w:t>
            </w:r>
          </w:p>
        </w:tc>
        <w:tc>
          <w:tcPr>
            <w:tcW w:w="0" w:type="dxa"/>
            <w:vAlign w:val="bottom"/>
          </w:tcPr>
          <w:p>
            <w:pPr>
              <w:spacing w:after="0"/>
              <w:rPr>
                <w:sz w:val="1"/>
                <w:szCs w:val="1"/>
                <w:color w:val="auto"/>
              </w:rPr>
            </w:pPr>
          </w:p>
        </w:tc>
      </w:tr>
      <w:tr>
        <w:trPr>
          <w:trHeight w:val="243"/>
        </w:trPr>
        <w:tc>
          <w:tcPr>
            <w:tcW w:w="2260" w:type="dxa"/>
            <w:vAlign w:val="bottom"/>
            <w:gridSpan w:val="2"/>
          </w:tcPr>
          <w:p>
            <w:pPr>
              <w:spacing w:after="0" w:line="243" w:lineRule="exact"/>
              <w:rPr>
                <w:sz w:val="20"/>
                <w:szCs w:val="20"/>
                <w:color w:val="auto"/>
              </w:rPr>
            </w:pPr>
            <w:r>
              <w:rPr>
                <w:rFonts w:ascii="Arial" w:cs="Arial" w:eastAsia="Arial" w:hAnsi="Arial"/>
                <w:sz w:val="22"/>
                <w:szCs w:val="22"/>
                <w:b w:val="1"/>
                <w:bCs w:val="1"/>
                <w:i w:val="1"/>
                <w:iCs w:val="1"/>
                <w:color w:val="auto"/>
                <w:w w:val="94"/>
              </w:rPr>
              <w:t>Participant’s refusal to</w:t>
            </w:r>
          </w:p>
        </w:tc>
        <w:tc>
          <w:tcPr>
            <w:tcW w:w="2320" w:type="dxa"/>
            <w:vAlign w:val="bottom"/>
            <w:gridSpan w:val="2"/>
          </w:tcPr>
          <w:p>
            <w:pPr>
              <w:ind w:left="60"/>
              <w:spacing w:after="0" w:line="243" w:lineRule="exact"/>
              <w:rPr>
                <w:sz w:val="20"/>
                <w:szCs w:val="20"/>
                <w:color w:val="auto"/>
              </w:rPr>
            </w:pPr>
            <w:r>
              <w:rPr>
                <w:rFonts w:ascii="Arial" w:cs="Arial" w:eastAsia="Arial" w:hAnsi="Arial"/>
                <w:sz w:val="22"/>
                <w:szCs w:val="22"/>
                <w:b w:val="1"/>
                <w:bCs w:val="1"/>
                <w:i w:val="1"/>
                <w:iCs w:val="1"/>
                <w:color w:val="auto"/>
                <w:w w:val="96"/>
              </w:rPr>
              <w:t>consent or withdrawal</w:t>
            </w:r>
          </w:p>
        </w:tc>
        <w:tc>
          <w:tcPr>
            <w:tcW w:w="1580" w:type="dxa"/>
            <w:vAlign w:val="bottom"/>
            <w:gridSpan w:val="3"/>
          </w:tcPr>
          <w:p>
            <w:pPr>
              <w:ind w:left="20"/>
              <w:spacing w:after="0" w:line="243" w:lineRule="exact"/>
              <w:rPr>
                <w:sz w:val="20"/>
                <w:szCs w:val="20"/>
                <w:color w:val="auto"/>
              </w:rPr>
            </w:pPr>
            <w:r>
              <w:rPr>
                <w:rFonts w:ascii="Arial" w:cs="Arial" w:eastAsia="Arial" w:hAnsi="Arial"/>
                <w:sz w:val="16"/>
                <w:szCs w:val="16"/>
                <w:b w:val="1"/>
                <w:bCs w:val="1"/>
                <w:i w:val="1"/>
                <w:iCs w:val="1"/>
                <w:color w:val="auto"/>
              </w:rPr>
              <w:t xml:space="preserve">of consent, </w:t>
            </w:r>
            <w:r>
              <w:rPr>
                <w:rFonts w:ascii="Arial" w:cs="Arial" w:eastAsia="Arial" w:hAnsi="Arial"/>
                <w:sz w:val="28"/>
                <w:szCs w:val="28"/>
                <w:b w:val="1"/>
                <w:bCs w:val="1"/>
                <w:i w:val="1"/>
                <w:iCs w:val="1"/>
                <w:color w:val="auto"/>
                <w:vertAlign w:val="superscript"/>
              </w:rPr>
              <w:t>jika</w:t>
            </w:r>
          </w:p>
        </w:tc>
        <w:tc>
          <w:tcPr>
            <w:tcW w:w="920" w:type="dxa"/>
            <w:vAlign w:val="bottom"/>
            <w:gridSpan w:val="3"/>
          </w:tcPr>
          <w:p>
            <w:pPr>
              <w:spacing w:after="0" w:line="243" w:lineRule="exact"/>
              <w:rPr>
                <w:sz w:val="20"/>
                <w:szCs w:val="20"/>
                <w:color w:val="auto"/>
              </w:rPr>
            </w:pPr>
            <w:r>
              <w:rPr>
                <w:rFonts w:ascii="Arial" w:cs="Arial" w:eastAsia="Arial" w:hAnsi="Arial"/>
                <w:sz w:val="22"/>
                <w:szCs w:val="22"/>
                <w:b w:val="1"/>
                <w:bCs w:val="1"/>
                <w:i w:val="1"/>
                <w:iCs w:val="1"/>
                <w:color w:val="auto"/>
              </w:rPr>
              <w:t>dia tidak</w:t>
            </w:r>
          </w:p>
        </w:tc>
        <w:tc>
          <w:tcPr>
            <w:tcW w:w="2280" w:type="dxa"/>
            <w:vAlign w:val="bottom"/>
            <w:gridSpan w:val="6"/>
          </w:tcPr>
          <w:p>
            <w:pPr>
              <w:jc w:val="right"/>
              <w:spacing w:after="0" w:line="243" w:lineRule="exact"/>
              <w:rPr>
                <w:sz w:val="20"/>
                <w:szCs w:val="20"/>
                <w:color w:val="auto"/>
              </w:rPr>
            </w:pPr>
            <w:r>
              <w:rPr>
                <w:rFonts w:ascii="Arial" w:cs="Arial" w:eastAsia="Arial" w:hAnsi="Arial"/>
                <w:sz w:val="22"/>
                <w:szCs w:val="22"/>
                <w:b w:val="1"/>
                <w:bCs w:val="1"/>
                <w:i w:val="1"/>
                <w:iCs w:val="1"/>
                <w:color w:val="auto"/>
                <w:w w:val="91"/>
              </w:rPr>
              <w:t>bersetuju atau menarik</w:t>
            </w:r>
          </w:p>
        </w:tc>
        <w:tc>
          <w:tcPr>
            <w:tcW w:w="2000" w:type="dxa"/>
            <w:vAlign w:val="bottom"/>
            <w:gridSpan w:val="4"/>
          </w:tcPr>
          <w:p>
            <w:pPr>
              <w:jc w:val="right"/>
              <w:spacing w:after="0" w:line="243" w:lineRule="exact"/>
              <w:rPr>
                <w:sz w:val="20"/>
                <w:szCs w:val="20"/>
                <w:color w:val="auto"/>
              </w:rPr>
            </w:pPr>
            <w:r>
              <w:rPr>
                <w:rFonts w:ascii="Arial" w:cs="Arial" w:eastAsia="Arial" w:hAnsi="Arial"/>
                <w:sz w:val="22"/>
                <w:szCs w:val="22"/>
                <w:b w:val="1"/>
                <w:bCs w:val="1"/>
                <w:i w:val="1"/>
                <w:iCs w:val="1"/>
                <w:color w:val="auto"/>
                <w:w w:val="89"/>
              </w:rPr>
              <w:t>balik persetujuannya</w:t>
            </w:r>
          </w:p>
        </w:tc>
        <w:tc>
          <w:tcPr>
            <w:tcW w:w="0" w:type="dxa"/>
            <w:vAlign w:val="bottom"/>
          </w:tcPr>
          <w:p>
            <w:pPr>
              <w:spacing w:after="0"/>
              <w:rPr>
                <w:sz w:val="1"/>
                <w:szCs w:val="1"/>
                <w:color w:val="auto"/>
              </w:rPr>
            </w:pPr>
          </w:p>
        </w:tc>
      </w:tr>
      <w:tr>
        <w:trPr>
          <w:trHeight w:val="275"/>
        </w:trPr>
        <w:tc>
          <w:tcPr>
            <w:tcW w:w="4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80" w:type="dxa"/>
            <w:vAlign w:val="bottom"/>
            <w:gridSpan w:val="14"/>
          </w:tcPr>
          <w:p>
            <w:pPr>
              <w:jc w:val="right"/>
              <w:spacing w:after="0"/>
              <w:rPr>
                <w:sz w:val="20"/>
                <w:szCs w:val="20"/>
                <w:color w:val="auto"/>
              </w:rPr>
            </w:pPr>
            <w:r>
              <w:rPr>
                <w:rFonts w:ascii="Arial" w:cs="Arial" w:eastAsia="Arial" w:hAnsi="Arial"/>
                <w:sz w:val="22"/>
                <w:szCs w:val="22"/>
                <w:b w:val="1"/>
                <w:bCs w:val="1"/>
                <w:i w:val="1"/>
                <w:iCs w:val="1"/>
                <w:color w:val="auto"/>
                <w:w w:val="89"/>
              </w:rPr>
              <w:t>adalah bahawa Syarikat tidak akan dapat menganugerahkan</w:t>
            </w:r>
          </w:p>
        </w:tc>
        <w:tc>
          <w:tcPr>
            <w:tcW w:w="0" w:type="dxa"/>
            <w:vAlign w:val="bottom"/>
          </w:tcPr>
          <w:p>
            <w:pPr>
              <w:spacing w:after="0"/>
              <w:rPr>
                <w:sz w:val="1"/>
                <w:szCs w:val="1"/>
                <w:color w:val="auto"/>
              </w:rPr>
            </w:pPr>
          </w:p>
        </w:tc>
      </w:tr>
    </w:tbl>
    <w:p>
      <w:pPr>
        <w:sectPr>
          <w:pgSz w:w="11900" w:h="16838" w:orient="portrait"/>
          <w:cols w:equalWidth="0" w:num="1">
            <w:col w:w="11360"/>
          </w:cols>
          <w:pgMar w:left="280" w:top="702" w:right="259" w:bottom="0" w:gutter="0" w:footer="0" w:header="0"/>
        </w:sectPr>
      </w:pPr>
    </w:p>
    <w:bookmarkStart w:id="148" w:name="page149"/>
    <w:bookmarkEnd w:id="148"/>
    <w:p>
      <w:pPr>
        <w:spacing w:after="0"/>
        <w:rPr>
          <w:sz w:val="20"/>
          <w:szCs w:val="20"/>
          <w:color w:val="auto"/>
        </w:rPr>
      </w:pPr>
      <w:r>
        <w:rPr>
          <w:rFonts w:ascii="Arial" w:cs="Arial" w:eastAsia="Arial" w:hAnsi="Arial"/>
          <w:sz w:val="19"/>
          <w:szCs w:val="19"/>
          <w:b w:val="1"/>
          <w:bCs w:val="1"/>
          <w:i w:val="1"/>
          <w:iCs w:val="1"/>
          <w:color w:val="auto"/>
        </w:rPr>
        <w:t>Participant understands that he or she may contact his or her kepada Peserta Unit Saham Terbatas atau Anugerah lain atau</w:t>
      </w:r>
    </w:p>
    <w:p>
      <w:pPr>
        <w:spacing w:after="0" w:line="33" w:lineRule="exact"/>
        <w:rPr>
          <w:sz w:val="20"/>
          <w:szCs w:val="20"/>
          <w:color w:val="auto"/>
        </w:rPr>
      </w:pPr>
    </w:p>
    <w:p>
      <w:pPr>
        <w:spacing w:after="0"/>
        <w:tabs>
          <w:tab w:leader="none" w:pos="5680" w:val="left"/>
        </w:tabs>
        <w:rPr>
          <w:sz w:val="20"/>
          <w:szCs w:val="20"/>
          <w:color w:val="auto"/>
        </w:rPr>
      </w:pPr>
      <w:r>
        <w:rPr>
          <w:rFonts w:ascii="Arial" w:cs="Arial" w:eastAsia="Arial" w:hAnsi="Arial"/>
          <w:sz w:val="22"/>
          <w:szCs w:val="22"/>
          <w:b w:val="1"/>
          <w:bCs w:val="1"/>
          <w:i w:val="1"/>
          <w:iCs w:val="1"/>
          <w:color w:val="auto"/>
        </w:rPr>
        <w:t>local human resources representative.</w:t>
      </w:r>
      <w:r>
        <w:rPr>
          <w:sz w:val="20"/>
          <w:szCs w:val="20"/>
          <w:color w:val="auto"/>
        </w:rPr>
        <w:tab/>
      </w:r>
      <w:r>
        <w:rPr>
          <w:rFonts w:ascii="Arial" w:cs="Arial" w:eastAsia="Arial" w:hAnsi="Arial"/>
          <w:sz w:val="19"/>
          <w:szCs w:val="19"/>
          <w:b w:val="1"/>
          <w:bCs w:val="1"/>
          <w:i w:val="1"/>
          <w:iCs w:val="1"/>
          <w:color w:val="auto"/>
        </w:rPr>
        <w:t>mentadbir atau mengekalkan Anugerah tersebut. Oleh itu,</w:t>
      </w:r>
    </w:p>
    <w:p>
      <w:pPr>
        <w:ind w:left="5700"/>
        <w:spacing w:after="0"/>
        <w:rPr>
          <w:sz w:val="20"/>
          <w:szCs w:val="20"/>
          <w:color w:val="auto"/>
        </w:rPr>
      </w:pPr>
      <w:r>
        <w:rPr>
          <w:rFonts w:ascii="Arial" w:cs="Arial" w:eastAsia="Arial" w:hAnsi="Arial"/>
          <w:sz w:val="19"/>
          <w:szCs w:val="19"/>
          <w:b w:val="1"/>
          <w:bCs w:val="1"/>
          <w:i w:val="1"/>
          <w:iCs w:val="1"/>
          <w:color w:val="auto"/>
        </w:rPr>
        <w:t>Peserta fahami bahawa keengganan atau penarikan balik</w:t>
      </w:r>
    </w:p>
    <w:p>
      <w:pPr>
        <w:spacing w:after="0" w:line="15" w:lineRule="exact"/>
        <w:rPr>
          <w:sz w:val="20"/>
          <w:szCs w:val="20"/>
          <w:color w:val="auto"/>
        </w:rPr>
      </w:pPr>
    </w:p>
    <w:p>
      <w:pPr>
        <w:ind w:left="5700"/>
        <w:spacing w:after="0"/>
        <w:tabs>
          <w:tab w:leader="none" w:pos="7280" w:val="left"/>
          <w:tab w:leader="none" w:pos="7960" w:val="left"/>
          <w:tab w:leader="none" w:pos="9300" w:val="left"/>
          <w:tab w:leader="none" w:pos="10800" w:val="left"/>
        </w:tabs>
        <w:rPr>
          <w:sz w:val="20"/>
          <w:szCs w:val="20"/>
          <w:color w:val="auto"/>
        </w:rPr>
      </w:pPr>
      <w:r>
        <w:rPr>
          <w:rFonts w:ascii="Arial" w:cs="Arial" w:eastAsia="Arial" w:hAnsi="Arial"/>
          <w:sz w:val="22"/>
          <w:szCs w:val="22"/>
          <w:b w:val="1"/>
          <w:bCs w:val="1"/>
          <w:i w:val="1"/>
          <w:iCs w:val="1"/>
          <w:color w:val="auto"/>
        </w:rPr>
        <w:t>persetujuannya</w:t>
        <w:tab/>
        <w:t>boleh</w:t>
        <w:tab/>
        <w:t>menjejaskan</w:t>
        <w:tab/>
        <w:t>keupayaannya</w:t>
      </w:r>
      <w:r>
        <w:rPr>
          <w:sz w:val="20"/>
          <w:szCs w:val="20"/>
          <w:color w:val="auto"/>
        </w:rPr>
        <w:tab/>
      </w:r>
      <w:r>
        <w:rPr>
          <w:rFonts w:ascii="Arial" w:cs="Arial" w:eastAsia="Arial" w:hAnsi="Arial"/>
          <w:sz w:val="19"/>
          <w:szCs w:val="19"/>
          <w:b w:val="1"/>
          <w:bCs w:val="1"/>
          <w:i w:val="1"/>
          <w:iCs w:val="1"/>
          <w:color w:val="auto"/>
        </w:rPr>
        <w:t>untuk</w:t>
      </w:r>
    </w:p>
    <w:p>
      <w:pPr>
        <w:ind w:left="5700"/>
        <w:spacing w:after="0"/>
        <w:rPr>
          <w:sz w:val="20"/>
          <w:szCs w:val="20"/>
          <w:color w:val="auto"/>
        </w:rPr>
      </w:pPr>
      <w:r>
        <w:rPr>
          <w:rFonts w:ascii="Arial" w:cs="Arial" w:eastAsia="Arial" w:hAnsi="Arial"/>
          <w:sz w:val="19"/>
          <w:szCs w:val="19"/>
          <w:b w:val="1"/>
          <w:bCs w:val="1"/>
          <w:i w:val="1"/>
          <w:iCs w:val="1"/>
          <w:color w:val="auto"/>
        </w:rPr>
        <w:t>mengambil bahagian dalam Pelan. Untuk maklumat lanjut</w:t>
      </w:r>
    </w:p>
    <w:p>
      <w:pPr>
        <w:spacing w:after="0" w:line="25" w:lineRule="exact"/>
        <w:rPr>
          <w:sz w:val="20"/>
          <w:szCs w:val="20"/>
          <w:color w:val="auto"/>
        </w:rPr>
      </w:pPr>
    </w:p>
    <w:p>
      <w:pPr>
        <w:ind w:left="5700"/>
        <w:spacing w:after="0"/>
        <w:rPr>
          <w:sz w:val="20"/>
          <w:szCs w:val="20"/>
          <w:color w:val="auto"/>
        </w:rPr>
      </w:pPr>
      <w:r>
        <w:rPr>
          <w:rFonts w:ascii="Arial" w:cs="Arial" w:eastAsia="Arial" w:hAnsi="Arial"/>
          <w:sz w:val="19"/>
          <w:szCs w:val="19"/>
          <w:b w:val="1"/>
          <w:bCs w:val="1"/>
          <w:i w:val="1"/>
          <w:iCs w:val="1"/>
          <w:color w:val="auto"/>
        </w:rPr>
        <w:t>mengenai akibat keengganannya untuk memberikan keizinan</w:t>
      </w:r>
    </w:p>
    <w:p>
      <w:pPr>
        <w:spacing w:after="0" w:line="25" w:lineRule="exact"/>
        <w:rPr>
          <w:sz w:val="20"/>
          <w:szCs w:val="20"/>
          <w:color w:val="auto"/>
        </w:rPr>
      </w:pPr>
    </w:p>
    <w:p>
      <w:pPr>
        <w:ind w:left="5700"/>
        <w:spacing w:after="0"/>
        <w:rPr>
          <w:sz w:val="20"/>
          <w:szCs w:val="20"/>
          <w:color w:val="auto"/>
        </w:rPr>
      </w:pPr>
      <w:r>
        <w:rPr>
          <w:rFonts w:ascii="Arial" w:cs="Arial" w:eastAsia="Arial" w:hAnsi="Arial"/>
          <w:sz w:val="19"/>
          <w:szCs w:val="19"/>
          <w:b w:val="1"/>
          <w:bCs w:val="1"/>
          <w:i w:val="1"/>
          <w:iCs w:val="1"/>
          <w:color w:val="auto"/>
        </w:rPr>
        <w:t>atau penarikan balik keizinan, Peserta fahami bahawa dia</w:t>
      </w:r>
    </w:p>
    <w:p>
      <w:pPr>
        <w:spacing w:after="0" w:line="25" w:lineRule="exact"/>
        <w:rPr>
          <w:sz w:val="20"/>
          <w:szCs w:val="20"/>
          <w:color w:val="auto"/>
        </w:rPr>
      </w:pPr>
    </w:p>
    <w:p>
      <w:pPr>
        <w:ind w:left="5700"/>
        <w:spacing w:after="0"/>
        <w:rPr>
          <w:sz w:val="20"/>
          <w:szCs w:val="20"/>
          <w:color w:val="auto"/>
        </w:rPr>
      </w:pPr>
      <w:r>
        <w:rPr>
          <w:rFonts w:ascii="Arial" w:cs="Arial" w:eastAsia="Arial" w:hAnsi="Arial"/>
          <w:sz w:val="19"/>
          <w:szCs w:val="19"/>
          <w:b w:val="1"/>
          <w:bCs w:val="1"/>
          <w:i w:val="1"/>
          <w:iCs w:val="1"/>
          <w:color w:val="auto"/>
        </w:rPr>
        <w:t>boleh menghubungi wakil sumber manusia tempatannya.</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80" w:top="118" w:right="259" w:bottom="1440" w:gutter="0" w:footer="0" w:header="0"/>
        </w:sectPr>
      </w:pPr>
    </w:p>
    <w:bookmarkStart w:id="149" w:name="page150"/>
    <w:bookmarkEnd w:id="149"/>
    <w:p>
      <w:pPr>
        <w:jc w:val="both"/>
        <w:spacing w:after="0" w:line="249" w:lineRule="auto"/>
        <w:rPr>
          <w:sz w:val="20"/>
          <w:szCs w:val="20"/>
          <w:color w:val="auto"/>
        </w:rPr>
      </w:pPr>
      <w:r>
        <w:rPr>
          <w:rFonts w:ascii="Arial" w:cs="Arial" w:eastAsia="Arial" w:hAnsi="Arial"/>
          <w:sz w:val="22"/>
          <w:szCs w:val="22"/>
          <w:b w:val="1"/>
          <w:bCs w:val="1"/>
          <w:color w:val="auto"/>
        </w:rPr>
        <w:t>Director Notification Obligation</w:t>
      </w:r>
      <w:r>
        <w:rPr>
          <w:rFonts w:ascii="Arial" w:cs="Arial" w:eastAsia="Arial" w:hAnsi="Arial"/>
          <w:sz w:val="22"/>
          <w:szCs w:val="22"/>
          <w:color w:val="auto"/>
        </w:rPr>
        <w:t>. If Participant is a director of a Malaysian Parent or Subsidiary, Participant is subject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requirements under the Malaysian Companies Act. Among these requirements is an obligation to notify the Company’s Malaysian Parent or Subsidiary in writing when Participant receive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Restricted Stock Units or Shares) in the Company or any related company. This notification must be made within 14 days of receiving or disposing of any interest in the Company or any related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 Entitlement or Claims for Compensation. </w:t>
      </w:r>
      <w:r>
        <w:rPr>
          <w:rFonts w:ascii="Arial" w:cs="Arial" w:eastAsia="Arial" w:hAnsi="Arial"/>
          <w:sz w:val="22"/>
          <w:szCs w:val="22"/>
          <w:color w:val="auto"/>
        </w:rPr>
        <w:t>These provisions supplement Section 11 of the Award Agreement:</w:t>
      </w:r>
    </w:p>
    <w:p>
      <w:pPr>
        <w:spacing w:after="0" w:line="220"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Modification. </w:t>
      </w:r>
      <w:r>
        <w:rPr>
          <w:rFonts w:ascii="Arial" w:cs="Arial" w:eastAsia="Arial" w:hAnsi="Arial"/>
          <w:sz w:val="19"/>
          <w:szCs w:val="19"/>
          <w:color w:val="auto"/>
        </w:rPr>
        <w:t>By accepting the Restricted Stock Units, Participant understands and agrees that any modification of the Plan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or its termination shall not constitute a change or impairment of the terms and conditions of employment.</w:t>
      </w:r>
    </w:p>
    <w:p>
      <w:pPr>
        <w:spacing w:after="0" w:line="92"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 xml:space="preserve">Policy Statement. </w:t>
      </w:r>
      <w:r>
        <w:rPr>
          <w:rFonts w:ascii="Arial" w:cs="Arial" w:eastAsia="Arial" w:hAnsi="Arial"/>
          <w:sz w:val="19"/>
          <w:szCs w:val="19"/>
          <w:color w:val="auto"/>
        </w:rPr>
        <w:t>The Award of Restricted Stock Units the Company is making under the Plan is unilateral and discretionary and,</w:t>
      </w:r>
      <w:r>
        <w:rPr>
          <w:rFonts w:ascii="Arial" w:cs="Arial" w:eastAsia="Arial" w:hAnsi="Arial"/>
          <w:sz w:val="19"/>
          <w:szCs w:val="19"/>
          <w:b w:val="1"/>
          <w:bCs w:val="1"/>
          <w:color w:val="auto"/>
        </w:rPr>
        <w:t xml:space="preserve"> </w:t>
      </w:r>
      <w:r>
        <w:rPr>
          <w:rFonts w:ascii="Arial" w:cs="Arial" w:eastAsia="Arial" w:hAnsi="Arial"/>
          <w:sz w:val="19"/>
          <w:szCs w:val="19"/>
          <w:color w:val="auto"/>
        </w:rPr>
        <w:t>therefore, the Company reserves the absolute right to amend it and discontinue it at any time without any liability.</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with registered offices at 899 Kifer Road, Sunnyvale, CA 94086, U.S.A., is solely responsible for the administration of the Plan and participation in the Plan and the acquisition of Shares does not, in any way, establish an employment relationship between Participant and the Company since Participant is participating in the Plan on a wholly commercial basis and the sole employer is Fortinet, Inc., located at Prol. Paseo de la Reforma 115 Int. 702, Col. Lomas de Santa Fe, Del. Alvaro Obregon, Mexico, D.F. C.P. 01219, nor does it establish any rights between Participant and the Employer.</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Plan Document Acknowledgment. </w:t>
      </w:r>
      <w:r>
        <w:rPr>
          <w:rFonts w:ascii="Arial" w:cs="Arial" w:eastAsia="Arial" w:hAnsi="Arial"/>
          <w:sz w:val="22"/>
          <w:szCs w:val="22"/>
          <w:color w:val="auto"/>
        </w:rPr>
        <w:t>By accepting the Award of Restricted Stock Units, Participant acknowledges that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has received copies of the Plan, has reviewed the Plan and the Award Agreement in their entirety and fully understands and accepts all provisions of the Plan and the Award Agreement.</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In addition, by accepting the Award Agreement, Participant further acknowledges that Participant has read and specifically and expressly approved the terms and conditions in the Award Agreement, in which the following is clearly described and established:</w:t>
      </w:r>
    </w:p>
    <w:p>
      <w:pPr>
        <w:spacing w:after="0" w:line="1" w:lineRule="exact"/>
        <w:rPr>
          <w:sz w:val="20"/>
          <w:szCs w:val="20"/>
          <w:color w:val="auto"/>
        </w:rPr>
      </w:pPr>
    </w:p>
    <w:p>
      <w:pPr>
        <w:jc w:val="both"/>
        <w:ind w:firstLine="8"/>
        <w:spacing w:after="0" w:line="262" w:lineRule="auto"/>
        <w:tabs>
          <w:tab w:leader="none" w:pos="294" w:val="left"/>
        </w:tabs>
        <w:numPr>
          <w:ilvl w:val="0"/>
          <w:numId w:val="87"/>
        </w:numPr>
        <w:rPr>
          <w:rFonts w:ascii="Arial" w:cs="Arial" w:eastAsia="Arial" w:hAnsi="Arial"/>
          <w:sz w:val="21"/>
          <w:szCs w:val="21"/>
          <w:color w:val="auto"/>
        </w:rPr>
      </w:pPr>
      <w:r>
        <w:rPr>
          <w:rFonts w:ascii="Arial" w:cs="Arial" w:eastAsia="Arial" w:hAnsi="Arial"/>
          <w:sz w:val="21"/>
          <w:szCs w:val="21"/>
          <w:color w:val="auto"/>
        </w:rPr>
        <w:t>participation in the Plan does not constitute an acquired right; (ii) the Plan and participation in the Plan is offered by the Company on a wholly discretionary basis; (iii) participation in the Plan is voluntary; and (iv) the Company and any Parent or Subsidiary are not responsible for any decrease in the value of the Shares underlying the Restricted Stock Units.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30" w:right="239" w:bottom="1440" w:gutter="0" w:footer="0" w:header="0"/>
        </w:sectPr>
      </w:pPr>
    </w:p>
    <w:bookmarkStart w:id="150" w:name="page151"/>
    <w:bookmarkEnd w:id="150"/>
    <w:p>
      <w:pPr>
        <w:jc w:val="both"/>
        <w:spacing w:after="0" w:line="312" w:lineRule="auto"/>
        <w:rPr>
          <w:sz w:val="20"/>
          <w:szCs w:val="20"/>
          <w:color w:val="auto"/>
        </w:rPr>
      </w:pPr>
      <w:r>
        <w:rPr>
          <w:rFonts w:ascii="Arial" w:cs="Arial" w:eastAsia="Arial" w:hAnsi="Arial"/>
          <w:sz w:val="19"/>
          <w:szCs w:val="19"/>
          <w:color w:val="auto"/>
        </w:rPr>
        <w:t>Finally, Participant hereby declares that Participant does not reserve any action or right to bring any claim against the Company for any compensation or damages as a result of Participant’s participation in the Plan and therefore grants a full and broad release to the Employer, the Company and any Parent or Subsidiary with respect to any claim that may arise under the Plan.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Sin derecho a compensación o reclamaciones por compensación. </w:t>
      </w:r>
      <w:r>
        <w:rPr>
          <w:rFonts w:ascii="Arial" w:cs="Arial" w:eastAsia="Arial" w:hAnsi="Arial"/>
          <w:sz w:val="21"/>
          <w:szCs w:val="21"/>
          <w:i w:val="1"/>
          <w:iCs w:val="1"/>
          <w:color w:val="auto"/>
        </w:rPr>
        <w:t>Estas disposiciones complementan el Contrato:</w:t>
      </w:r>
    </w:p>
    <w:p>
      <w:pPr>
        <w:spacing w:after="0" w:line="225"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i w:val="1"/>
          <w:iCs w:val="1"/>
          <w:color w:val="auto"/>
        </w:rPr>
        <w:t>Modificación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Al aceptar las Unidades de Acciones Restringidas, el Participante entiende y acuerda que cualquier modificación al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Plan o al Contrato o su terminación no constituirá un cambio o perjuicio a los términos y condiciones de empleo.</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Declaración de Política. </w:t>
      </w:r>
      <w:r>
        <w:rPr>
          <w:rFonts w:ascii="Arial" w:cs="Arial" w:eastAsia="Arial" w:hAnsi="Arial"/>
          <w:sz w:val="22"/>
          <w:szCs w:val="22"/>
          <w:i w:val="1"/>
          <w:iCs w:val="1"/>
          <w:color w:val="auto"/>
        </w:rPr>
        <w:t>El Otorgamiento de Unidades de Acciones Restringidas que la Compañía está haciendo de conformidad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con el Plan es unilateral y discrecional y, por lo tanto, la Compañía se reserva el derecho absoluto de modificar y discontinuar el mismo en cualquier momento, sin responsabilidad alguna.</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La Compañía, con oficinas registradas ubicadas en 899 Kifer Road, Sunnyvale, CA 94086</w:t>
      </w:r>
      <w:r>
        <w:rPr>
          <w:rFonts w:ascii="Arial" w:cs="Arial" w:eastAsia="Arial" w:hAnsi="Arial"/>
          <w:sz w:val="19"/>
          <w:szCs w:val="19"/>
          <w:color w:val="auto"/>
        </w:rPr>
        <w:t>,</w:t>
      </w:r>
      <w:r>
        <w:rPr>
          <w:rFonts w:ascii="Arial" w:cs="Arial" w:eastAsia="Arial" w:hAnsi="Arial"/>
          <w:sz w:val="19"/>
          <w:szCs w:val="19"/>
          <w:i w:val="1"/>
          <w:iCs w:val="1"/>
          <w:color w:val="auto"/>
        </w:rPr>
        <w:t xml:space="preserve"> ,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Arial" w:cs="Arial" w:eastAsia="Arial" w:hAnsi="Arial"/>
          <w:sz w:val="19"/>
          <w:szCs w:val="19"/>
          <w:color w:val="auto"/>
        </w:rPr>
        <w:t>es</w:t>
      </w:r>
      <w:r>
        <w:rPr>
          <w:rFonts w:ascii="Arial" w:cs="Arial" w:eastAsia="Arial" w:hAnsi="Arial"/>
          <w:sz w:val="19"/>
          <w:szCs w:val="19"/>
          <w:i w:val="1"/>
          <w:iCs w:val="1"/>
          <w:color w:val="auto"/>
        </w:rPr>
        <w:t xml:space="preserve"> Fortinet, Inc., Prol. Paseo de la Reforma 115 Int. 702, Col. Lomas de Santa Fe, Del. Alvaro Obregon, Mexico, D.F. C.P. 01219, y tampoco establece ningún derecho entre el Participante y el Patrón.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Reconocimiento del Documento del Plan. </w:t>
      </w:r>
      <w:r>
        <w:rPr>
          <w:rFonts w:ascii="Arial" w:cs="Arial" w:eastAsia="Arial" w:hAnsi="Arial"/>
          <w:sz w:val="22"/>
          <w:szCs w:val="22"/>
          <w:i w:val="1"/>
          <w:iCs w:val="1"/>
          <w:color w:val="auto"/>
        </w:rPr>
        <w:t>Al aceptar el Otorgamiento de las Unidades de Acciones Restringidas, el Participante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reconoce que el Participante ha recibido copias del Plan, ha revisado el Plan y el Contrato en su totalidad y entiende y acepta completamente todas las disposiciones contenidas en el Plan y en el Contrato.</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i w:val="1"/>
          <w:iCs w:val="1"/>
          <w:color w:val="auto"/>
        </w:rPr>
        <w:t>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64"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MOROCCO</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Restricted Stock Units Payable Only in Cash</w:t>
      </w:r>
      <w:r>
        <w:rPr>
          <w:rFonts w:ascii="Arial" w:cs="Arial" w:eastAsia="Arial" w:hAnsi="Arial"/>
          <w:sz w:val="22"/>
          <w:szCs w:val="22"/>
          <w:color w:val="auto"/>
        </w:rPr>
        <w:t>. Notwithstanding Section 2 of the Award Agreement, the grant of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does not provide any right for Participant to receive Shares. Restricted Stock Units granted to Participants in Morocco shall be paid only in cash through local payroll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WARNING</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is an offer of Restricted Stock Units over Shares which, if vested, will entitle Participant to acquire Shares in accordance with the terms of the Award Agreement and the Plan. Shares, if issued, will give Participant a stake in the ownership of the Company. Participant may receive a return if dividends are paid.</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If the Company runs into financial difficulties and is wound up, Participant will be paid only after all creditors have been paid.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Participant may lose some or all of his or her investment, if any.</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The Participant will also have fewer other legal protections for this investment. The Participant should ask questions, read all documents carefully, and seek independent financial advice before committing him or herself.</w:t>
      </w:r>
    </w:p>
    <w:p>
      <w:pPr>
        <w:spacing w:after="0" w:line="216"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Shares are quoted on the Nasdaq Global Select Market (“Nasdaq”). This means Participant may be able to sell them on the Nasdaq if there are interested buyers. Participant may get less than he or she invested. The price will depend on the demand for the Shares.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information on risk factors impacting the Company’s business that may affect the value of the shares of Common Stock, you should refer to the risk factors discussion in the Company’s Annual Report on Form 10-K and Quarterly Reports on Form 10-Q, which are filed with the U.S.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8" w:right="239" w:bottom="1440" w:gutter="0" w:footer="0" w:header="0"/>
        </w:sectPr>
      </w:pPr>
    </w:p>
    <w:bookmarkStart w:id="152" w:name="page153"/>
    <w:bookmarkEnd w:id="152"/>
    <w:p>
      <w:pPr>
        <w:jc w:val="both"/>
        <w:ind w:right="20"/>
        <w:spacing w:after="0" w:line="263" w:lineRule="auto"/>
        <w:rPr>
          <w:sz w:val="20"/>
          <w:szCs w:val="20"/>
          <w:color w:val="auto"/>
        </w:rPr>
      </w:pPr>
      <w:r>
        <w:rPr>
          <w:rFonts w:ascii="Arial" w:cs="Arial" w:eastAsia="Arial" w:hAnsi="Arial"/>
          <w:sz w:val="22"/>
          <w:szCs w:val="22"/>
          <w:color w:val="auto"/>
        </w:rPr>
        <w:t xml:space="preserve">and Exchange Commission and are available online at </w:t>
      </w:r>
      <w:r>
        <w:rPr>
          <w:rFonts w:ascii="Arial" w:cs="Arial" w:eastAsia="Arial" w:hAnsi="Arial"/>
          <w:sz w:val="22"/>
          <w:szCs w:val="22"/>
          <w:u w:val="single" w:color="auto"/>
          <w:color w:val="0000FF"/>
        </w:rPr>
        <w:t>www.sec.gov</w:t>
      </w:r>
      <w:r>
        <w:rPr>
          <w:rFonts w:ascii="Arial" w:cs="Arial" w:eastAsia="Arial" w:hAnsi="Arial"/>
          <w:sz w:val="22"/>
          <w:szCs w:val="22"/>
          <w:color w:val="auto"/>
        </w:rPr>
        <w:t>, as well as on the Company’s “Investor Relations” website at http://investor.fortinet.com/.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NIGERIA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PANAMA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Restricted Stock Units and any Shares which may be issued to Participant upon vesting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of the Restricted Stock Units are not subject to registration under Panamanian Law as they are not intended for the public, but solely for Participant’s benefit.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PERU</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Labor Law Acknowledgment. </w:t>
      </w:r>
      <w:r>
        <w:rPr>
          <w:rFonts w:ascii="Arial" w:cs="Arial" w:eastAsia="Arial" w:hAnsi="Arial"/>
          <w:sz w:val="22"/>
          <w:szCs w:val="22"/>
          <w:color w:val="auto"/>
        </w:rPr>
        <w:t>By accepting the Restricted Stock Units, Participant acknowledges that the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are being granted </w:t>
      </w:r>
      <w:r>
        <w:rPr>
          <w:rFonts w:ascii="Arial" w:cs="Arial" w:eastAsia="Arial" w:hAnsi="Arial"/>
          <w:sz w:val="22"/>
          <w:szCs w:val="22"/>
          <w:i w:val="1"/>
          <w:iCs w:val="1"/>
          <w:color w:val="auto"/>
        </w:rPr>
        <w:t>ex gratia</w:t>
      </w:r>
      <w:r>
        <w:rPr>
          <w:rFonts w:ascii="Arial" w:cs="Arial" w:eastAsia="Arial" w:hAnsi="Arial"/>
          <w:sz w:val="22"/>
          <w:szCs w:val="22"/>
          <w:color w:val="auto"/>
        </w:rPr>
        <w:t xml:space="preserve"> with the purpose of rewarding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offer of the Restricted Stock Units is considered a private offering in Peru; therefore, it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registration in Peru.</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PHILIPPINES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Restricted Stock Units Payable Only in Cash</w:t>
      </w:r>
      <w:r>
        <w:rPr>
          <w:rFonts w:ascii="Arial" w:cs="Arial" w:eastAsia="Arial" w:hAnsi="Arial"/>
          <w:sz w:val="22"/>
          <w:szCs w:val="22"/>
          <w:color w:val="auto"/>
        </w:rPr>
        <w:t>. Notwithstanding Section 2 of the Award Agreement, each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the right to receive the cash equivalent of the Fair Market Value of a Share on the date it vests. For the avoidance of doubt, Participant shall not be entitled to receive any Shares pursuant to any vested Restricted Stock Units or pursuant to Dividend Equivalents.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Participant acknowledges that any transfer of funds in excess of PLN15,000 into or out of Poland</w:t>
      </w:r>
      <w:r>
        <w:rPr>
          <w:rFonts w:ascii="Arial" w:cs="Arial" w:eastAsia="Arial" w:hAnsi="Arial"/>
          <w:sz w:val="22"/>
          <w:szCs w:val="22"/>
          <w:b w:val="1"/>
          <w:bCs w:val="1"/>
          <w:color w:val="auto"/>
        </w:rPr>
        <w:t xml:space="preserve"> </w:t>
      </w:r>
      <w:r>
        <w:rPr>
          <w:rFonts w:ascii="Arial" w:cs="Arial" w:eastAsia="Arial" w:hAnsi="Arial"/>
          <w:sz w:val="22"/>
          <w:szCs w:val="22"/>
          <w:color w:val="auto"/>
        </w:rPr>
        <w:t>must be affected through a bank account in Poland. Participant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64" w:right="239" w:bottom="1440" w:gutter="0" w:footer="0" w:header="0"/>
        </w:sectPr>
      </w:pPr>
    </w:p>
    <w:bookmarkStart w:id="153" w:name="page154"/>
    <w:bookmarkEnd w:id="153"/>
    <w:p>
      <w:pPr>
        <w:jc w:val="both"/>
        <w:ind w:right="20"/>
        <w:spacing w:after="0" w:line="263" w:lineRule="auto"/>
        <w:rPr>
          <w:sz w:val="20"/>
          <w:szCs w:val="20"/>
          <w:color w:val="auto"/>
        </w:rPr>
      </w:pPr>
      <w:r>
        <w:rPr>
          <w:rFonts w:ascii="Arial" w:cs="Arial" w:eastAsia="Arial" w:hAnsi="Arial"/>
          <w:sz w:val="22"/>
          <w:szCs w:val="22"/>
          <w:color w:val="auto"/>
        </w:rPr>
        <w:t>understands that they are required to store all documents connected with any foreign exchange transactions they engage in for a period of five years, as measured from the end of the year in which such transaction occurred.</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Participant maintains bank or brokerage accounts holding cash and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(including Shares) outside of Poland, Participant will be required to report information to the National Bank of Poland on transactions and balances in such accounts if the value of such cash and securities exceeds PLN 7 million. If required, such reports must be filed on special forms available on the website of the National Bank of Poland. Participant should consult with his or her legal advisor to determine whether Participant will be required to submit reports to the National Bank of Poland.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Participant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Award Agreement.</w:t>
      </w:r>
    </w:p>
    <w:p>
      <w:pPr>
        <w:spacing w:after="0" w:line="9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Conhecimento da Lingua. O Participante pelo presente declara expressamente que tem pleno conhecimento da língua inglesa e que leu, compreendeu e livremente aceitou e concordou com os termos e condições estabelecidas no Plano e no Acordo de Atribuição</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Participant does not hold the Shares acquired at vesting with a Portuguese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intermediary, Participant may need to file a report with the Portuguese Central Bank. If the Shares are held by a Portuguese financial intermediary, it will file the report for Participant.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PUERTO RICO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QATAR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Participant deposits the proceeds from the sale of Shares issued to him or her at vesting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of the Shares or any Dividend Equivalents paid on such Shares in a bank account in Romania, Participant may be required to provide the Romanian bank with appropriate documentation explaining the source of the funds.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64" w:right="239" w:bottom="1440" w:gutter="0" w:footer="0" w:header="0"/>
        </w:sectPr>
      </w:pPr>
    </w:p>
    <w:bookmarkStart w:id="154" w:name="page155"/>
    <w:bookmarkEnd w:id="154"/>
    <w:p>
      <w:pPr>
        <w:jc w:val="both"/>
        <w:spacing w:after="0" w:line="263" w:lineRule="auto"/>
        <w:rPr>
          <w:sz w:val="20"/>
          <w:szCs w:val="20"/>
          <w:color w:val="auto"/>
        </w:rPr>
      </w:pPr>
      <w:r>
        <w:rPr>
          <w:rFonts w:ascii="Arial" w:cs="Arial" w:eastAsia="Arial" w:hAnsi="Arial"/>
          <w:sz w:val="22"/>
          <w:szCs w:val="22"/>
          <w:color w:val="auto"/>
        </w:rPr>
        <w:t>Participant should consult his or her personal advisor to determine whether Participant will be required to submit such documentation to the Romanian bank.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U.S. Transaction. </w:t>
      </w:r>
      <w:r>
        <w:rPr>
          <w:rFonts w:ascii="Arial" w:cs="Arial" w:eastAsia="Arial" w:hAnsi="Arial"/>
          <w:sz w:val="22"/>
          <w:szCs w:val="22"/>
          <w:color w:val="auto"/>
        </w:rPr>
        <w:t>The Plan, the Award Agreement, including this Addendum, and all other materials Participant may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Participant’s participation in the Plan or the grant of Restricted Stock Units do not constitute advertising or an offering of securities in Russia. The issuance of Shares acquired at vesting has not and will not be registered in Russia; therefore, such Shares may not be offered or placed in public circulation in Russia.</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no event will Shares acquired at vesting be delivered to Participant in Russia; all Shares will be maintained on Participant’s behalf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Participant is not permitted to sell Shares acquired at vesting directly to a Russian legal entity or resident.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Depending on the development of local regulatory requirements, the Company reserves the right to settle the Restricted Stock Units in cash and/or to pay any proceeds related to the Restricted Stock Units to Participant through local payroll.</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color w:val="auto"/>
        </w:rPr>
        <w:t>This notification supplements Section 13 of the Award Agreement:</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Restricted Stock Units to Participant or other awards or administer or maintain such awards. Therefore, Participant understands that refusing to complete a Consent form or withdrawing his or her consent may affect Participant’s ability to participate in the Plan.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Russian residents should contact their personal advisor regarding their obligations resulting from</w:t>
      </w:r>
      <w:r>
        <w:rPr>
          <w:rFonts w:ascii="Arial" w:cs="Arial" w:eastAsia="Arial" w:hAnsi="Arial"/>
          <w:sz w:val="22"/>
          <w:szCs w:val="22"/>
          <w:b w:val="1"/>
          <w:bCs w:val="1"/>
          <w:color w:val="auto"/>
        </w:rPr>
        <w:t xml:space="preserve"> </w:t>
      </w:r>
      <w:r>
        <w:rPr>
          <w:rFonts w:ascii="Arial" w:cs="Arial" w:eastAsia="Arial" w:hAnsi="Arial"/>
          <w:sz w:val="22"/>
          <w:szCs w:val="22"/>
          <w:color w:val="auto"/>
        </w:rPr>
        <w:t>their participation in the Plan as significant penalties may apply in the case of non-compliance with exchange control requirements and because such exchange control requirements may change.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Russian residents will be required to notify the Russian tax authorities within one</w:t>
      </w:r>
      <w:r>
        <w:rPr>
          <w:rFonts w:ascii="Arial" w:cs="Arial" w:eastAsia="Arial" w:hAnsi="Arial"/>
          <w:sz w:val="21"/>
          <w:szCs w:val="21"/>
          <w:b w:val="1"/>
          <w:bCs w:val="1"/>
          <w:color w:val="auto"/>
        </w:rPr>
        <w:t xml:space="preserve"> </w:t>
      </w:r>
      <w:r>
        <w:rPr>
          <w:rFonts w:ascii="Arial" w:cs="Arial" w:eastAsia="Arial" w:hAnsi="Arial"/>
          <w:sz w:val="21"/>
          <w:szCs w:val="21"/>
          <w:color w:val="auto"/>
        </w:rPr>
        <w:t>month of opening or closing a foreign bank account or of changing any account details. Russian residents are also required to file with the Russian tax authorities reports of the transactions in their foreign bank accounts. Participant should consult with his or her personal tax advisor for additional information about these reporting obligations.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64" w:right="239" w:bottom="1440" w:gutter="0" w:footer="0" w:header="0"/>
        </w:sectPr>
      </w:pPr>
    </w:p>
    <w:bookmarkStart w:id="155" w:name="page156"/>
    <w:bookmarkEnd w:id="155"/>
    <w:p>
      <w:pPr>
        <w:jc w:val="both"/>
        <w:spacing w:after="0" w:line="252" w:lineRule="auto"/>
        <w:rPr>
          <w:sz w:val="20"/>
          <w:szCs w:val="20"/>
          <w:color w:val="auto"/>
        </w:rPr>
      </w:pPr>
      <w:r>
        <w:rPr>
          <w:rFonts w:ascii="Arial" w:cs="Arial" w:eastAsia="Arial" w:hAnsi="Arial"/>
          <w:sz w:val="22"/>
          <w:szCs w:val="22"/>
          <w:b w:val="1"/>
          <w:bCs w:val="1"/>
          <w:color w:val="auto"/>
        </w:rPr>
        <w:t xml:space="preserve">Anti-Corruption Information. </w:t>
      </w:r>
      <w:r>
        <w:rPr>
          <w:rFonts w:ascii="Arial" w:cs="Arial" w:eastAsia="Arial" w:hAnsi="Arial"/>
          <w:sz w:val="22"/>
          <w:szCs w:val="22"/>
          <w:color w:val="auto"/>
        </w:rPr>
        <w:t>Anti-corruption laws prohibit certain public servants, their spouses and their dependent children</w:t>
      </w:r>
      <w:r>
        <w:rPr>
          <w:rFonts w:ascii="Arial" w:cs="Arial" w:eastAsia="Arial" w:hAnsi="Arial"/>
          <w:sz w:val="22"/>
          <w:szCs w:val="22"/>
          <w:b w:val="1"/>
          <w:bCs w:val="1"/>
          <w:color w:val="auto"/>
        </w:rPr>
        <w:t xml:space="preserve"> </w:t>
      </w:r>
      <w:r>
        <w:rPr>
          <w:rFonts w:ascii="Arial" w:cs="Arial" w:eastAsia="Arial" w:hAnsi="Arial"/>
          <w:sz w:val="22"/>
          <w:szCs w:val="22"/>
          <w:color w:val="auto"/>
        </w:rPr>
        <w:t>from owning any foreign source financial instruments (</w:t>
      </w:r>
      <w:r>
        <w:rPr>
          <w:rFonts w:ascii="Arial" w:cs="Arial" w:eastAsia="Arial" w:hAnsi="Arial"/>
          <w:sz w:val="22"/>
          <w:szCs w:val="22"/>
          <w:i w:val="1"/>
          <w:iCs w:val="1"/>
          <w:color w:val="auto"/>
        </w:rPr>
        <w:t>e.g.</w:t>
      </w:r>
      <w:r>
        <w:rPr>
          <w:rFonts w:ascii="Arial" w:cs="Arial" w:eastAsia="Arial" w:hAnsi="Arial"/>
          <w:sz w:val="22"/>
          <w:szCs w:val="22"/>
          <w:color w:val="auto"/>
        </w:rPr>
        <w:t>, shares of foreign companies such as the Company). Accordingly, Participant should inform the Company if he or she is covered by these laws because Participant should not hold Shares acquired under the Plan.</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Labor Law Information. </w:t>
      </w:r>
      <w:r>
        <w:rPr>
          <w:rFonts w:ascii="Arial" w:cs="Arial" w:eastAsia="Arial" w:hAnsi="Arial"/>
          <w:sz w:val="21"/>
          <w:szCs w:val="21"/>
          <w:color w:val="auto"/>
        </w:rPr>
        <w:t>If Participant continues to hold Shares acquired at vesting of the RSUs after an involuntary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status as a Service Provider, Participant may not be eligible to receive unemployment benefits in Russia.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SAUDI ARABIA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Restricted Stock Units Payable Only in Cash</w:t>
      </w:r>
      <w:r>
        <w:rPr>
          <w:rFonts w:ascii="Arial" w:cs="Arial" w:eastAsia="Arial" w:hAnsi="Arial"/>
          <w:sz w:val="21"/>
          <w:szCs w:val="21"/>
          <w:color w:val="auto"/>
        </w:rPr>
        <w:t>. Notwithstanding Section 2 of the Award Agreement, the grant of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does not provide any right for Participant to receive Shares. Restricted Stock Units granted to Participants in Saudi Arabia shall be paid only in cash through local payroll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 xml:space="preserve">Sale Restriction. </w:t>
      </w:r>
      <w:r>
        <w:rPr>
          <w:rFonts w:ascii="Arial" w:cs="Arial" w:eastAsia="Arial" w:hAnsi="Arial"/>
          <w:sz w:val="22"/>
          <w:szCs w:val="22"/>
          <w:color w:val="auto"/>
        </w:rPr>
        <w:t>Participant agrees that any Shares acquired pursuant to the Restricted Stock Units will not be offered for sale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 xml:space="preserve">Securities Law Information. </w:t>
      </w:r>
      <w:r>
        <w:rPr>
          <w:rFonts w:ascii="Arial" w:cs="Arial" w:eastAsia="Arial" w:hAnsi="Arial"/>
          <w:sz w:val="22"/>
          <w:szCs w:val="22"/>
          <w:color w:val="auto"/>
        </w:rPr>
        <w:t>The grant of Restricted Stock Units is being made to Participant in reliance on the “Qualifying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Person” exemption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Chief Executive Officer and Director Notification Obligation. </w:t>
      </w:r>
      <w:r>
        <w:rPr>
          <w:rFonts w:ascii="Arial" w:cs="Arial" w:eastAsia="Arial" w:hAnsi="Arial"/>
          <w:sz w:val="22"/>
          <w:szCs w:val="22"/>
          <w:color w:val="auto"/>
        </w:rPr>
        <w:t>If Participant is the Chief Executive Office (“CEO”) or a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 director or shadow director of a Singapore Parent, Subsidiary or Affiliate, Participant understands that Participant is subject to certain notification requirements under the Singapore Companies Act. Participant acknowledges that Participant must notify the Singapore Parent, Subsidiary or Affiliate in writing of an interest (</w:t>
      </w:r>
      <w:r>
        <w:rPr>
          <w:rFonts w:ascii="Arial" w:cs="Arial" w:eastAsia="Arial" w:hAnsi="Arial"/>
          <w:sz w:val="22"/>
          <w:szCs w:val="22"/>
          <w:i w:val="1"/>
          <w:iCs w:val="1"/>
          <w:color w:val="auto"/>
        </w:rPr>
        <w:t>e.g.</w:t>
      </w:r>
      <w:r>
        <w:rPr>
          <w:rFonts w:ascii="Arial" w:cs="Arial" w:eastAsia="Arial" w:hAnsi="Arial"/>
          <w:sz w:val="22"/>
          <w:szCs w:val="22"/>
          <w:color w:val="auto"/>
        </w:rPr>
        <w:t>, unvested Restricted Stock Units, Shares, etc.) in the Company or any Parent or Subsidiary within two (2) business days of (i) its acquisition or disposal, (ii) any change in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when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8" w:right="239"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color w:val="auto"/>
        </w:rPr>
        <w:t>acquired at vesting are sold), or (iii) becoming the CEO and/or a director, if Participant holds such an interest at the time.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SLOVAKIA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If Participant permanently resides in the Slovak Republic and, apart from being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employed, carries on business activities as an independent entrepreneur (in Slovakian, </w:t>
      </w:r>
      <w:r>
        <w:rPr>
          <w:rFonts w:ascii="Arial" w:cs="Arial" w:eastAsia="Arial" w:hAnsi="Arial"/>
          <w:sz w:val="22"/>
          <w:szCs w:val="22"/>
          <w:i w:val="1"/>
          <w:iCs w:val="1"/>
          <w:color w:val="auto"/>
        </w:rPr>
        <w:t>podnikatel</w:t>
      </w:r>
      <w:r>
        <w:rPr>
          <w:rFonts w:ascii="Arial" w:cs="Arial" w:eastAsia="Arial" w:hAnsi="Arial"/>
          <w:sz w:val="22"/>
          <w:szCs w:val="22"/>
          <w:color w:val="auto"/>
        </w:rPr>
        <w:t>), Participant will be obligated to report his or her foreign assets (including Shares) to the National Bank of Slovakia (provided that the value of the foreign assets exceeds an amount of €2,000,000).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SLOVENIA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This provision supplements Section 7 of the Award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Restricted Stock Units, Participant agrees to immediately notify the Employer of the amount of any gain realized upon vesting of the Restricted Stock Units. If Participant fails to advise the Employer of the gain realized at vesting, Participant may be liable for a fine. Participant will be responsible for paying any difference between the actual tax liability and the amount withheld.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Participant is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10 of the Award Agreement:</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By accepting the Restricted Stock Units, Participant consents to participation in the Plan and acknowledges that Participant has received a copy of the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64" w:right="239" w:bottom="1440" w:gutter="0" w:footer="0" w:header="0"/>
        </w:sectPr>
      </w:pPr>
    </w:p>
    <w:bookmarkStart w:id="157" w:name="page158"/>
    <w:bookmarkEnd w:id="157"/>
    <w:p>
      <w:pPr>
        <w:jc w:val="both"/>
        <w:spacing w:after="0" w:line="288" w:lineRule="auto"/>
        <w:rPr>
          <w:sz w:val="20"/>
          <w:szCs w:val="20"/>
          <w:color w:val="auto"/>
        </w:rPr>
      </w:pPr>
      <w:r>
        <w:rPr>
          <w:rFonts w:ascii="Arial" w:cs="Arial" w:eastAsia="Arial" w:hAnsi="Arial"/>
          <w:sz w:val="19"/>
          <w:szCs w:val="19"/>
          <w:color w:val="auto"/>
        </w:rPr>
        <w:t>Participant understands that the Company has unilaterally, gratuitously, and in its sole discretion decided to grant Restricted Stock Units under the Plan to individuals who may be Service Providers throughout the world. The decision is a limited decision that is entered into upon the express assumption and condition that any grant will not bind the Company or any Parent or Subsidiary, other than to the extent set forth in this Award Agreement. Consequently, Participant understands that the Restricted Stock Units are granted on the assumption and condition that the Restricted Stock Units and any Shares acquired at vesting of the Restricted Stock Units are not part of any employment or service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Restricted Stock Units shall be null and void.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Further, except as otherwise provided in the Plan and the Award Agreement, Participant understands that he or she will not be entitled to continue vesting in any Restricted Stock Units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the Royal Decree 1382/1985. Participant acknowledges that Participant has read and specifically accepts the vesting and termination conditions in the Award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Restricted Stock Units do not qualify under Spanish Law as securities. No “offer to the public,”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defined under Spanish Law, has taken place or will take place in the Spanish territory. Neither the Plan nor the Award Agreement have been registered with the </w:t>
      </w:r>
      <w:r>
        <w:rPr>
          <w:rFonts w:ascii="Arial" w:cs="Arial" w:eastAsia="Arial" w:hAnsi="Arial"/>
          <w:sz w:val="19"/>
          <w:szCs w:val="19"/>
          <w:i w:val="1"/>
          <w:iCs w:val="1"/>
          <w:color w:val="auto"/>
        </w:rPr>
        <w:t>Comisión Nacronal del Mercado de Valores</w:t>
      </w:r>
      <w:r>
        <w:rPr>
          <w:rFonts w:ascii="Arial" w:cs="Arial" w:eastAsia="Arial" w:hAnsi="Arial"/>
          <w:sz w:val="19"/>
          <w:szCs w:val="19"/>
          <w:color w:val="auto"/>
        </w:rPr>
        <w:t xml:space="preserve"> and do not constitute a public offering prospectus.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Participant must declare the acquisition of Shares to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Spanish Dirección General de Comercio</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e Inversiones </w:t>
      </w:r>
      <w:r>
        <w:rPr>
          <w:rFonts w:ascii="Arial" w:cs="Arial" w:eastAsia="Arial" w:hAnsi="Arial"/>
          <w:sz w:val="22"/>
          <w:szCs w:val="22"/>
          <w:color w:val="auto"/>
        </w:rPr>
        <w:t>(the “DGCI”), the Bureau for Commerce and Investments, which is a department of the Ministry of Economy and</w:t>
      </w:r>
      <w:r>
        <w:rPr>
          <w:rFonts w:ascii="Arial" w:cs="Arial" w:eastAsia="Arial" w:hAnsi="Arial"/>
          <w:sz w:val="22"/>
          <w:szCs w:val="22"/>
          <w:i w:val="1"/>
          <w:iCs w:val="1"/>
          <w:color w:val="auto"/>
        </w:rPr>
        <w:t xml:space="preserve"> </w:t>
      </w:r>
      <w:r>
        <w:rPr>
          <w:rFonts w:ascii="Arial" w:cs="Arial" w:eastAsia="Arial" w:hAnsi="Arial"/>
          <w:sz w:val="22"/>
          <w:szCs w:val="22"/>
          <w:color w:val="auto"/>
        </w:rPr>
        <w:t>Competitiveness. Participant must also declare ownership of any Shares by filing a Form D-6 with the Directorate of Foreign Transactions each January while the Shares are owned. In addition, the sale of Shares must also be declared on Form D-6 filed with the DGCI in January, unless the sale proceeds exceed the applicable threshold (currently €1,502,530), in which case, the filing is due within one month after the sale.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Participant is required to declare electronically to the Bank of Spain any foreign accounts (including brokerage accounts held abroad), any foreign instruments (including any Shares acquired under the Plan) and any transactions with non-Spanish residents (including any payments of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64" w:right="239" w:bottom="1440" w:gutter="0" w:footer="0" w:header="0"/>
        </w:sectPr>
      </w:pPr>
    </w:p>
    <w:bookmarkStart w:id="158" w:name="page159"/>
    <w:bookmarkEnd w:id="158"/>
    <w:p>
      <w:pPr>
        <w:jc w:val="both"/>
        <w:spacing w:after="0" w:line="263" w:lineRule="auto"/>
        <w:rPr>
          <w:sz w:val="20"/>
          <w:szCs w:val="20"/>
          <w:color w:val="auto"/>
        </w:rPr>
      </w:pPr>
      <w:r>
        <w:rPr>
          <w:rFonts w:ascii="Arial" w:cs="Arial" w:eastAsia="Arial" w:hAnsi="Arial"/>
          <w:sz w:val="22"/>
          <w:szCs w:val="22"/>
          <w:color w:val="auto"/>
        </w:rPr>
        <w:t>made to Participant by the Company) depending on the value of such accounts and instruments and the amount of the transactions during the relevant year as of December 31 of the relevant year.</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Foreign Asset/Accounting Reporting Information. </w:t>
      </w:r>
      <w:r>
        <w:rPr>
          <w:rFonts w:ascii="Arial" w:cs="Arial" w:eastAsia="Arial" w:hAnsi="Arial"/>
          <w:sz w:val="19"/>
          <w:szCs w:val="19"/>
          <w:color w:val="auto"/>
        </w:rPr>
        <w:t>If Participant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offering of Restricted Stock Units is not intended to be publicly offered in or from Switzerland.</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the offering of Restricted Stock Units is considered a private offering in Switzerland, it is not subject to registration in Switzerland. Neither this document nor any other materials relating to the grant of Restricted Stock Units under the Plan constitutes a prospectus as such term is understood pursuant to article 652a of the Swiss Code of Obligations, and neither this document nor any other materials relating to the grant of Restricted Stock Units under the Plan may be publicly distributed nor otherwise made publicly available in Switzerland. Further, neither this document nor any other offering or marketing material relating to the offering of Restricted Stock Units has been or will be filed with, approved, or supervised by any Swiss regulatory authority (in particular, the Swiss Financial Market Supervisory Authority (FINMA)).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Data Privacy Acknowledgement</w:t>
      </w:r>
      <w:r>
        <w:rPr>
          <w:rFonts w:ascii="Arial" w:cs="Arial" w:eastAsia="Arial" w:hAnsi="Arial"/>
          <w:sz w:val="21"/>
          <w:szCs w:val="21"/>
          <w:color w:val="auto"/>
        </w:rPr>
        <w:t>. Participant acknowledges that he or she has read and understands the terms regarding</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collection, processing and transfer of Data contained in Section 13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that he or she will not be able to participate in the Plan if Participant fails to execute any such consent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64"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Participant may acquire and remit foreign currency (including proceeds from the sale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or the receipt of dividends) up to US$5,000,000 per year without justification.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the transaction amount is TWD500,000 or more in a single transaction, Participant must submit a Foreign Exchange Transaction Form and also provide supporting documentation to the satisfaction of the remitting bank.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or the receipt of dividends and Dividend Equivalents are</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Participant does not comply with this obligation, Participant may be subject to penalties assessed by the Bank of Thailand. Because exchange control regulations change frequently and 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TUNISIA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Settlement of Restricted Stock Units and Sale of Shares. </w:t>
      </w:r>
      <w:r>
        <w:rPr>
          <w:rFonts w:ascii="Arial" w:cs="Arial" w:eastAsia="Arial" w:hAnsi="Arial"/>
          <w:sz w:val="19"/>
          <w:szCs w:val="19"/>
          <w:color w:val="auto"/>
        </w:rPr>
        <w:t>Due to local regulatory requirements, upon the vesting of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Participant agrees to the immediate sale of any Shares to be issued to him or her upon vesting and settlement of the Restricted Stock Units.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64" w:right="239" w:bottom="1440" w:gutter="0" w:footer="0" w:header="0"/>
        </w:sectPr>
      </w:pPr>
    </w:p>
    <w:bookmarkStart w:id="160" w:name="page161"/>
    <w:bookmarkEnd w:id="160"/>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All proceeds from the sale of Shares as described above must be repatriated to Tunisia.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should consult his or her 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TURKEY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Under Turkish law, Participant is not permitted to sell Shares acquired under the Plan in Turkey.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are currently traded on the Nasdaq Global Select Market, which is located outside of Turkey, under the ticker symbol “FTNT” and the Shares may be sold through this exchange.</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Participant likely will be required to engage a Turkish financial intermediary to assist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Restricted Stock Units or any sale of Shares to ensure compliance.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Participation in the Plan is being offered only to selected Service Providers and is in the nature of</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equity incentives to Service Providers in the United 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Restricted Stock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the grant of Restricted Stock Units does not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8" w:right="239" w:bottom="1440" w:gutter="0" w:footer="0" w:header="0"/>
        </w:sectPr>
      </w:pPr>
    </w:p>
    <w:bookmarkStart w:id="161" w:name="page162"/>
    <w:bookmarkEnd w:id="161"/>
    <w:p>
      <w:pPr>
        <w:spacing w:after="0"/>
        <w:rPr>
          <w:sz w:val="20"/>
          <w:szCs w:val="20"/>
          <w:color w:val="auto"/>
        </w:rPr>
      </w:pPr>
      <w:r>
        <w:rPr>
          <w:rFonts w:ascii="Arial" w:cs="Arial" w:eastAsia="Arial" w:hAnsi="Arial"/>
          <w:sz w:val="21"/>
          <w:szCs w:val="21"/>
          <w:color w:val="auto"/>
        </w:rPr>
        <w:t>provide any right for Participant to receive a cash payment, and the Restricted Stock Units are payable in Shares only.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This provision supplements Section 7 of the Award Agreement: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If payment or withholding of the income tax due is not made within ninety (90) days of the end of the U.K. tax year (April 6 - April</w:t>
      </w:r>
    </w:p>
    <w:p>
      <w:pPr>
        <w:spacing w:after="0" w:line="56" w:lineRule="exact"/>
        <w:rPr>
          <w:sz w:val="20"/>
          <w:szCs w:val="20"/>
          <w:color w:val="auto"/>
        </w:rPr>
      </w:pPr>
    </w:p>
    <w:p>
      <w:pPr>
        <w:jc w:val="both"/>
        <w:ind w:firstLine="8"/>
        <w:spacing w:after="0" w:line="292" w:lineRule="auto"/>
        <w:tabs>
          <w:tab w:leader="none" w:pos="242"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which such event giving rise to the Tax-Related Items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Her Majesty’s Revenue &amp; Customs (“HMRC”), it will be immediately due and repayable, and the Company or the Employer may recover it at any time thereafter by any of the means referred to in Section 10 of the Award Agreement.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10 of the Award Agreement.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Joint Election for Transfer of the Employer’s Secondary Class 1 NICs Liability to the Participant. </w:t>
      </w:r>
      <w:r>
        <w:rPr>
          <w:rFonts w:ascii="Arial" w:cs="Arial" w:eastAsia="Arial" w:hAnsi="Arial"/>
          <w:sz w:val="19"/>
          <w:szCs w:val="19"/>
          <w:color w:val="auto"/>
        </w:rPr>
        <w:t>As a condition of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in the Restricted Stock Units, Participant agrees to accept any liability for secondary Class 1 NICs, which may be payable by the Company or the Employer in connection with the Restricted Stock Units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Restricted Stock Units. Participant further agrees to enter into such other joint elections as may be required between Participant and any successor to the Company and/or the Employer. If Participant does not enter into the Election prior to the vesting of the Restricted Stock Units, Participant shall, without any liability to the Company or any Parent or Subsidiary, not be entitled to vest in the Restricted Stock Units.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 further agrees that the Company and/or the Employer may collect the Employer NICs by any of the means set forth in Section 10 of the Award Agreement, as supplemented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6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10.7</w:t>
      </w:r>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FORTINET, INC.</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2009 EQUITY INCENTIVE PLAN</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STOCK OPTION AWARD AGREEMENT</w:t>
      </w:r>
    </w:p>
    <w:p>
      <w:pPr>
        <w:spacing w:after="0" w:line="3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herein, the terms defined in the Amended and Restated Fortinet, Inc. 2009 Equity Incentive Plan (the “Plan”) will have the same defined meanings in this Stock Option Award Agreement, including any country-specific terms and conditions set forth in the attached Appendix (collectively, the “Award Agreement”).</w:t>
      </w:r>
    </w:p>
    <w:p>
      <w:pPr>
        <w:spacing w:after="0" w:line="153" w:lineRule="exact"/>
        <w:rPr>
          <w:sz w:val="20"/>
          <w:szCs w:val="20"/>
          <w:color w:val="auto"/>
        </w:rPr>
      </w:pPr>
    </w:p>
    <w:p>
      <w:pPr>
        <w:ind w:left="660" w:right="6220" w:hanging="4"/>
        <w:spacing w:after="0" w:line="442" w:lineRule="auto"/>
        <w:tabs>
          <w:tab w:leader="none" w:pos="1446"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 xml:space="preserve">NOTICE OF STOCK OPTION GRANT </w:t>
      </w:r>
      <w:r>
        <w:rPr>
          <w:rFonts w:ascii="Arial" w:cs="Arial" w:eastAsia="Arial" w:hAnsi="Arial"/>
          <w:sz w:val="22"/>
          <w:szCs w:val="22"/>
          <w:b w:val="1"/>
          <w:bCs w:val="1"/>
          <w:color w:val="auto"/>
        </w:rPr>
        <w:t>Participant Name:</w:t>
      </w: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Address: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You have been granted an Option to purchase Common Stock of Fortinet, Inc. (the “Company”), subject to the terms and conditions of the Plan and this Award Agreement, as follows:</w:t>
      </w:r>
    </w:p>
    <w:p>
      <w:pPr>
        <w:spacing w:after="0" w:line="323" w:lineRule="exact"/>
        <w:rPr>
          <w:sz w:val="20"/>
          <w:szCs w:val="20"/>
          <w:color w:val="auto"/>
        </w:rPr>
      </w:pPr>
    </w:p>
    <w:tbl>
      <w:tblPr>
        <w:tblLayout w:type="fixed"/>
        <w:tblInd w:w="500" w:type="dxa"/>
        <w:tblCellMar>
          <w:top w:w="0" w:type="dxa"/>
          <w:left w:w="0" w:type="dxa"/>
          <w:bottom w:w="0" w:type="dxa"/>
          <w:right w:w="0" w:type="dxa"/>
        </w:tblCellMar>
      </w:tblPr>
      <w:tr>
        <w:trPr>
          <w:trHeight w:val="285"/>
        </w:trPr>
        <w:tc>
          <w:tcPr>
            <w:tcW w:w="4740" w:type="dxa"/>
            <w:vAlign w:val="bottom"/>
            <w:gridSpan w:val="3"/>
          </w:tcPr>
          <w:p>
            <w:pPr>
              <w:spacing w:after="0"/>
              <w:rPr>
                <w:sz w:val="20"/>
                <w:szCs w:val="20"/>
                <w:color w:val="auto"/>
              </w:rPr>
            </w:pPr>
            <w:r>
              <w:rPr>
                <w:rFonts w:ascii="Arial" w:cs="Arial" w:eastAsia="Arial" w:hAnsi="Arial"/>
                <w:sz w:val="22"/>
                <w:szCs w:val="22"/>
                <w:color w:val="auto"/>
              </w:rPr>
              <w:t>Grant Number</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Date of Grant</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Vesting Commencement Date</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Exercise Price per Share</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Total Number of Shares Granted</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Total Exercise Price</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507"/>
        </w:trPr>
        <w:tc>
          <w:tcPr>
            <w:tcW w:w="4740" w:type="dxa"/>
            <w:vAlign w:val="bottom"/>
            <w:gridSpan w:val="3"/>
          </w:tcPr>
          <w:p>
            <w:pPr>
              <w:spacing w:after="0"/>
              <w:rPr>
                <w:sz w:val="20"/>
                <w:szCs w:val="20"/>
                <w:color w:val="auto"/>
              </w:rPr>
            </w:pPr>
            <w:r>
              <w:rPr>
                <w:rFonts w:ascii="Arial" w:cs="Arial" w:eastAsia="Arial" w:hAnsi="Arial"/>
                <w:sz w:val="22"/>
                <w:szCs w:val="22"/>
                <w:color w:val="auto"/>
              </w:rPr>
              <w:t>Type of Option:</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22"/>
                <w:szCs w:val="22"/>
                <w:color w:val="auto"/>
              </w:rPr>
              <w:t>Incentive Stock Option</w:t>
            </w:r>
          </w:p>
        </w:tc>
      </w:tr>
      <w:tr>
        <w:trPr>
          <w:trHeight w:val="493"/>
        </w:trPr>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22"/>
                <w:szCs w:val="22"/>
                <w:color w:val="auto"/>
              </w:rPr>
              <w:t>Nonstatutory Stock Option</w:t>
            </w:r>
          </w:p>
        </w:tc>
      </w:tr>
      <w:tr>
        <w:trPr>
          <w:trHeight w:val="277"/>
        </w:trPr>
        <w:tc>
          <w:tcPr>
            <w:tcW w:w="4740" w:type="dxa"/>
            <w:vAlign w:val="bottom"/>
            <w:gridSpan w:val="3"/>
          </w:tcPr>
          <w:p>
            <w:pPr>
              <w:spacing w:after="0"/>
              <w:rPr>
                <w:sz w:val="20"/>
                <w:szCs w:val="20"/>
                <w:color w:val="auto"/>
              </w:rPr>
            </w:pPr>
            <w:r>
              <w:rPr>
                <w:rFonts w:ascii="Arial" w:cs="Arial" w:eastAsia="Arial" w:hAnsi="Arial"/>
                <w:sz w:val="22"/>
                <w:szCs w:val="22"/>
                <w:color w:val="auto"/>
              </w:rPr>
              <w:t>Term/Expiration Date:</w:t>
            </w:r>
          </w:p>
        </w:tc>
        <w:tc>
          <w:tcPr>
            <w:tcW w:w="2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3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Subject to any acceleration provisions contained in the Plan or set forth below, this Option may be exercised, in whole or in part, in accordance with the following schedule: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VESTING SCHEDULE]</w:t>
      </w:r>
    </w:p>
    <w:p>
      <w:pPr>
        <w:sectPr>
          <w:pgSz w:w="11900" w:h="16838" w:orient="portrait"/>
          <w:cols w:equalWidth="0" w:num="1">
            <w:col w:w="11420"/>
          </w:cols>
          <w:pgMar w:left="240" w:top="810" w:right="239" w:bottom="1440" w:gutter="0" w:footer="0" w:header="0"/>
        </w:sectPr>
      </w:pPr>
    </w:p>
    <w:bookmarkStart w:id="163" w:name="page164"/>
    <w:bookmarkEnd w:id="163"/>
    <w:p>
      <w:pPr>
        <w:ind w:right="320" w:firstLine="648"/>
        <w:spacing w:after="0" w:line="253" w:lineRule="auto"/>
        <w:rPr>
          <w:sz w:val="20"/>
          <w:szCs w:val="20"/>
          <w:color w:val="auto"/>
        </w:rPr>
      </w:pPr>
      <w:r>
        <w:rPr>
          <w:rFonts w:ascii="Arial" w:cs="Arial" w:eastAsia="Arial" w:hAnsi="Arial"/>
          <w:sz w:val="22"/>
          <w:szCs w:val="22"/>
          <w:color w:val="auto"/>
        </w:rPr>
        <w:t>In the event Participant ceases to be a Service Provider for any or no reason before Participant vests in any portion of the Option, any such unvested portion of the Option and Participant’s right to acquire any Shares hereunder will immediately terminate.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Termination Period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vested portion of this Option will be exercisable for [three (3) months] after Participant ceases to be a Service Provider, unless such termination is due to Participant’s death or Disability, in which case this Option will be exercisable for </w:t>
      </w:r>
      <w:r>
        <w:rPr>
          <w:rFonts w:ascii="Arial" w:cs="Arial" w:eastAsia="Arial" w:hAnsi="Arial"/>
          <w:sz w:val="19"/>
          <w:szCs w:val="19"/>
          <w:b w:val="1"/>
          <w:bCs w:val="1"/>
          <w:color w:val="auto"/>
        </w:rPr>
        <w:t>[</w:t>
      </w:r>
      <w:r>
        <w:rPr>
          <w:rFonts w:ascii="Arial" w:cs="Arial" w:eastAsia="Arial" w:hAnsi="Arial"/>
          <w:sz w:val="19"/>
          <w:szCs w:val="19"/>
          <w:color w:val="auto"/>
        </w:rPr>
        <w:t>twelve (12) months] after Participant ceases to be a Service Provider. Notwithstanding the foregoing, in no event may this Option be exercised after the Term/Expiration Date as provided above and may be subject to earlier termination as provided in Section 13(c) of the Plan.</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Additional Terms and Conditions of Stock Option Grant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all of which are made a part of this document. Participant has reviewed the Plan and this Award 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321" w:lineRule="exact"/>
        <w:rPr>
          <w:sz w:val="20"/>
          <w:szCs w:val="20"/>
          <w:color w:val="auto"/>
        </w:rPr>
      </w:pPr>
    </w:p>
    <w:tbl>
      <w:tblPr>
        <w:tblLayout w:type="fixed"/>
        <w:tblInd w:w="780" w:type="dxa"/>
        <w:tblCellMar>
          <w:top w:w="0" w:type="dxa"/>
          <w:left w:w="0" w:type="dxa"/>
          <w:bottom w:w="0" w:type="dxa"/>
          <w:right w:w="0" w:type="dxa"/>
        </w:tblCellMar>
      </w:tblPr>
      <w:tr>
        <w:trPr>
          <w:trHeight w:val="275"/>
        </w:trPr>
        <w:tc>
          <w:tcPr>
            <w:tcW w:w="4560" w:type="dxa"/>
            <w:vAlign w:val="bottom"/>
            <w:gridSpan w:val="3"/>
          </w:tcPr>
          <w:p>
            <w:pPr>
              <w:ind w:left="20"/>
              <w:spacing w:after="0"/>
              <w:rPr>
                <w:sz w:val="20"/>
                <w:szCs w:val="20"/>
                <w:color w:val="auto"/>
              </w:rPr>
            </w:pPr>
            <w:r>
              <w:rPr>
                <w:rFonts w:ascii="Arial" w:cs="Arial" w:eastAsia="Arial" w:hAnsi="Arial"/>
                <w:sz w:val="22"/>
                <w:szCs w:val="22"/>
                <w:color w:val="auto"/>
              </w:rPr>
              <w:t>PARTICIPANT:</w:t>
            </w:r>
          </w:p>
        </w:tc>
        <w:tc>
          <w:tcPr>
            <w:tcW w:w="60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665"/>
        </w:trPr>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274"/>
        </w:trPr>
        <w:tc>
          <w:tcPr>
            <w:tcW w:w="4560" w:type="dxa"/>
            <w:vAlign w:val="bottom"/>
            <w:gridSpan w:val="3"/>
          </w:tcPr>
          <w:p>
            <w:pPr>
              <w:ind w:left="20"/>
              <w:spacing w:after="0"/>
              <w:rPr>
                <w:sz w:val="20"/>
                <w:szCs w:val="20"/>
                <w:color w:val="auto"/>
              </w:rPr>
            </w:pPr>
            <w:r>
              <w:rPr>
                <w:rFonts w:ascii="Arial" w:cs="Arial" w:eastAsia="Arial" w:hAnsi="Arial"/>
                <w:sz w:val="22"/>
                <w:szCs w:val="22"/>
                <w:color w:val="auto"/>
              </w:rPr>
              <w:t>Signature</w:t>
            </w:r>
          </w:p>
        </w:tc>
        <w:tc>
          <w:tcPr>
            <w:tcW w:w="60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22"/>
                <w:szCs w:val="22"/>
                <w:color w:val="auto"/>
              </w:rPr>
              <w:t>By</w:t>
            </w:r>
          </w:p>
        </w:tc>
      </w:tr>
      <w:tr>
        <w:trPr>
          <w:trHeight w:val="665"/>
        </w:trPr>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274"/>
        </w:trPr>
        <w:tc>
          <w:tcPr>
            <w:tcW w:w="4560" w:type="dxa"/>
            <w:vAlign w:val="bottom"/>
            <w:gridSpan w:val="3"/>
          </w:tcPr>
          <w:p>
            <w:pPr>
              <w:ind w:left="20"/>
              <w:spacing w:after="0"/>
              <w:rPr>
                <w:sz w:val="20"/>
                <w:szCs w:val="20"/>
                <w:color w:val="auto"/>
              </w:rPr>
            </w:pPr>
            <w:r>
              <w:rPr>
                <w:rFonts w:ascii="Arial" w:cs="Arial" w:eastAsia="Arial" w:hAnsi="Arial"/>
                <w:sz w:val="22"/>
                <w:szCs w:val="22"/>
                <w:color w:val="auto"/>
              </w:rPr>
              <w:t>Print Name</w:t>
            </w:r>
          </w:p>
        </w:tc>
        <w:tc>
          <w:tcPr>
            <w:tcW w:w="60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22"/>
                <w:szCs w:val="22"/>
                <w:color w:val="auto"/>
              </w:rPr>
              <w:t>Title</w:t>
            </w:r>
          </w:p>
        </w:tc>
      </w:tr>
      <w:tr>
        <w:trPr>
          <w:trHeight w:val="571"/>
        </w:trPr>
        <w:tc>
          <w:tcPr>
            <w:tcW w:w="4560" w:type="dxa"/>
            <w:vAlign w:val="bottom"/>
            <w:gridSpan w:val="3"/>
          </w:tcPr>
          <w:p>
            <w:pPr>
              <w:ind w:left="20"/>
              <w:spacing w:after="0"/>
              <w:rPr>
                <w:sz w:val="20"/>
                <w:szCs w:val="20"/>
                <w:color w:val="auto"/>
              </w:rPr>
            </w:pPr>
            <w:r>
              <w:rPr>
                <w:rFonts w:ascii="Arial" w:cs="Arial" w:eastAsia="Arial" w:hAnsi="Arial"/>
                <w:sz w:val="22"/>
                <w:szCs w:val="22"/>
                <w:color w:val="auto"/>
              </w:rPr>
              <w:t>Residence Address:</w:t>
            </w:r>
          </w:p>
        </w:tc>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STOCK OPTION GRANT</w:t>
      </w:r>
    </w:p>
    <w:p>
      <w:pPr>
        <w:spacing w:after="0" w:line="226" w:lineRule="exact"/>
        <w:rPr>
          <w:sz w:val="20"/>
          <w:szCs w:val="20"/>
          <w:color w:val="auto"/>
        </w:rPr>
      </w:pPr>
    </w:p>
    <w:p>
      <w:pPr>
        <w:jc w:val="both"/>
        <w:ind w:firstLine="656"/>
        <w:spacing w:after="0" w:line="300" w:lineRule="auto"/>
        <w:tabs>
          <w:tab w:leader="none" w:pos="103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Company hereby grants to the individual named in the Notice of Grant attached as Part I of this Award Agreement (the “Participant”)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4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If designated in the Notice of Grant as a U.S. Incentive Stock Option (“ISO”), this Option is intended to qualify as an ISO under Section 422 of the U.S. Internal Revenue Code of 1986, as amended (the “Code”). However, if this Option is intended to be an ISO, to the extent that it exceeds the US$100,000 rule of Code Section 422(d) it will be treated as a U.S. Nonstatutory Stock Option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 Participants employed outside the U.S. will be granted NSOs.</w:t>
      </w:r>
    </w:p>
    <w:p>
      <w:pPr>
        <w:spacing w:after="0" w:line="195" w:lineRule="exact"/>
        <w:rPr>
          <w:sz w:val="20"/>
          <w:szCs w:val="20"/>
          <w:color w:val="auto"/>
        </w:rPr>
      </w:pPr>
    </w:p>
    <w:p>
      <w:pPr>
        <w:ind w:left="1000" w:hanging="344"/>
        <w:spacing w:after="0"/>
        <w:tabs>
          <w:tab w:leader="none" w:pos="100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02" w:lineRule="auto"/>
        <w:tabs>
          <w:tab w:leader="none" w:pos="1757" w:val="left"/>
        </w:tabs>
        <w:numPr>
          <w:ilvl w:val="1"/>
          <w:numId w:val="91"/>
        </w:numPr>
        <w:rPr>
          <w:rFonts w:ascii="Arial" w:cs="Arial" w:eastAsia="Arial" w:hAnsi="Arial"/>
          <w:sz w:val="19"/>
          <w:szCs w:val="19"/>
          <w:color w:val="auto"/>
        </w:rPr>
      </w:pPr>
      <w:r>
        <w:rPr>
          <w:rFonts w:ascii="Arial" w:cs="Arial" w:eastAsia="Arial" w:hAnsi="Arial"/>
          <w:sz w:val="19"/>
          <w:szCs w:val="19"/>
          <w:color w:val="auto"/>
        </w:rPr>
        <w:t>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2" w:lineRule="exact"/>
        <w:rPr>
          <w:rFonts w:ascii="Arial" w:cs="Arial" w:eastAsia="Arial" w:hAnsi="Arial"/>
          <w:sz w:val="19"/>
          <w:szCs w:val="19"/>
          <w:color w:val="auto"/>
        </w:rPr>
      </w:pPr>
    </w:p>
    <w:p>
      <w:pPr>
        <w:jc w:val="both"/>
        <w:ind w:firstLine="1305"/>
        <w:spacing w:after="0" w:line="286" w:lineRule="auto"/>
        <w:tabs>
          <w:tab w:leader="none" w:pos="1765"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 contrary provision of this Award Agreement, the balance of the Option that has not vested as of the time of the Participant’s termination as a Service Provider, for any or no reason and Participant’s right to acquire any Shares hereunder, will immediately terminate upon Participant’s termination as a Service Provider. For purposes of the Option, the Participant’s termination as a Service Provider will be considered terminated as of the date the Participant is no longer actively providing services as a Service Provider to the Company or one of its Subsidiaries (regardless of the reason for such termination and whether or not later found to be invalid or in breach of labor laws in the jurisdiction where the Participant is employed or the terms of the Participant’s employment agreement, if any), and unless otherwise determined by the Company, the Participant’s right to vest in the Option, if any, will terminate and the Participant's right to exercise any vested Option will be measured as of such date and, in either case,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the Participant’s period of service would not include any contractual notice period or any period of “garden leave” or similar period mandated under labor laws in the jurisdiction where the Participant is employed or the terms of the Participant’s employment agreement, if any). The Administrator shall have the exclusive discretion to determine when the Participant is no longer actively providing services for purposes of the Option (including whether the Participant may still be considered to be providing services while on a leave of absence).</w:t>
      </w:r>
    </w:p>
    <w:p>
      <w:pPr>
        <w:spacing w:after="0" w:line="1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58" w:right="239" w:bottom="1440" w:gutter="0" w:footer="0" w:header="0"/>
        </w:sectPr>
      </w:pPr>
    </w:p>
    <w:bookmarkStart w:id="165" w:name="page166"/>
    <w:bookmarkEnd w:id="165"/>
    <w:p>
      <w:pPr>
        <w:jc w:val="both"/>
        <w:ind w:left="-656" w:firstLine="656"/>
        <w:spacing w:after="0" w:line="260" w:lineRule="auto"/>
        <w:tabs>
          <w:tab w:leader="none" w:pos="3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7" w:lineRule="exact"/>
        <w:rPr>
          <w:rFonts w:ascii="Arial" w:cs="Arial" w:eastAsia="Arial" w:hAnsi="Arial"/>
          <w:sz w:val="22"/>
          <w:szCs w:val="22"/>
          <w:color w:val="auto"/>
        </w:rPr>
      </w:pPr>
    </w:p>
    <w:p>
      <w:pPr>
        <w:ind w:left="344" w:hanging="344"/>
        <w:spacing w:after="0"/>
        <w:tabs>
          <w:tab w:leader="none" w:pos="34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33" w:lineRule="exact"/>
        <w:rPr>
          <w:rFonts w:ascii="Arial" w:cs="Arial" w:eastAsia="Arial" w:hAnsi="Arial"/>
          <w:sz w:val="22"/>
          <w:szCs w:val="22"/>
          <w:color w:val="auto"/>
        </w:rPr>
      </w:pPr>
    </w:p>
    <w:p>
      <w:pPr>
        <w:ind w:left="-656" w:right="20" w:firstLine="1305"/>
        <w:spacing w:after="0" w:line="263" w:lineRule="auto"/>
        <w:tabs>
          <w:tab w:leader="none" w:pos="1123"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This Option may be exercised only within the term set out in the Notice of Grant, and may be exercised during such term only in accordance with the Plan and the terms of this Award Agreement.</w:t>
      </w:r>
    </w:p>
    <w:p>
      <w:pPr>
        <w:spacing w:after="0" w:line="168" w:lineRule="exact"/>
        <w:rPr>
          <w:rFonts w:ascii="Arial" w:cs="Arial" w:eastAsia="Arial" w:hAnsi="Arial"/>
          <w:sz w:val="22"/>
          <w:szCs w:val="22"/>
          <w:color w:val="auto"/>
        </w:rPr>
      </w:pPr>
    </w:p>
    <w:p>
      <w:pPr>
        <w:jc w:val="both"/>
        <w:ind w:left="-656" w:firstLine="1305"/>
        <w:spacing w:after="0" w:line="291" w:lineRule="auto"/>
        <w:tabs>
          <w:tab w:leader="none" w:pos="1108"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is exercisable by delivery of a written or electronic exercise notice, </w:t>
      </w:r>
      <w:r>
        <w:rPr>
          <w:rFonts w:ascii="Arial" w:cs="Arial" w:eastAsia="Arial" w:hAnsi="Arial"/>
          <w:sz w:val="19"/>
          <w:szCs w:val="19"/>
          <w:b w:val="1"/>
          <w:bCs w:val="1"/>
          <w:color w:val="auto"/>
        </w:rPr>
        <w:t>[</w:t>
      </w:r>
      <w:r>
        <w:rPr>
          <w:rFonts w:ascii="Arial" w:cs="Arial" w:eastAsia="Arial" w:hAnsi="Arial"/>
          <w:sz w:val="19"/>
          <w:szCs w:val="19"/>
          <w:color w:val="auto"/>
        </w:rPr>
        <w:t>in a form authorized by the Company</w:t>
      </w:r>
      <w:r>
        <w:rPr>
          <w:rFonts w:ascii="Arial" w:cs="Arial" w:eastAsia="Arial" w:hAnsi="Arial"/>
          <w:sz w:val="19"/>
          <w:szCs w:val="19"/>
          <w:b w:val="1"/>
          <w:bCs w:val="1"/>
          <w:color w:val="auto"/>
        </w:rPr>
        <w:t>] [</w:t>
      </w:r>
      <w:r>
        <w:rPr>
          <w:rFonts w:ascii="Arial" w:cs="Arial" w:eastAsia="Arial" w:hAnsi="Arial"/>
          <w:sz w:val="19"/>
          <w:szCs w:val="19"/>
          <w:color w:val="auto"/>
        </w:rPr>
        <w:t xml:space="preserve">in the form attached as </w:t>
      </w:r>
      <w:r>
        <w:rPr>
          <w:rFonts w:ascii="Arial" w:cs="Arial" w:eastAsia="Arial" w:hAnsi="Arial"/>
          <w:sz w:val="19"/>
          <w:szCs w:val="19"/>
          <w:u w:val="single" w:color="auto"/>
          <w:color w:val="auto"/>
        </w:rPr>
        <w:t>Exhibit C</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50" w:lineRule="exact"/>
        <w:rPr>
          <w:sz w:val="20"/>
          <w:szCs w:val="20"/>
          <w:color w:val="auto"/>
        </w:rPr>
      </w:pPr>
    </w:p>
    <w:p>
      <w:pPr>
        <w:ind w:left="4"/>
        <w:spacing w:after="0"/>
        <w:tabs>
          <w:tab w:leader="none" w:pos="503"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w:t>
      </w:r>
      <w:r>
        <w:rPr>
          <w:sz w:val="20"/>
          <w:szCs w:val="20"/>
          <w:color w:val="auto"/>
        </w:rPr>
        <w:tab/>
      </w:r>
      <w:r>
        <w:rPr>
          <w:rFonts w:ascii="Arial" w:cs="Arial" w:eastAsia="Arial" w:hAnsi="Arial"/>
          <w:sz w:val="19"/>
          <w:szCs w:val="19"/>
          <w:u w:val="single" w:color="auto"/>
          <w:color w:val="auto"/>
        </w:rPr>
        <w:t>Fractional Shares</w:t>
      </w:r>
      <w:r>
        <w:rPr>
          <w:rFonts w:ascii="Arial" w:cs="Arial" w:eastAsia="Arial" w:hAnsi="Arial"/>
          <w:sz w:val="19"/>
          <w:szCs w:val="19"/>
          <w:color w:val="auto"/>
        </w:rPr>
        <w:t>. The Company shall not be required to issue fractional Shares upon the exercise of the Option.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56" w:firstLine="656"/>
        <w:spacing w:after="0" w:line="260" w:lineRule="auto"/>
        <w:tabs>
          <w:tab w:leader="none" w:pos="33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xml:space="preserve">. Payment of the aggregate Exercise Price will be by any of the following, or a combination thereof, at the election of Participant, unless otherwise provided in the Additional Terms and Conditions of Stock Option Grant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1104" w:hanging="455"/>
        <w:spacing w:after="0"/>
        <w:tabs>
          <w:tab w:leader="none" w:pos="1104" w:val="left"/>
        </w:tabs>
        <w:numPr>
          <w:ilvl w:val="1"/>
          <w:numId w:val="93"/>
        </w:numPr>
        <w:rPr>
          <w:rFonts w:ascii="Arial" w:cs="Arial" w:eastAsia="Arial" w:hAnsi="Arial"/>
          <w:sz w:val="22"/>
          <w:szCs w:val="22"/>
          <w:color w:val="auto"/>
        </w:rPr>
      </w:pPr>
      <w:r>
        <w:rPr>
          <w:rFonts w:ascii="Arial" w:cs="Arial" w:eastAsia="Arial" w:hAnsi="Arial"/>
          <w:sz w:val="22"/>
          <w:szCs w:val="22"/>
          <w:color w:val="auto"/>
        </w:rPr>
        <w:t>cash;</w:t>
      </w:r>
    </w:p>
    <w:p>
      <w:pPr>
        <w:spacing w:after="0" w:line="219" w:lineRule="exact"/>
        <w:rPr>
          <w:rFonts w:ascii="Arial" w:cs="Arial" w:eastAsia="Arial" w:hAnsi="Arial"/>
          <w:sz w:val="22"/>
          <w:szCs w:val="22"/>
          <w:color w:val="auto"/>
        </w:rPr>
      </w:pPr>
    </w:p>
    <w:p>
      <w:pPr>
        <w:ind w:left="1124" w:hanging="475"/>
        <w:spacing w:after="0"/>
        <w:tabs>
          <w:tab w:leader="none" w:pos="1124" w:val="left"/>
        </w:tabs>
        <w:numPr>
          <w:ilvl w:val="1"/>
          <w:numId w:val="93"/>
        </w:numPr>
        <w:rPr>
          <w:rFonts w:ascii="Arial" w:cs="Arial" w:eastAsia="Arial" w:hAnsi="Arial"/>
          <w:sz w:val="22"/>
          <w:szCs w:val="22"/>
          <w:color w:val="auto"/>
        </w:rPr>
      </w:pPr>
      <w:r>
        <w:rPr>
          <w:rFonts w:ascii="Arial" w:cs="Arial" w:eastAsia="Arial" w:hAnsi="Arial"/>
          <w:sz w:val="22"/>
          <w:szCs w:val="22"/>
          <w:color w:val="auto"/>
        </w:rPr>
        <w:t>check;</w:t>
      </w:r>
    </w:p>
    <w:p>
      <w:pPr>
        <w:spacing w:after="0" w:line="219" w:lineRule="exact"/>
        <w:rPr>
          <w:rFonts w:ascii="Arial" w:cs="Arial" w:eastAsia="Arial" w:hAnsi="Arial"/>
          <w:sz w:val="22"/>
          <w:szCs w:val="22"/>
          <w:color w:val="auto"/>
        </w:rPr>
      </w:pPr>
    </w:p>
    <w:p>
      <w:pPr>
        <w:ind w:left="-656" w:firstLine="1305"/>
        <w:spacing w:after="0" w:line="263" w:lineRule="auto"/>
        <w:tabs>
          <w:tab w:leader="none" w:pos="1128" w:val="left"/>
        </w:tabs>
        <w:numPr>
          <w:ilvl w:val="1"/>
          <w:numId w:val="93"/>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4" w:lineRule="exact"/>
        <w:rPr>
          <w:rFonts w:ascii="Arial" w:cs="Arial" w:eastAsia="Arial" w:hAnsi="Arial"/>
          <w:sz w:val="22"/>
          <w:szCs w:val="22"/>
          <w:color w:val="auto"/>
        </w:rPr>
      </w:pPr>
    </w:p>
    <w:p>
      <w:pPr>
        <w:jc w:val="both"/>
        <w:ind w:left="-656" w:firstLine="1305"/>
        <w:spacing w:after="0" w:line="250" w:lineRule="auto"/>
        <w:tabs>
          <w:tab w:leader="none" w:pos="1193" w:val="left"/>
        </w:tabs>
        <w:numPr>
          <w:ilvl w:val="1"/>
          <w:numId w:val="93"/>
        </w:numPr>
        <w:rPr>
          <w:rFonts w:ascii="Arial" w:cs="Arial" w:eastAsia="Arial" w:hAnsi="Arial"/>
          <w:sz w:val="22"/>
          <w:szCs w:val="22"/>
          <w:color w:val="auto"/>
        </w:rPr>
      </w:pPr>
      <w:r>
        <w:rPr>
          <w:rFonts w:ascii="Arial" w:cs="Arial" w:eastAsia="Arial" w:hAnsi="Arial"/>
          <w:sz w:val="22"/>
          <w:szCs w:val="22"/>
          <w:color w:val="auto"/>
        </w:rPr>
        <w:t>for Participants located in the U.S. and to the extent authorized by the Administrator in the sole discretion, surrender of other Shares which have a Fair Market Value on the date of surrender equal to the aggregate Exercise Price of the Exercised Shares, provided that accepting such Shareswill not result in any adverse accounting consequences to the Company, as determined in the sole discretion of the Company.</w:t>
      </w:r>
    </w:p>
    <w:p>
      <w:pPr>
        <w:spacing w:after="0" w:line="188" w:lineRule="exact"/>
        <w:rPr>
          <w:rFonts w:ascii="Arial" w:cs="Arial" w:eastAsia="Arial" w:hAnsi="Arial"/>
          <w:sz w:val="22"/>
          <w:szCs w:val="22"/>
          <w:color w:val="auto"/>
        </w:rPr>
      </w:pPr>
    </w:p>
    <w:p>
      <w:pPr>
        <w:ind w:left="344" w:hanging="344"/>
        <w:spacing w:after="0"/>
        <w:tabs>
          <w:tab w:leader="none" w:pos="34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33" w:lineRule="exact"/>
        <w:rPr>
          <w:rFonts w:ascii="Arial" w:cs="Arial" w:eastAsia="Arial" w:hAnsi="Arial"/>
          <w:sz w:val="22"/>
          <w:szCs w:val="22"/>
          <w:color w:val="auto"/>
        </w:rPr>
      </w:pPr>
    </w:p>
    <w:p>
      <w:pPr>
        <w:jc w:val="both"/>
        <w:ind w:left="-656" w:firstLine="1305"/>
        <w:spacing w:after="0" w:line="261" w:lineRule="auto"/>
        <w:tabs>
          <w:tab w:leader="none" w:pos="1137"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w:t>
      </w:r>
    </w:p>
    <w:p>
      <w:pPr>
        <w:spacing w:after="0" w:line="153"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564" w:right="239" w:bottom="1440" w:gutter="0" w:footer="0" w:header="0"/>
        </w:sectPr>
      </w:pPr>
    </w:p>
    <w:bookmarkStart w:id="166" w:name="page167"/>
    <w:bookmarkEnd w:id="166"/>
    <w:p>
      <w:pPr>
        <w:jc w:val="both"/>
        <w:spacing w:after="0" w:line="260" w:lineRule="auto"/>
        <w:rPr>
          <w:sz w:val="20"/>
          <w:szCs w:val="20"/>
          <w:color w:val="auto"/>
        </w:rPr>
      </w:pPr>
      <w:r>
        <w:rPr>
          <w:rFonts w:ascii="Arial" w:cs="Arial" w:eastAsia="Arial" w:hAnsi="Arial"/>
          <w:sz w:val="21"/>
          <w:szCs w:val="21"/>
          <w:color w:val="auto"/>
        </w:rPr>
        <w:t>regarding the treatment of any Tax-Related Items in connection with any aspect of the Option, including, but not limited to, the grant, vesting or exercise of the Option, the issuance of Shares upon the Participant’s exercise of the Option, the subsequent sale of Shares acquired pursuant to such settlement and the receipt of any dividends; and (2)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81" w:lineRule="exact"/>
        <w:rPr>
          <w:sz w:val="20"/>
          <w:szCs w:val="20"/>
          <w:color w:val="auto"/>
        </w:rPr>
      </w:pPr>
    </w:p>
    <w:p>
      <w:pPr>
        <w:jc w:val="both"/>
        <w:ind w:firstLine="1305"/>
        <w:spacing w:after="0" w:line="259" w:lineRule="auto"/>
        <w:tabs>
          <w:tab w:leader="none" w:pos="1802" w:val="left"/>
        </w:tabs>
        <w:numPr>
          <w:ilvl w:val="0"/>
          <w:numId w:val="94"/>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Participant agrees to make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 (i) paying cash; (ii) withholding from wages or other cash compensation paid to Participant by the Company, the Employer and/or any Subsidiary; (iii) withholding from proceeds of the sale of Shares acquired at exercise of the Option either through a voluntary sale or through a mandatory sale arranged by the Company (on Participant’s behalf pursuant to this authorization); or (iv) withholding in Shares to be issued at exercise of the Option, provided that if the Participant is a Section 16 officer of the Company under the Exchange Act, the Administrator must approve withholding in Shares as the method of withholding.</w:t>
      </w:r>
    </w:p>
    <w:p>
      <w:pPr>
        <w:spacing w:after="0" w:line="180" w:lineRule="exact"/>
        <w:rPr>
          <w:rFonts w:ascii="Arial" w:cs="Arial" w:eastAsia="Arial" w:hAnsi="Arial"/>
          <w:sz w:val="21"/>
          <w:szCs w:val="21"/>
          <w:color w:val="auto"/>
        </w:rPr>
      </w:pPr>
    </w:p>
    <w:p>
      <w:pPr>
        <w:jc w:val="both"/>
        <w:ind w:firstLine="1305"/>
        <w:spacing w:after="0" w:line="246" w:lineRule="auto"/>
        <w:tabs>
          <w:tab w:leader="none" w:pos="1891"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statutory withholding rates or other withholding rates, including minimum and maximum rates applicable in the Participant’s jurisdiction(s), in which case Participant may receive a refund of any over-withheld amount in cash and will have no entitlement to the Share equivalent. If the obligation for Tax-Related Items is satisfied by withholding in Shares, for tax purposes, Participant will be deemed to have been issued the full number of Shares subject to the exercised Option, notwithstanding that a number of the shares are held back solely for the purpose of paying the Tax-Related Items due as a result of any aspect of Participant’s participation in the Plan.</w:t>
      </w:r>
    </w:p>
    <w:p>
      <w:pPr>
        <w:spacing w:after="0" w:line="197" w:lineRule="exact"/>
        <w:rPr>
          <w:rFonts w:ascii="Arial" w:cs="Arial" w:eastAsia="Arial" w:hAnsi="Arial"/>
          <w:sz w:val="22"/>
          <w:szCs w:val="22"/>
          <w:color w:val="auto"/>
        </w:rPr>
      </w:pPr>
    </w:p>
    <w:p>
      <w:pPr>
        <w:jc w:val="both"/>
        <w:ind w:firstLine="1305"/>
        <w:spacing w:after="0" w:line="297" w:lineRule="auto"/>
        <w:tabs>
          <w:tab w:leader="none" w:pos="17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in this section. If Participant fails to make satisfactory arrangements for the payment of any required Tax-Related Items obligations hereunder, the Company may refuse to issue or deliver the Shares or the proceeds of the sale of the Shares if Participant fails to comply with these obligations in connection with the Tax-Related Items.</w:t>
      </w:r>
    </w:p>
    <w:p>
      <w:pPr>
        <w:spacing w:after="0" w:line="147" w:lineRule="exact"/>
        <w:rPr>
          <w:sz w:val="20"/>
          <w:szCs w:val="20"/>
          <w:color w:val="auto"/>
        </w:rPr>
      </w:pPr>
    </w:p>
    <w:p>
      <w:pPr>
        <w:jc w:val="both"/>
        <w:ind w:firstLine="1305"/>
        <w:spacing w:after="0" w:line="248" w:lineRule="auto"/>
        <w:tabs>
          <w:tab w:leader="none" w:pos="1778"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92" w:lineRule="exact"/>
        <w:rPr>
          <w:rFonts w:ascii="Arial" w:cs="Arial" w:eastAsia="Arial" w:hAnsi="Arial"/>
          <w:sz w:val="22"/>
          <w:szCs w:val="22"/>
          <w:color w:val="auto"/>
        </w:rPr>
      </w:pPr>
    </w:p>
    <w:p>
      <w:pPr>
        <w:jc w:val="both"/>
        <w:ind w:firstLine="656"/>
        <w:spacing w:after="0" w:line="254" w:lineRule="auto"/>
        <w:tabs>
          <w:tab w:leader="none" w:pos="1058"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167" w:name="page168"/>
    <w:bookmarkEnd w:id="167"/>
    <w:p>
      <w:pPr>
        <w:spacing w:after="0" w:line="263" w:lineRule="auto"/>
        <w:rPr>
          <w:sz w:val="20"/>
          <w:szCs w:val="20"/>
          <w:color w:val="auto"/>
        </w:rPr>
      </w:pPr>
      <w:r>
        <w:rPr>
          <w:rFonts w:ascii="Arial" w:cs="Arial" w:eastAsia="Arial" w:hAnsi="Arial"/>
          <w:sz w:val="22"/>
          <w:szCs w:val="22"/>
          <w:color w:val="auto"/>
        </w:rPr>
        <w:t>After such issuance, recordation and delivery, Participant will have all the rights of a stockholder of the Company with respect to voting such Shares and receipt of dividends and distributions on such Shares.</w:t>
      </w:r>
    </w:p>
    <w:p>
      <w:pPr>
        <w:spacing w:after="0" w:line="175" w:lineRule="exact"/>
        <w:rPr>
          <w:sz w:val="20"/>
          <w:szCs w:val="20"/>
          <w:color w:val="auto"/>
        </w:rPr>
      </w:pPr>
    </w:p>
    <w:p>
      <w:pPr>
        <w:jc w:val="both"/>
        <w:ind w:firstLine="656"/>
        <w:spacing w:after="0" w:line="260" w:lineRule="auto"/>
        <w:tabs>
          <w:tab w:leader="none" w:pos="1031" w:val="left"/>
        </w:tabs>
        <w:numPr>
          <w:ilvl w:val="0"/>
          <w:numId w:val="97"/>
        </w:numPr>
        <w:rPr>
          <w:rFonts w:ascii="Arial" w:cs="Arial" w:eastAsia="Arial" w:hAnsi="Arial"/>
          <w:sz w:val="21"/>
          <w:szCs w:val="21"/>
          <w:color w:val="auto"/>
        </w:rPr>
      </w:pPr>
      <w:r>
        <w:rPr>
          <w:rFonts w:ascii="Arial" w:cs="Arial" w:eastAsia="Arial" w:hAnsi="Arial"/>
          <w:sz w:val="21"/>
          <w:szCs w:val="21"/>
          <w:color w:val="auto"/>
        </w:rPr>
        <w:t>No Guarantee of Continued Service. PARTICIPANT ACKNOWLEDGES AND AGREES THAT THE VESTING OF THE OPTION PURSUANT TO THE VESTING SCHEDULE HEREOF IS EARNED ONLY BY CONTINUING AS AN ACTIVE SERVICE PROVIDER,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84" w:lineRule="exact"/>
        <w:rPr>
          <w:rFonts w:ascii="Arial" w:cs="Arial" w:eastAsia="Arial" w:hAnsi="Arial"/>
          <w:sz w:val="21"/>
          <w:szCs w:val="21"/>
          <w:color w:val="auto"/>
        </w:rPr>
      </w:pPr>
    </w:p>
    <w:p>
      <w:pPr>
        <w:ind w:left="1000" w:hanging="344"/>
        <w:spacing w:after="0"/>
        <w:tabs>
          <w:tab w:leader="none" w:pos="100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the Option, Participant acknowledges, understands and agrees to the following:</w:t>
      </w:r>
    </w:p>
    <w:p>
      <w:pPr>
        <w:spacing w:after="0" w:line="245" w:lineRule="exact"/>
        <w:rPr>
          <w:sz w:val="20"/>
          <w:szCs w:val="20"/>
          <w:color w:val="auto"/>
        </w:rPr>
      </w:pPr>
    </w:p>
    <w:p>
      <w:pPr>
        <w:jc w:val="both"/>
        <w:ind w:firstLine="656"/>
        <w:spacing w:after="0" w:line="253" w:lineRule="auto"/>
        <w:tabs>
          <w:tab w:leader="none" w:pos="1223"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Participant expressly warrants that Participant has received an Option under the Plan and has received, read, and understood a description of the Plan; the Plan is established voluntarily by the Company, it is discretionary in nature, and it may be amended, suspended or terminated by the Company at any time;</w:t>
      </w:r>
    </w:p>
    <w:p>
      <w:pPr>
        <w:spacing w:after="0" w:line="185" w:lineRule="exact"/>
        <w:rPr>
          <w:rFonts w:ascii="Arial" w:cs="Arial" w:eastAsia="Arial" w:hAnsi="Arial"/>
          <w:sz w:val="22"/>
          <w:szCs w:val="22"/>
          <w:color w:val="auto"/>
        </w:rPr>
      </w:pPr>
    </w:p>
    <w:p>
      <w:pPr>
        <w:ind w:firstLine="656"/>
        <w:spacing w:after="0" w:line="287" w:lineRule="auto"/>
        <w:tabs>
          <w:tab w:leader="none" w:pos="116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1" w:lineRule="exact"/>
        <w:rPr>
          <w:rFonts w:ascii="Arial" w:cs="Arial" w:eastAsia="Arial" w:hAnsi="Arial"/>
          <w:sz w:val="21"/>
          <w:szCs w:val="21"/>
          <w:color w:val="auto"/>
        </w:rPr>
      </w:pPr>
    </w:p>
    <w:p>
      <w:pPr>
        <w:ind w:left="1120" w:hanging="464"/>
        <w:spacing w:after="0"/>
        <w:tabs>
          <w:tab w:leader="none" w:pos="11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all decisions with respect to future option grants, if any, will be at the sole discretion of the Company;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19" w:lineRule="exact"/>
        <w:rPr>
          <w:rFonts w:ascii="Arial" w:cs="Arial" w:eastAsia="Arial" w:hAnsi="Arial"/>
          <w:sz w:val="22"/>
          <w:szCs w:val="22"/>
          <w:color w:val="auto"/>
        </w:rPr>
      </w:pPr>
    </w:p>
    <w:p>
      <w:pPr>
        <w:ind w:firstLine="656"/>
        <w:spacing w:after="0" w:line="343" w:lineRule="auto"/>
        <w:tabs>
          <w:tab w:leader="none" w:pos="1134"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Participant’s participation in the Plan shall not create a right to employment with the Employer and shall not interfere with the ability of the Employer to terminate Participant’s employment or relationship as a Service Provider at any time;</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1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Option and any Shares subject to the Option are extraordinary items that do not constitute compensation of any kind for services of any kind rendered to the Company or the Employer, and are outside the scope of Participant’s employment or service contract, if any;</w:t>
      </w:r>
    </w:p>
    <w:p>
      <w:pPr>
        <w:spacing w:after="0" w:line="185" w:lineRule="exact"/>
        <w:rPr>
          <w:rFonts w:ascii="Arial" w:cs="Arial" w:eastAsia="Arial" w:hAnsi="Arial"/>
          <w:sz w:val="22"/>
          <w:szCs w:val="22"/>
          <w:color w:val="auto"/>
        </w:rPr>
      </w:pPr>
    </w:p>
    <w:p>
      <w:pPr>
        <w:ind w:right="20" w:firstLine="656"/>
        <w:spacing w:after="0" w:line="263" w:lineRule="auto"/>
        <w:tabs>
          <w:tab w:leader="none" w:pos="1178"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Option and the Shares subject to the Option, and the income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141"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Option and the Shares subject to the Option and the income and value of same, are not part of normal or expected compensation or salary for any purposes, including, but not limited to, calculating any severance, resignation, termination, redundancy, dismissal, end of service payments, bonuses, long-service awards, leave-related payments, holiday pay, pension or retirement or welfare benefits or similar mandatory payments, and in no event should be considered as compensation for, or relating in any way to, past services for the Company, the Employer, or any Parent or Subsidiaryp</w:t>
      </w:r>
    </w:p>
    <w:p>
      <w:pPr>
        <w:spacing w:after="0" w:line="1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168" w:name="page169"/>
    <w:bookmarkEnd w:id="168"/>
    <w:p>
      <w:pPr>
        <w:ind w:firstLine="656"/>
        <w:spacing w:after="0" w:line="263" w:lineRule="auto"/>
        <w:tabs>
          <w:tab w:leader="none" w:pos="1212"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Option and Participant’s participation in the Plan will not be interpreted to form an employment contract or relationship with the Company or any Parent or Subsidiary of the Company;</w:t>
      </w:r>
    </w:p>
    <w:p>
      <w:pPr>
        <w:spacing w:after="0" w:line="174" w:lineRule="exact"/>
        <w:rPr>
          <w:rFonts w:ascii="Arial" w:cs="Arial" w:eastAsia="Arial" w:hAnsi="Arial"/>
          <w:sz w:val="22"/>
          <w:szCs w:val="22"/>
          <w:color w:val="auto"/>
        </w:rPr>
      </w:pPr>
    </w:p>
    <w:p>
      <w:pPr>
        <w:ind w:left="1240" w:hanging="584"/>
        <w:spacing w:after="0"/>
        <w:tabs>
          <w:tab w:leader="none" w:pos="12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future value of the Shares underlying the Option is unknown, indeterminable and cannot be predicted with</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certainty;</w:t>
      </w:r>
    </w:p>
    <w:p>
      <w:pPr>
        <w:spacing w:after="0" w:line="201" w:lineRule="exact"/>
        <w:rPr>
          <w:rFonts w:ascii="Arial" w:cs="Arial" w:eastAsia="Arial" w:hAnsi="Arial"/>
          <w:sz w:val="21"/>
          <w:szCs w:val="21"/>
          <w:color w:val="auto"/>
        </w:rPr>
      </w:pPr>
    </w:p>
    <w:p>
      <w:pPr>
        <w:jc w:val="both"/>
        <w:ind w:firstLine="656"/>
        <w:spacing w:after="0" w:line="253" w:lineRule="auto"/>
        <w:tabs>
          <w:tab w:leader="none" w:pos="1173" w:val="left"/>
        </w:tabs>
        <w:numPr>
          <w:ilvl w:val="0"/>
          <w:numId w:val="99"/>
        </w:numPr>
        <w:rPr>
          <w:rFonts w:ascii="Arial" w:cs="Arial" w:eastAsia="Arial" w:hAnsi="Arial"/>
          <w:sz w:val="22"/>
          <w:szCs w:val="22"/>
          <w:color w:val="auto"/>
        </w:rPr>
      </w:pPr>
      <w:r>
        <w:rPr>
          <w:rFonts w:ascii="Arial" w:cs="Arial" w:eastAsia="Arial" w:hAnsi="Arial"/>
          <w:sz w:val="22"/>
          <w:szCs w:val="22"/>
          <w:color w:val="auto"/>
        </w:rPr>
        <w:t>unless otherwise agreed with the Company, the Option and the Shares subject to the Option, and the income and value of same, are not granted as consideration for, or in connection with, the service Participant may provide as a director of any Parentt or Subsidiary;</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068"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Option resulting from termination of Participant’s status as a Service Provider (regardless of the reason for the termination and whether or not later found to be invalid or in breach of employment laws in the jurisdiction where Participant is employed or rendering services or the terms of Participant’s employment or service agreement, if any);</w:t>
      </w:r>
    </w:p>
    <w:p>
      <w:pPr>
        <w:spacing w:after="0" w:line="188" w:lineRule="exact"/>
        <w:rPr>
          <w:rFonts w:ascii="Arial" w:cs="Arial" w:eastAsia="Arial" w:hAnsi="Arial"/>
          <w:sz w:val="22"/>
          <w:szCs w:val="22"/>
          <w:color w:val="auto"/>
        </w:rPr>
      </w:pPr>
    </w:p>
    <w:p>
      <w:pPr>
        <w:jc w:val="both"/>
        <w:ind w:firstLine="656"/>
        <w:spacing w:after="0" w:line="312" w:lineRule="auto"/>
        <w:tabs>
          <w:tab w:leader="none" w:pos="1219" w:val="left"/>
        </w:tabs>
        <w:numPr>
          <w:ilvl w:val="0"/>
          <w:numId w:val="99"/>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Company in its discretion, the Option and the benefits evidenced by this Award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34" w:lineRule="exact"/>
        <w:rPr>
          <w:sz w:val="20"/>
          <w:szCs w:val="20"/>
          <w:color w:val="auto"/>
        </w:rPr>
      </w:pPr>
    </w:p>
    <w:p>
      <w:pPr>
        <w:jc w:val="both"/>
        <w:ind w:firstLine="1305"/>
        <w:spacing w:after="0" w:line="250" w:lineRule="auto"/>
        <w:tabs>
          <w:tab w:leader="none" w:pos="185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Participant acknowledges and agrees that neither the Company, the Employer nor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settlement.</w:t>
      </w:r>
    </w:p>
    <w:p>
      <w:pPr>
        <w:spacing w:after="0" w:line="188" w:lineRule="exact"/>
        <w:rPr>
          <w:rFonts w:ascii="Arial" w:cs="Arial" w:eastAsia="Arial" w:hAnsi="Arial"/>
          <w:sz w:val="22"/>
          <w:szCs w:val="22"/>
          <w:color w:val="auto"/>
        </w:rPr>
      </w:pPr>
    </w:p>
    <w:p>
      <w:pPr>
        <w:jc w:val="both"/>
        <w:ind w:firstLine="656"/>
        <w:spacing w:after="0" w:line="270" w:lineRule="auto"/>
        <w:tabs>
          <w:tab w:leader="none" w:pos="1166"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understands and agrees he or she should consult with his or her own tax, legal, and financial consultants regarding Participant’s participation in the Plan before taking any action related to the Plan.</w:t>
      </w:r>
    </w:p>
    <w:p>
      <w:pPr>
        <w:spacing w:after="0" w:line="169" w:lineRule="exact"/>
        <w:rPr>
          <w:rFonts w:ascii="Arial" w:cs="Arial" w:eastAsia="Arial" w:hAnsi="Arial"/>
          <w:sz w:val="21"/>
          <w:szCs w:val="21"/>
          <w:color w:val="auto"/>
        </w:rPr>
      </w:pPr>
    </w:p>
    <w:p>
      <w:pPr>
        <w:jc w:val="both"/>
        <w:ind w:firstLine="656"/>
        <w:spacing w:after="0" w:line="270" w:lineRule="auto"/>
        <w:tabs>
          <w:tab w:leader="none" w:pos="1208" w:val="left"/>
        </w:tabs>
        <w:numPr>
          <w:ilvl w:val="0"/>
          <w:numId w:val="10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 Subsidiary for the purpose of implementing, administering and managing Participant’s participation in the Plan.</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Participant understands that Data will be transferred to Charles Schwab &amp; Co., Inc., or such other stock plan service provider as may be selected by the Company in the future, which is assisting</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64" w:right="239" w:bottom="1440" w:gutter="0" w:footer="0" w:header="0"/>
        </w:sectPr>
      </w:pPr>
    </w:p>
    <w:bookmarkStart w:id="169" w:name="page170"/>
    <w:bookmarkEnd w:id="169"/>
    <w:p>
      <w:pPr>
        <w:jc w:val="both"/>
        <w:spacing w:after="0" w:line="285" w:lineRule="auto"/>
        <w:rPr>
          <w:sz w:val="20"/>
          <w:szCs w:val="20"/>
          <w:color w:val="auto"/>
        </w:rPr>
      </w:pPr>
      <w:r>
        <w:rPr>
          <w:rFonts w:ascii="Arial" w:cs="Arial" w:eastAsia="Arial" w:hAnsi="Arial"/>
          <w:sz w:val="19"/>
          <w:szCs w:val="19"/>
          <w:b w:val="1"/>
          <w:bCs w:val="1"/>
          <w:i w:val="1"/>
          <w:iCs w:val="1"/>
          <w:color w:val="auto"/>
        </w:rPr>
        <w:t>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or service and career with the Employer will not be affected; the only consequence of refusing or withdrawing Participant’s consent is that the Company would not be able to grant Participant options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2" w:lineRule="exact"/>
        <w:rPr>
          <w:sz w:val="20"/>
          <w:szCs w:val="20"/>
          <w:color w:val="auto"/>
        </w:rPr>
      </w:pPr>
    </w:p>
    <w:p>
      <w:pPr>
        <w:jc w:val="both"/>
        <w:ind w:firstLine="656"/>
        <w:spacing w:after="0" w:line="260" w:lineRule="auto"/>
        <w:tabs>
          <w:tab w:leader="none" w:pos="1233"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in care of Stock Administration at Fortinet, Inc., 899 Kifer Road, Sunnyvale, CA 94086, or at such other address as the Company may hereafter designate in writing.</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9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otherwise than by will or by the laws of descent or distribution and may be exercised during the lifetime of Participant only by Participant.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28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7" w:lineRule="exact"/>
        <w:rPr>
          <w:rFonts w:ascii="Arial" w:cs="Arial" w:eastAsia="Arial" w:hAnsi="Arial"/>
          <w:sz w:val="22"/>
          <w:szCs w:val="22"/>
          <w:color w:val="auto"/>
        </w:rPr>
      </w:pPr>
    </w:p>
    <w:p>
      <w:pPr>
        <w:jc w:val="both"/>
        <w:ind w:firstLine="656"/>
        <w:spacing w:after="0" w:line="262" w:lineRule="auto"/>
        <w:tabs>
          <w:tab w:leader="none" w:pos="1139"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Additional Conditions to Issuance of Stock</w:t>
      </w:r>
      <w:r>
        <w:rPr>
          <w:rFonts w:ascii="Arial" w:cs="Arial" w:eastAsia="Arial" w:hAnsi="Arial"/>
          <w:sz w:val="21"/>
          <w:szCs w:val="21"/>
          <w:color w:val="auto"/>
        </w:rPr>
        <w:t>. If at any time the Company determines,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 unless and until such listing, registration, qualification, consent or approval will have been effected or obtained free of any conditions not acceptable to the Company. Assuming such compliance, for U.S. income tax purposes the Exercised Shares will be considered transferred to Participant on the date the Option is exercised with respect to such Exercised Shares.</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64" w:right="239" w:bottom="1440" w:gutter="0" w:footer="0" w:header="0"/>
        </w:sectPr>
      </w:pPr>
    </w:p>
    <w:bookmarkStart w:id="170" w:name="page171"/>
    <w:bookmarkEnd w:id="170"/>
    <w:p>
      <w:pPr>
        <w:jc w:val="both"/>
        <w:ind w:left="-656" w:firstLine="656"/>
        <w:spacing w:after="0" w:line="320" w:lineRule="auto"/>
        <w:tabs>
          <w:tab w:leader="none" w:pos="537"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25" w:lineRule="exact"/>
        <w:rPr>
          <w:rFonts w:ascii="Arial" w:cs="Arial" w:eastAsia="Arial" w:hAnsi="Arial"/>
          <w:sz w:val="19"/>
          <w:szCs w:val="19"/>
          <w:color w:val="auto"/>
        </w:rPr>
      </w:pPr>
    </w:p>
    <w:p>
      <w:pPr>
        <w:jc w:val="both"/>
        <w:ind w:left="-656" w:firstLine="656"/>
        <w:spacing w:after="0" w:line="297" w:lineRule="auto"/>
        <w:tabs>
          <w:tab w:leader="none" w:pos="44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46" w:lineRule="exact"/>
        <w:rPr>
          <w:rFonts w:ascii="Arial" w:cs="Arial" w:eastAsia="Arial" w:hAnsi="Arial"/>
          <w:sz w:val="19"/>
          <w:szCs w:val="19"/>
          <w:color w:val="auto"/>
        </w:rPr>
      </w:pPr>
    </w:p>
    <w:p>
      <w:pPr>
        <w:jc w:val="both"/>
        <w:ind w:left="-656" w:firstLine="656"/>
        <w:spacing w:after="0" w:line="251" w:lineRule="auto"/>
        <w:tabs>
          <w:tab w:leader="none" w:pos="48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9" w:lineRule="exact"/>
        <w:rPr>
          <w:rFonts w:ascii="Arial" w:cs="Arial" w:eastAsia="Arial" w:hAnsi="Arial"/>
          <w:sz w:val="22"/>
          <w:szCs w:val="22"/>
          <w:color w:val="auto"/>
        </w:rPr>
      </w:pPr>
    </w:p>
    <w:p>
      <w:pPr>
        <w:ind w:left="-656" w:firstLine="656"/>
        <w:spacing w:after="0" w:line="276" w:lineRule="auto"/>
        <w:tabs>
          <w:tab w:leader="none" w:pos="56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60" w:lineRule="exact"/>
        <w:rPr>
          <w:rFonts w:ascii="Arial" w:cs="Arial" w:eastAsia="Arial" w:hAnsi="Arial"/>
          <w:sz w:val="22"/>
          <w:szCs w:val="22"/>
          <w:color w:val="auto"/>
        </w:rPr>
      </w:pPr>
    </w:p>
    <w:p>
      <w:pPr>
        <w:jc w:val="both"/>
        <w:ind w:left="-656" w:firstLine="656"/>
        <w:spacing w:after="0" w:line="260" w:lineRule="auto"/>
        <w:tabs>
          <w:tab w:leader="none" w:pos="46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77" w:lineRule="exact"/>
        <w:rPr>
          <w:rFonts w:ascii="Arial" w:cs="Arial" w:eastAsia="Arial" w:hAnsi="Arial"/>
          <w:sz w:val="22"/>
          <w:szCs w:val="22"/>
          <w:color w:val="auto"/>
        </w:rPr>
      </w:pPr>
    </w:p>
    <w:p>
      <w:pPr>
        <w:jc w:val="both"/>
        <w:ind w:left="-656" w:firstLine="656"/>
        <w:spacing w:after="0" w:line="260" w:lineRule="auto"/>
        <w:tabs>
          <w:tab w:leader="none" w:pos="55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xml:space="preserve">.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Company may amend the terms of this Award Agreement, provided no amendment or modification that adversely affects the Participant’s rights under the Award in any material way may be made without the Participant’s writtent consent. Notwithstanding anything to the contrary in the Plan or this Award Agreement, the Company reserves the right to revise this Award Agreement as it deems necessary or advisable, in its sole discretion and without the consent of Participant, </w:t>
      </w:r>
      <w:r>
        <w:rPr>
          <w:rFonts w:ascii="Arial" w:cs="Arial" w:eastAsia="Arial" w:hAnsi="Arial"/>
          <w:sz w:val="21"/>
          <w:szCs w:val="21"/>
          <w:u w:val="single" w:color="auto"/>
          <w:color w:val="auto"/>
        </w:rPr>
        <w:t>to the extent necessary or desirable to facilitate compliance with Applicable Laws or</w:t>
      </w:r>
      <w:r>
        <w:rPr>
          <w:rFonts w:ascii="Arial" w:cs="Arial" w:eastAsia="Arial" w:hAnsi="Arial"/>
          <w:sz w:val="21"/>
          <w:szCs w:val="21"/>
          <w:color w:val="auto"/>
        </w:rPr>
        <w:t xml:space="preserve"> to comply with Code Section 409A or to otherwise avoid imposition of any additional tax or income recognition under Section 409A of the Code in connection to this Option.</w:t>
      </w:r>
    </w:p>
    <w:p>
      <w:pPr>
        <w:spacing w:after="0" w:line="184" w:lineRule="exact"/>
        <w:rPr>
          <w:rFonts w:ascii="Arial" w:cs="Arial" w:eastAsia="Arial" w:hAnsi="Arial"/>
          <w:sz w:val="21"/>
          <w:szCs w:val="21"/>
          <w:color w:val="auto"/>
        </w:rPr>
      </w:pPr>
    </w:p>
    <w:p>
      <w:pPr>
        <w:jc w:val="both"/>
        <w:ind w:left="-656" w:firstLine="656"/>
        <w:spacing w:after="0" w:line="320" w:lineRule="auto"/>
        <w:tabs>
          <w:tab w:leader="none" w:pos="44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the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25" w:lineRule="exact"/>
        <w:rPr>
          <w:rFonts w:ascii="Arial" w:cs="Arial" w:eastAsia="Arial" w:hAnsi="Arial"/>
          <w:sz w:val="19"/>
          <w:szCs w:val="19"/>
          <w:color w:val="auto"/>
        </w:rPr>
      </w:pPr>
    </w:p>
    <w:p>
      <w:pPr>
        <w:jc w:val="both"/>
        <w:ind w:left="-656" w:firstLine="656"/>
        <w:spacing w:after="0" w:line="254" w:lineRule="auto"/>
        <w:tabs>
          <w:tab w:leader="none" w:pos="55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This Award Agreement will be governed by, and subject to, the laws of the State of California, without giving effect to the conflict of law principles thereof. For purposes of litigating any dispute that arises under the Option or this Award Agreement, the parties hereby submit to and consent to the jurisdiction of the State of California</w:t>
      </w:r>
      <w:r>
        <w:rPr>
          <w:rFonts w:ascii="Arial" w:cs="Arial" w:eastAsia="Arial" w:hAnsi="Arial"/>
          <w:sz w:val="22"/>
          <w:szCs w:val="22"/>
          <w:b w:val="1"/>
          <w:bCs w:val="1"/>
          <w:color w:val="auto"/>
        </w:rPr>
        <w:t>,</w:t>
      </w:r>
      <w:r>
        <w:rPr>
          <w:rFonts w:ascii="Arial" w:cs="Arial" w:eastAsia="Arial" w:hAnsi="Arial"/>
          <w:sz w:val="22"/>
          <w:szCs w:val="22"/>
          <w:color w:val="auto"/>
        </w:rPr>
        <w:t xml:space="preserve"> and agree that such litigation</w:t>
      </w:r>
    </w:p>
    <w:p>
      <w:pPr>
        <w:spacing w:after="0" w:line="158"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564" w:right="239" w:bottom="1440" w:gutter="0" w:footer="0" w:header="0"/>
        </w:sectPr>
      </w:pPr>
    </w:p>
    <w:bookmarkStart w:id="171" w:name="page172"/>
    <w:bookmarkEnd w:id="171"/>
    <w:p>
      <w:pPr>
        <w:spacing w:after="0" w:line="269" w:lineRule="auto"/>
        <w:rPr>
          <w:sz w:val="20"/>
          <w:szCs w:val="20"/>
          <w:color w:val="auto"/>
        </w:rPr>
      </w:pPr>
      <w:r>
        <w:rPr>
          <w:rFonts w:ascii="Arial" w:cs="Arial" w:eastAsia="Arial" w:hAnsi="Arial"/>
          <w:sz w:val="22"/>
          <w:szCs w:val="22"/>
          <w:color w:val="auto"/>
        </w:rPr>
        <w:t>will be conducted in the courts of Santa Clara County, California</w:t>
      </w:r>
      <w:r>
        <w:rPr>
          <w:rFonts w:ascii="Arial" w:cs="Arial" w:eastAsia="Arial" w:hAnsi="Arial"/>
          <w:sz w:val="22"/>
          <w:szCs w:val="22"/>
          <w:b w:val="1"/>
          <w:bCs w:val="1"/>
          <w:color w:val="auto"/>
        </w:rPr>
        <w:t>,</w:t>
      </w:r>
      <w:r>
        <w:rPr>
          <w:rFonts w:ascii="Arial" w:cs="Arial" w:eastAsia="Arial" w:hAnsi="Arial"/>
          <w:sz w:val="22"/>
          <w:szCs w:val="22"/>
          <w:color w:val="auto"/>
        </w:rPr>
        <w:t xml:space="preserve"> or the federal courts for the United States for the Northern District of California, and no other courts, where this grant is made and/or to be performed.</w:t>
      </w:r>
    </w:p>
    <w:p>
      <w:pPr>
        <w:spacing w:after="0" w:line="168" w:lineRule="exact"/>
        <w:rPr>
          <w:sz w:val="20"/>
          <w:szCs w:val="20"/>
          <w:color w:val="auto"/>
        </w:rPr>
      </w:pPr>
    </w:p>
    <w:p>
      <w:pPr>
        <w:jc w:val="both"/>
        <w:ind w:firstLine="656"/>
        <w:spacing w:after="0" w:line="251" w:lineRule="auto"/>
        <w:tabs>
          <w:tab w:leader="none" w:pos="1193"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Participant acknowledges that he or she is proficient in the English language, or has consulted with an advisor who is sufficiently proficient in English, so as to allow Participant to understand the terms and conditions of this Award Agreement. If Participant has received this Award Agreement or any other document related to the Option and/or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22"/>
          <w:szCs w:val="22"/>
          <w:color w:val="auto"/>
        </w:rPr>
      </w:pPr>
    </w:p>
    <w:p>
      <w:pPr>
        <w:jc w:val="both"/>
        <w:ind w:firstLine="656"/>
        <w:spacing w:after="0" w:line="262" w:lineRule="auto"/>
        <w:tabs>
          <w:tab w:leader="none" w:pos="1112"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Additional Terms and Conditions of Stock Option Grant</w:t>
      </w:r>
      <w:r>
        <w:rPr>
          <w:rFonts w:ascii="Arial" w:cs="Arial" w:eastAsia="Arial" w:hAnsi="Arial"/>
          <w:sz w:val="21"/>
          <w:szCs w:val="21"/>
          <w:color w:val="auto"/>
        </w:rPr>
        <w:t>. Notwithstanding any provisions in the Terms and Conditions of Stock Option Grant, the Option shall be subject to any special terms and conditions set forth in the Additional Terms and Conditions of Stock Option Grant, attached as Exhibit B, for Participant’s country. Moreover, if Participant relocates to one of the countries included in the Additional Terms and Conditions of Stock Option Grant, the special terms and conditions for such country will apply to Participant, to the extent the Company determines that the application of such terms and conditions is necessary or advisable in order to comply with local law or facilitate the administration of the Plan. The Additional Terms and Conditions of Stock Option Grant constitute part of this Award Agreement.</w:t>
      </w:r>
    </w:p>
    <w:p>
      <w:pPr>
        <w:spacing w:after="0" w:line="180" w:lineRule="exact"/>
        <w:rPr>
          <w:rFonts w:ascii="Arial" w:cs="Arial" w:eastAsia="Arial" w:hAnsi="Arial"/>
          <w:sz w:val="21"/>
          <w:szCs w:val="21"/>
          <w:color w:val="auto"/>
        </w:rPr>
      </w:pPr>
    </w:p>
    <w:p>
      <w:pPr>
        <w:jc w:val="both"/>
        <w:ind w:firstLine="656"/>
        <w:spacing w:after="0" w:line="254" w:lineRule="auto"/>
        <w:tabs>
          <w:tab w:leader="none" w:pos="1193"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5" w:lineRule="exact"/>
        <w:rPr>
          <w:rFonts w:ascii="Arial" w:cs="Arial" w:eastAsia="Arial" w:hAnsi="Arial"/>
          <w:sz w:val="22"/>
          <w:szCs w:val="22"/>
          <w:color w:val="auto"/>
        </w:rPr>
      </w:pPr>
    </w:p>
    <w:p>
      <w:pPr>
        <w:jc w:val="both"/>
        <w:ind w:firstLine="656"/>
        <w:spacing w:after="0" w:line="289" w:lineRule="auto"/>
        <w:tabs>
          <w:tab w:leader="none" w:pos="1247"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Insider Trading / Market Abuse Restrictions</w:t>
      </w:r>
      <w:r>
        <w:rPr>
          <w:rFonts w:ascii="Arial" w:cs="Arial" w:eastAsia="Arial" w:hAnsi="Arial"/>
          <w:sz w:val="19"/>
          <w:szCs w:val="19"/>
          <w:color w:val="auto"/>
        </w:rPr>
        <w:t>. Depending on Participant’s country of residence or the designated broker's country or the country where the Shares are listed, Participant may be subject to insider trading restrictions and/or market abuse laws in applicable jurisdictions, which may affect Participant’s ability to, directly or indirectly, accept, acquire, sell, attempt to sell or otherwise dispose of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the Option) under the Plan during such times as Participant is considered to have “inside information” regarding the Company (as defined by the laws in the applicable jurisdictions or Participant’s country).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Participant is responsible for ensuring Participant’s compliance with any applicable restrictions and is advised to speak with his or her personal legal advisor on this matter.</w:t>
      </w:r>
    </w:p>
    <w:p>
      <w:pPr>
        <w:spacing w:after="0" w:line="158" w:lineRule="exact"/>
        <w:rPr>
          <w:rFonts w:ascii="Arial" w:cs="Arial" w:eastAsia="Arial" w:hAnsi="Arial"/>
          <w:sz w:val="19"/>
          <w:szCs w:val="19"/>
          <w:color w:val="auto"/>
        </w:rPr>
      </w:pPr>
    </w:p>
    <w:p>
      <w:pPr>
        <w:jc w:val="both"/>
        <w:ind w:firstLine="656"/>
        <w:spacing w:after="0" w:line="264" w:lineRule="auto"/>
        <w:tabs>
          <w:tab w:leader="none" w:pos="1098"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Participant’s country, Participant may be subject to foreign asset/account, exchange control and/or tax reporting requirements as a result of the exercise of the Option, the acquisition, holding, and/or transfer of Shares or cash resulting from participation in the Plan and/or the opening and maintenance of a brokerage or bank account in connection with the Plan. Participant may be required to report such assets, accounts, account balances and values and/or related transactions to the applicable authorities in his or her country. Participant acknowledges that he or she is responsible for ensuring compliance with any</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58" w:right="239" w:bottom="1440" w:gutter="0" w:footer="0" w:header="0"/>
        </w:sectPr>
      </w:pPr>
    </w:p>
    <w:bookmarkStart w:id="172" w:name="page173"/>
    <w:bookmarkEnd w:id="172"/>
    <w:p>
      <w:pPr>
        <w:spacing w:after="0" w:line="263" w:lineRule="auto"/>
        <w:rPr>
          <w:sz w:val="20"/>
          <w:szCs w:val="20"/>
          <w:color w:val="auto"/>
        </w:rPr>
      </w:pPr>
      <w:r>
        <w:rPr>
          <w:rFonts w:ascii="Arial" w:cs="Arial" w:eastAsia="Arial" w:hAnsi="Arial"/>
          <w:sz w:val="22"/>
          <w:szCs w:val="22"/>
          <w:color w:val="auto"/>
        </w:rPr>
        <w:t>applicable foreign asset/account, exchange control and tax reporting requirements. Participant further understands that he or she should consult Participant’s personal legal advisor on these matters.</w:t>
      </w:r>
    </w:p>
    <w:p>
      <w:pPr>
        <w:spacing w:after="0" w:line="175" w:lineRule="exact"/>
        <w:rPr>
          <w:sz w:val="20"/>
          <w:szCs w:val="20"/>
          <w:color w:val="auto"/>
        </w:rPr>
      </w:pPr>
    </w:p>
    <w:p>
      <w:pPr>
        <w:jc w:val="both"/>
        <w:ind w:firstLine="656"/>
        <w:spacing w:after="0" w:line="260" w:lineRule="auto"/>
        <w:tabs>
          <w:tab w:leader="none" w:pos="112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77" w:lineRule="exact"/>
        <w:rPr>
          <w:rFonts w:ascii="Arial" w:cs="Arial" w:eastAsia="Arial" w:hAnsi="Arial"/>
          <w:sz w:val="22"/>
          <w:szCs w:val="22"/>
          <w:color w:val="auto"/>
        </w:rPr>
      </w:pPr>
    </w:p>
    <w:p>
      <w:pPr>
        <w:jc w:val="both"/>
        <w:ind w:firstLine="656"/>
        <w:spacing w:after="0" w:line="292" w:lineRule="auto"/>
        <w:tabs>
          <w:tab w:leader="none" w:pos="120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Recovery of Erroneously Awarded Compensation</w:t>
      </w:r>
      <w:r>
        <w:rPr>
          <w:rFonts w:ascii="Arial" w:cs="Arial" w:eastAsia="Arial" w:hAnsi="Arial"/>
          <w:sz w:val="19"/>
          <w:szCs w:val="19"/>
          <w:color w:val="auto"/>
        </w:rPr>
        <w:t>. As an additional condition of receiving this Award, Participant agrees that the Option and any proceeds or other benefits Participant may receive hereunder shall be subject to clawback, recovery or recoupment provisions by the Company to the extent and in the manner required (i) under the terms of any clawback policy adopted by the Company, as may be amended from time to time, pursuant to the listing standards and/or the rules and regulations of any national securities exchange or association on which the Shares are listed, or (ii) to comply with any requirements imposed under Applicable Laws including, without limitation, the Dodd-Frank Wall Street Reform and Consumer Protection Act. Further, as the Committee determines necessary or appropriate, the Committee may impose a reacquisition right with respect to previously-acquired Shares or other cash or property upon the occurrence of cause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64"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STOCK OPTION GRANT</w:t>
      </w:r>
    </w:p>
    <w:p>
      <w:pPr>
        <w:spacing w:after="0" w:line="200" w:lineRule="exact"/>
        <w:rPr>
          <w:sz w:val="20"/>
          <w:szCs w:val="20"/>
          <w:color w:val="auto"/>
        </w:rPr>
      </w:pPr>
    </w:p>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Capitalized terms used but not defined herein shall have the meanings set forth in the Plan, the Notice of Stock Option Grant and/or the Terms and Conditions of Stock Option Grant.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and Conditions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This Exhibit B includes additional terms and conditions that govern the Option granted to Participant under the Plan if Participant resides and/or works in one of the countries listed below. This Exhibit B forms part of the Award Agreement.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Notifications</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Exhibit B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June 2019.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exercises the Option or sells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 European Economic Area Including the 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Authorization to Release and Transfer Necessary Personal Information</w:t>
      </w:r>
      <w:r>
        <w:rPr>
          <w:rFonts w:ascii="Arial" w:cs="Arial" w:eastAsia="Arial" w:hAnsi="Arial"/>
          <w:sz w:val="19"/>
          <w:szCs w:val="19"/>
          <w:color w:val="auto"/>
        </w:rPr>
        <w:t>. This provision replaces in its entirety Section 11 (Data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Privacy) of the Award Agreement:</w:t>
      </w:r>
    </w:p>
    <w:p>
      <w:pPr>
        <w:sectPr>
          <w:pgSz w:w="11900" w:h="16838" w:orient="portrait"/>
          <w:cols w:equalWidth="0" w:num="1">
            <w:col w:w="11420"/>
          </w:cols>
          <w:pgMar w:left="240" w:top="815" w:right="239" w:bottom="1440" w:gutter="0" w:footer="0" w:header="0"/>
        </w:sectPr>
      </w:pPr>
    </w:p>
    <w:bookmarkStart w:id="174" w:name="page175"/>
    <w:bookmarkEnd w:id="174"/>
    <w:p>
      <w:pPr>
        <w:jc w:val="both"/>
        <w:ind w:left="660" w:firstLine="645"/>
        <w:spacing w:after="0" w:line="218" w:lineRule="auto"/>
        <w:tabs>
          <w:tab w:leader="none" w:pos="2176" w:val="left"/>
        </w:tabs>
        <w:numPr>
          <w:ilvl w:val="0"/>
          <w:numId w:val="106"/>
        </w:numPr>
        <w:rPr>
          <w:rFonts w:ascii="Arial" w:cs="Arial" w:eastAsia="Arial" w:hAnsi="Arial"/>
          <w:sz w:val="20"/>
          <w:szCs w:val="20"/>
          <w:color w:val="auto"/>
        </w:rPr>
      </w:pPr>
      <w:r>
        <w:rPr>
          <w:rFonts w:ascii="Arial" w:cs="Arial" w:eastAsia="Arial" w:hAnsi="Arial"/>
          <w:sz w:val="22"/>
          <w:szCs w:val="22"/>
          <w:color w:val="auto"/>
        </w:rPr>
        <w:t>Participant is hereby notified of the collection, use and transfer outside of the European Economic Area, as described in the Award Agreement, in electronic or other form, of Participant’s Data (defined below) by and among, as applicable, the Company and its Subsidiaries for the exclusive and legitimate purpose of implementing, administering and managing Participant’s participation in the Plan.</w:t>
      </w:r>
    </w:p>
    <w:p>
      <w:pPr>
        <w:spacing w:after="0" w:line="201" w:lineRule="exact"/>
        <w:rPr>
          <w:rFonts w:ascii="Arial" w:cs="Arial" w:eastAsia="Arial" w:hAnsi="Arial"/>
          <w:sz w:val="20"/>
          <w:szCs w:val="20"/>
          <w:color w:val="auto"/>
        </w:rPr>
      </w:pPr>
    </w:p>
    <w:p>
      <w:pPr>
        <w:jc w:val="both"/>
        <w:ind w:left="660" w:firstLine="645"/>
        <w:spacing w:after="0" w:line="252" w:lineRule="auto"/>
        <w:tabs>
          <w:tab w:leader="none" w:pos="2187" w:val="left"/>
        </w:tabs>
        <w:numPr>
          <w:ilvl w:val="0"/>
          <w:numId w:val="106"/>
        </w:numPr>
        <w:rPr>
          <w:rFonts w:ascii="Arial" w:cs="Arial" w:eastAsia="Arial" w:hAnsi="Arial"/>
          <w:sz w:val="18"/>
          <w:szCs w:val="18"/>
          <w:color w:val="auto"/>
        </w:rPr>
      </w:pPr>
      <w:r>
        <w:rPr>
          <w:rFonts w:ascii="Arial" w:cs="Arial" w:eastAsia="Arial" w:hAnsi="Arial"/>
          <w:sz w:val="19"/>
          <w:szCs w:val="19"/>
          <w:color w:val="auto"/>
        </w:rPr>
        <w:t>Participant understands that the Company and its Subsidiaries may hold certain personal information about Participant, including, but not limited to, Participant’s name, home address and telephone number, email address, date of birth, social insurance, passport or other identification number, salary, nationality, job title, any shares of stock or directorships held in the Company, details of all entitlement to Shares awarded, canceled, vested, unvested, exercised or outstanding in Participant’s favor (“Data”), for the purpose of implementing, administering and managing the Plan.</w:t>
      </w:r>
    </w:p>
    <w:p>
      <w:pPr>
        <w:spacing w:after="0" w:line="189" w:lineRule="exact"/>
        <w:rPr>
          <w:rFonts w:ascii="Arial" w:cs="Arial" w:eastAsia="Arial" w:hAnsi="Arial"/>
          <w:sz w:val="18"/>
          <w:szCs w:val="18"/>
          <w:color w:val="auto"/>
        </w:rPr>
      </w:pPr>
    </w:p>
    <w:p>
      <w:pPr>
        <w:jc w:val="both"/>
        <w:ind w:left="660" w:firstLine="645"/>
        <w:spacing w:after="0" w:line="224" w:lineRule="auto"/>
        <w:tabs>
          <w:tab w:leader="none" w:pos="2176" w:val="left"/>
        </w:tabs>
        <w:numPr>
          <w:ilvl w:val="0"/>
          <w:numId w:val="106"/>
        </w:numPr>
        <w:rPr>
          <w:rFonts w:ascii="Arial" w:cs="Arial" w:eastAsia="Arial" w:hAnsi="Arial"/>
          <w:sz w:val="19"/>
          <w:szCs w:val="19"/>
          <w:color w:val="auto"/>
        </w:rPr>
      </w:pPr>
      <w:r>
        <w:rPr>
          <w:rFonts w:ascii="Arial" w:cs="Arial" w:eastAsia="Arial" w:hAnsi="Arial"/>
          <w:sz w:val="21"/>
          <w:szCs w:val="21"/>
          <w:color w:val="auto"/>
        </w:rPr>
        <w:t>Participant understands that providing the Company with this Data is necessary for the performance of the Award Agreement and that Participant’s refusal to provide the Data would make it impossible for the Company to perform its contractual obligations and may affect Participant’s ability to participate in the Plan. Participant’s Data will be accessible within the Company as described in the [Fortinet Data Privacy Policy] and only by the persons specifically charged with Data processing operations and by the persons that need to access the Data because of their duties and position in relation to the performance of the Award Agreement.</w:t>
      </w:r>
    </w:p>
    <w:p>
      <w:pPr>
        <w:spacing w:after="0" w:line="200" w:lineRule="exact"/>
        <w:rPr>
          <w:rFonts w:ascii="Arial" w:cs="Arial" w:eastAsia="Arial" w:hAnsi="Arial"/>
          <w:sz w:val="19"/>
          <w:szCs w:val="19"/>
          <w:color w:val="auto"/>
        </w:rPr>
      </w:pPr>
    </w:p>
    <w:p>
      <w:pPr>
        <w:jc w:val="both"/>
        <w:ind w:left="660" w:firstLine="645"/>
        <w:spacing w:after="0" w:line="249" w:lineRule="auto"/>
        <w:tabs>
          <w:tab w:leader="none" w:pos="2187" w:val="left"/>
        </w:tabs>
        <w:numPr>
          <w:ilvl w:val="0"/>
          <w:numId w:val="106"/>
        </w:numPr>
        <w:rPr>
          <w:rFonts w:ascii="Arial" w:cs="Arial" w:eastAsia="Arial" w:hAnsi="Arial"/>
          <w:sz w:val="18"/>
          <w:szCs w:val="18"/>
          <w:color w:val="auto"/>
        </w:rPr>
      </w:pPr>
      <w:r>
        <w:rPr>
          <w:rFonts w:ascii="Arial" w:cs="Arial" w:eastAsia="Arial" w:hAnsi="Arial"/>
          <w:sz w:val="19"/>
          <w:szCs w:val="19"/>
          <w:color w:val="auto"/>
        </w:rPr>
        <w:t>The Company will use Participant’s Data only as long as is necessary to implement, administer and manage Participant’s participation in the Plan or as required to comply with legal or regulatory obligations, including under tax and security laws. When the Company no longer needs Participant’s Data, it will remove it from it from its systems. If the Company keeps data longer, it would be to satisfy legal or regulatory obligations and the Company’s legal basis would be relevant laws or regulations. The collection, use and transfer of Data for the purpose of implementing, administering and managing Participant’s participation in the Plan is conducted in accordance with the [Fortinet Data Privacy Policy].</w:t>
      </w:r>
    </w:p>
    <w:p>
      <w:pPr>
        <w:spacing w:after="0" w:line="193" w:lineRule="exact"/>
        <w:rPr>
          <w:rFonts w:ascii="Arial" w:cs="Arial" w:eastAsia="Arial" w:hAnsi="Arial"/>
          <w:sz w:val="18"/>
          <w:szCs w:val="18"/>
          <w:color w:val="auto"/>
        </w:rPr>
      </w:pPr>
    </w:p>
    <w:p>
      <w:pPr>
        <w:jc w:val="both"/>
        <w:ind w:left="660" w:firstLine="645"/>
        <w:spacing w:after="0" w:line="214" w:lineRule="auto"/>
        <w:tabs>
          <w:tab w:leader="none" w:pos="2176" w:val="left"/>
        </w:tabs>
        <w:numPr>
          <w:ilvl w:val="0"/>
          <w:numId w:val="106"/>
        </w:numPr>
        <w:rPr>
          <w:rFonts w:ascii="Arial" w:cs="Arial" w:eastAsia="Arial" w:hAnsi="Arial"/>
          <w:sz w:val="20"/>
          <w:szCs w:val="20"/>
          <w:color w:val="auto"/>
        </w:rPr>
      </w:pPr>
      <w:r>
        <w:rPr>
          <w:rFonts w:ascii="Arial" w:cs="Arial" w:eastAsia="Arial" w:hAnsi="Arial"/>
          <w:sz w:val="22"/>
          <w:szCs w:val="22"/>
          <w:color w:val="auto"/>
        </w:rPr>
        <w:t>Further, Participant understands that the Company will transfer Data to Charles Schwab &amp; Co., Inc. (“Schwab”), and/or such other third parties as may be selected by the Company, which are assisting the Company with the implementation, administration and management of the Plan. The Company may select a different service provider or additional service providers and share Data with such other provider(s) serving in a similar manner. Participant may be asked to agree on separate terms and data processing practices with the service provider, with such agreement being a condition of the ability to participate in the Plan.</w:t>
      </w:r>
    </w:p>
    <w:p>
      <w:pPr>
        <w:spacing w:after="0" w:line="199" w:lineRule="exact"/>
        <w:rPr>
          <w:rFonts w:ascii="Arial" w:cs="Arial" w:eastAsia="Arial" w:hAnsi="Arial"/>
          <w:sz w:val="20"/>
          <w:szCs w:val="20"/>
          <w:color w:val="auto"/>
        </w:rPr>
      </w:pPr>
    </w:p>
    <w:p>
      <w:pPr>
        <w:jc w:val="both"/>
        <w:ind w:left="660" w:firstLine="645"/>
        <w:spacing w:after="0" w:line="213" w:lineRule="auto"/>
        <w:tabs>
          <w:tab w:leader="none" w:pos="2154" w:val="left"/>
        </w:tabs>
        <w:numPr>
          <w:ilvl w:val="0"/>
          <w:numId w:val="106"/>
        </w:numPr>
        <w:rPr>
          <w:rFonts w:ascii="Arial" w:cs="Arial" w:eastAsia="Arial" w:hAnsi="Arial"/>
          <w:sz w:val="20"/>
          <w:szCs w:val="20"/>
          <w:color w:val="auto"/>
        </w:rPr>
      </w:pPr>
      <w:r>
        <w:rPr>
          <w:rFonts w:ascii="Arial" w:cs="Arial" w:eastAsia="Arial" w:hAnsi="Arial"/>
          <w:sz w:val="22"/>
          <w:szCs w:val="22"/>
          <w:color w:val="auto"/>
        </w:rPr>
        <w:t>Schwab is based in the United States. If Participant is outside of the United States, Participant should note that his or her country has enacted data privacy laws that are different from the United States. When transferring Data to Schwab, the Company and its Subsidiaries provide appropriate safeguards described in the [Fortinet Data Privacy Policy]. By participating in the Plan, Participant agrees to the transfer of his or her Data to Schwab for the exclusive purpose of administering participation in the Plan.</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Finally, Participant may choose to opt out of allowing the Company to share Data with Schwab and others as described above, although execution of such choice may mean the Company cannot grant</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21" w:right="239" w:bottom="1440" w:gutter="0" w:footer="0" w:header="0"/>
        </w:sectPr>
      </w:pPr>
    </w:p>
    <w:bookmarkStart w:id="175" w:name="page176"/>
    <w:bookmarkEnd w:id="175"/>
    <w:p>
      <w:pPr>
        <w:jc w:val="both"/>
        <w:spacing w:after="0" w:line="343" w:lineRule="auto"/>
        <w:rPr>
          <w:sz w:val="20"/>
          <w:szCs w:val="20"/>
          <w:color w:val="auto"/>
        </w:rPr>
      </w:pPr>
      <w:r>
        <w:rPr>
          <w:rFonts w:ascii="Arial" w:cs="Arial" w:eastAsia="Arial" w:hAnsi="Arial"/>
          <w:sz w:val="19"/>
          <w:szCs w:val="19"/>
          <w:color w:val="auto"/>
        </w:rPr>
        <w:t xml:space="preserve">awards under the Plan to Participant. For questions about this choice or to make this choice, you should refer to the [Fortinet Data Privacy Policy] or contact </w:t>
      </w:r>
      <w:r>
        <w:rPr>
          <w:rFonts w:ascii="Arial" w:cs="Arial" w:eastAsia="Arial" w:hAnsi="Arial"/>
          <w:sz w:val="19"/>
          <w:szCs w:val="19"/>
          <w:color w:val="1F497D"/>
        </w:rPr>
        <w:t>[Insert data Privacy department email or other contact]</w:t>
      </w:r>
      <w:r>
        <w:rPr>
          <w:rFonts w:ascii="Arial" w:cs="Arial" w:eastAsia="Arial" w:hAnsi="Arial"/>
          <w:sz w:val="19"/>
          <w:szCs w:val="19"/>
          <w:color w:val="auto"/>
        </w:rPr>
        <w:t xml:space="preserve"> if there are additional questions.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offering of the Option pursuant to the Award Agreement is a private transaction. Neither the Option nor the underlying Shares are publicly offered or listed on any stock exchange in Argentina.</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Following the sale of Shares and/or the receipt of dividends, Argentine residents may be subject to certain restrictions in bringing such funds back into Argentina. Argentine residents are solely responsible for complying with the exchange control rules that may apply in connection with participation in the Plan and/or the transfer of proceeds from the sale of Shares acquired under the Plan into Argentina. Prior to selling any Shares or transferring cash proceeds into Argentina, Argentine residents should consult their local bank and/or exchange control advisor to confirm the requirements as interpretations of the applicable Argentine Central Bank regulations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Foreign Asset/Account Information</w:t>
      </w:r>
      <w:r>
        <w:rPr>
          <w:rFonts w:ascii="Arial" w:cs="Arial" w:eastAsia="Arial" w:hAnsi="Arial"/>
          <w:sz w:val="22"/>
          <w:szCs w:val="22"/>
          <w:color w:val="auto"/>
        </w:rPr>
        <w:t>. If Participant holds Shares as of December 31 of any year, Participant is required to report the holding of the Shares on his or her personal tax return for the relevant year.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Tax Information</w:t>
      </w:r>
      <w:r>
        <w:rPr>
          <w:rFonts w:ascii="Arial" w:cs="Arial" w:eastAsia="Arial" w:hAnsi="Arial"/>
          <w:sz w:val="22"/>
          <w:szCs w:val="22"/>
          <w:color w:val="auto"/>
        </w:rPr>
        <w:t>. The Plan is a plan to which subdivision 83A-C of the Income Tax Assessment Act 1997 (Cth) applies (subject to conditions in the Act).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Exchange control reporting is required for cash transactions exceeding A$10,000 and international fund transfers. The Australian bank assisting with the transaction will file the report. If there is no Australian bank involved in the transfer, then Participant will be required to file the report.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Participant holds Shares acquired under the Plan outside of Austria, Participant must submit a report to the Austrian National Bank. An exemption applies if the value of the Shares as of any given quarter is less than €30,000,000 or as of December 31 is less than €5,000,000. If the former threshold is exceeded, quarterly obligations are imposed, whereas if the latter threshold is exceeded, annual reports must be given. The annual reporting date is December 31 and the deadline for filing the annual report is January 31 of the following year.</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When Participant sells Shares acquired under the Plan or receives a dividend payment, there may be exchange control obligations if the cash proceeds are held outside of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 If the transaction value of all cash accounts abroad is less than €10,000,000, no ongoing reporting requirements apply.</w:t>
      </w:r>
    </w:p>
    <w:p>
      <w:pPr>
        <w:spacing w:after="0" w:line="3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8" w:right="2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Tax Considerations</w:t>
      </w:r>
      <w:r>
        <w:rPr>
          <w:rFonts w:ascii="Arial" w:cs="Arial" w:eastAsia="Arial" w:hAnsi="Arial"/>
          <w:sz w:val="19"/>
          <w:szCs w:val="19"/>
          <w:color w:val="auto"/>
        </w:rPr>
        <w:t>. The Option must be accepted in writing with the time frame set forth and explained in the separate Country Supplement &amp; Undertaking for Participants in Belgium. Participant should refer to the separate Country Supplement &amp; Undertaking for Participants in Belgium for a more detailed description of the tax consequences of choosing to accept the Option. Participant should also consult a personal tax advisor with respect to accepting the Option and completing the additional forms.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Foreign Asset/Account Information</w:t>
      </w:r>
      <w:r>
        <w:rPr>
          <w:rFonts w:ascii="Arial" w:cs="Arial" w:eastAsia="Arial" w:hAnsi="Arial"/>
          <w:sz w:val="22"/>
          <w:szCs w:val="22"/>
          <w:color w:val="auto"/>
        </w:rPr>
        <w:t>. Belgian residents are required to report any security or bank accounts (including brokerage accounts) opened and maintained outside Belgium on his or her annual tax return. In a separate report, they must provide the National Bank of Belgium with certain details regarding such foreign accounts (including the account number, bank name, and country in which such account was opened). The forms to complete this report are available on the website of the National Bank of Belgium.</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Stock Exchange Tax</w:t>
      </w:r>
      <w:r>
        <w:rPr>
          <w:rFonts w:ascii="Arial" w:cs="Arial" w:eastAsia="Arial" w:hAnsi="Arial"/>
          <w:sz w:val="19"/>
          <w:szCs w:val="19"/>
          <w:color w:val="auto"/>
        </w:rPr>
        <w:t>. A stock exchange tax applies to transactions executed by a Belgian resident through a non-Belgian financial intermediary, such as a U.S. broker. The stock exchange tax likely will apply when the Shares are sold. Participant should consult with his or her personal tax advisor for additional details on obligations with respect to the stock exchange tax.</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Brokerage Account Tax</w:t>
      </w:r>
      <w:r>
        <w:rPr>
          <w:rFonts w:ascii="Arial" w:cs="Arial" w:eastAsia="Arial" w:hAnsi="Arial"/>
          <w:sz w:val="19"/>
          <w:szCs w:val="19"/>
          <w:color w:val="auto"/>
        </w:rPr>
        <w:t>. Participant may be subject to a brokerage account tax if the average annual value of securities (including</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Shares acquired under the Plan) held in a brokerage account exceeds certain thresholds. As the calculation of this tax is complex,</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Participant should consult with their personal tax advisor for more details.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By accepting the Option, Participant acknowledges his or her agreement to comply with applicable Brazilian laws and to pay any and all applicable taxes associated with the Option and the sale of Shares acquired under the Plan and the receipt of any dividends.</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By accepting the option, Participant agrees that Participant is (i) making an investment decision, (ii) Shares will be issued to Participant only if the vesting conditions are met and (iii) the value of the underlying Shares is not fixed and may increase or decrease in value over the vesting or exercise period without compensation to Participant.</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Participant is resident or domiciled in Brazil, Participant will be required to submit annually a declaration of assets and rights held outside of Brazil to the Central Bank of Brazil if the aggregate value of such assets and rights is equal to or greater than US$100,000. Assets and rights that must be reported include Shares acquired under the Plan.</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Tax on Financial Transactions (IOF)</w:t>
      </w:r>
      <w:r>
        <w:rPr>
          <w:rFonts w:ascii="Arial" w:cs="Arial" w:eastAsia="Arial" w:hAnsi="Arial"/>
          <w:sz w:val="22"/>
          <w:szCs w:val="22"/>
          <w:color w:val="auto"/>
        </w:rPr>
        <w:t>. Repatriation of funds into Brazil and the conversion between BRL and USD associated with such fund transfers may be subject to the Tax on Financial Transactions. It is Participant’s responsibility to comply with any applicable Tax on Financial Transactions arising from Participant’s participation in the Plan. Participant should consult with his or her personal tax advisor for additional details.</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8" w:right="2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Consent to Receive Information in English for Employees in Quebec</w:t>
      </w:r>
    </w:p>
    <w:p>
      <w:pPr>
        <w:spacing w:after="0" w:line="2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The parties acknowledge that it is their express wish that the Award Agreement, as well as all documents, notices and legal proceeds entered into, given or instituted pursuant hereto or relating directly or indirectly hereto, be drawn up in English.</w:t>
      </w:r>
    </w:p>
    <w:p>
      <w:pPr>
        <w:spacing w:after="0" w:line="16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Involuntary Termination Terms for Option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In the event of involuntary termination of Participant’s employment (whether or not in breach of local labor laws), Participant’s right to continued vesting or to exercise the Option, if any, will terminate effective as of the date that is the earlier of: (1) the date Participant’s status as a Service Provider is terminated, (2) the date Participant receives notice of termination of service from the Employer, or (3) the date the Participant is no longer actively providing service, regardless of any notice period or period of pay in lieu of such notice required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Canadian laws or the terms of the Participant’s employment or service agreement, if any); the Administrator shall have the exclusive discretion to determine when the Participant is no longer actively providing service for purposes of the Option grant (including whether Participant may still be considered to be a Service Provider while on a leave of absence).</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 Notice and Consent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section supplements the “Data Privacy” section of the Terms and Conditions of Stock Option Grant:</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or Subsidiary or designated broker and the administrator of the Plan to disclose and discuss the Plan with their advisors. Participant further authorizes the Company and any Parent or Subsidiary to record such information and to keep such information in Participant’s file.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Option grant constitutes a private offering of securities in Chile effective as of the grant date. This offer of the Option is made subject to general ruling n° 336 of the Chilean Commission for the Financial Market (“CMF”). The offer refers to securities not registered at the securities registry or at the foreign securities registry of the CMF, and, therefore, such securities are not subject to oversight of the CMF. Given that the Options are not registered in Chile, the Company is not required to provide public information about the Option or the Shares in Chile. Unless the Option and/or the Shares are registered with the CMF, a public offering of such securities cannot be made in Chile.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La concesión de la Opción constituye una oferta privada de valores en Chile y se inicia en la fecha de la oferta. Esta oferta de la Opción se acoge a las disposiciones de la Norma de Carácter General Nº</w:t>
      </w:r>
    </w:p>
    <w:p>
      <w:pPr>
        <w:spacing w:after="0" w:line="36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42" w:right="239" w:bottom="1440" w:gutter="0" w:footer="0" w:header="0"/>
        </w:sectPr>
      </w:pPr>
    </w:p>
    <w:bookmarkStart w:id="178" w:name="page179"/>
    <w:bookmarkEnd w:id="178"/>
    <w:p>
      <w:pPr>
        <w:jc w:val="both"/>
        <w:spacing w:after="0" w:line="248" w:lineRule="auto"/>
        <w:rPr>
          <w:sz w:val="20"/>
          <w:szCs w:val="20"/>
          <w:color w:val="auto"/>
        </w:rPr>
      </w:pPr>
      <w:r>
        <w:rPr>
          <w:rFonts w:ascii="Arial" w:cs="Arial" w:eastAsia="Arial" w:hAnsi="Arial"/>
          <w:sz w:val="22"/>
          <w:szCs w:val="22"/>
          <w:i w:val="1"/>
          <w:iCs w:val="1"/>
          <w:color w:val="auto"/>
        </w:rPr>
        <w:t>336 (“NCG 336”) de la Comision para el Mercado Financiero de Chile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 la Compañía de entregar en Chile información pública respecto de los mismos. Estos valores no podrán ser objeto de oferta pública en Chile mientras no sean inscritos en el Registro de Valores correspondiente.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Exchange Control and Tax Information</w:t>
      </w:r>
      <w:r>
        <w:rPr>
          <w:rFonts w:ascii="Arial" w:cs="Arial" w:eastAsia="Arial" w:hAnsi="Arial"/>
          <w:sz w:val="19"/>
          <w:szCs w:val="19"/>
          <w:color w:val="auto"/>
        </w:rPr>
        <w:t>. Participant is not required to repatriate proceeds obtained from the sale of Shares or from dividends to Chile; however, if Participant decides to repatriate proceeds from the sale of Shares and/or dividends and the amount of the proceeds to be repatriated exceeds US$10,000, Participant acknowledges that he or she must effect such repatriation through the Formal Exchange Market (</w:t>
      </w:r>
      <w:r>
        <w:rPr>
          <w:rFonts w:ascii="Arial" w:cs="Arial" w:eastAsia="Arial" w:hAnsi="Arial"/>
          <w:sz w:val="19"/>
          <w:szCs w:val="19"/>
          <w:i w:val="1"/>
          <w:iCs w:val="1"/>
          <w:color w:val="auto"/>
        </w:rPr>
        <w:t>i.e.</w:t>
      </w:r>
      <w:r>
        <w:rPr>
          <w:rFonts w:ascii="Arial" w:cs="Arial" w:eastAsia="Arial" w:hAnsi="Arial"/>
          <w:sz w:val="19"/>
          <w:szCs w:val="19"/>
          <w:color w:val="auto"/>
        </w:rPr>
        <w:t>, a commercial bank or registered foreign exchange office).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Further, if the value of Participant’s aggregate investments held outside of Chile exceed US$5,000,000 (including the value of Shares acquired under the Plan), Participant must report the status of such investments annually to the Central Bank using Annex 3.1 of Chapter XII of the Foreign Exchange Regulations.</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The Chilean Internal Revenue Service (the “CIRS”) requires all taxpayers to provide information annually regarding (i) the results of investments held abroad and (ii) any taxes paid abroad which taxpayers will use as a credit against Chilean income tax. The sworn statements disclosing this information (or Formularios) must be submitted electronically through the CIRS website, www.sii.cl, using Form 1929, which is due on June 30 each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6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u w:val="single" w:color="auto"/>
          <w:color w:val="auto"/>
        </w:rPr>
        <w:t>The following provisions will apply to Participants who are subject to PRC exchange control restrictions, as determined by the Company in its sole discretion</w:t>
      </w:r>
      <w:r>
        <w:rPr>
          <w:rFonts w:ascii="Arial" w:cs="Arial" w:eastAsia="Arial" w:hAnsi="Arial"/>
          <w:sz w:val="22"/>
          <w:szCs w:val="22"/>
          <w:b w:val="1"/>
          <w:bCs w:val="1"/>
          <w:color w:val="auto"/>
        </w:rPr>
        <w:t>:</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Notwithstanding any provision to the contrary in the Terms and Conditions of Stock Option Grant, due to stringent exchange controls and securities restrictions in China,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Exchange Control Information for Participants who are Chinese Nationals</w:t>
      </w:r>
      <w:r>
        <w:rPr>
          <w:rFonts w:ascii="Arial" w:cs="Arial" w:eastAsia="Arial" w:hAnsi="Arial"/>
          <w:sz w:val="22"/>
          <w:szCs w:val="22"/>
          <w:color w:val="auto"/>
        </w:rPr>
        <w:t>. Participant understands and agrees that, to facilitate compliance with exchange control laws in China, Participant may be required to immediately repatriate to China the cash proceeds from the sale of any Shares acquired at and any dividends received.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 and any dividends received in relation to the Shares may be transferred to such special account prior to being delivered to Participant.</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proceeds may be paid to Participant in U.S. dollars or local currency at the Company’s discretion. In the event the proceeds are paid to Participant in U.S. dollars, Participant understands that Participant</w:t>
      </w:r>
    </w:p>
    <w:p>
      <w:pPr>
        <w:spacing w:after="0" w:line="36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48" w:right="239" w:bottom="1440" w:gutter="0" w:footer="0" w:header="0"/>
        </w:sectPr>
      </w:pPr>
    </w:p>
    <w:bookmarkStart w:id="179" w:name="page180"/>
    <w:bookmarkEnd w:id="179"/>
    <w:p>
      <w:pPr>
        <w:jc w:val="both"/>
        <w:spacing w:after="0" w:line="263" w:lineRule="auto"/>
        <w:rPr>
          <w:sz w:val="20"/>
          <w:szCs w:val="20"/>
          <w:color w:val="auto"/>
        </w:rPr>
      </w:pPr>
      <w:r>
        <w:rPr>
          <w:rFonts w:ascii="Arial" w:cs="Arial" w:eastAsia="Arial" w:hAnsi="Arial"/>
          <w:sz w:val="22"/>
          <w:szCs w:val="22"/>
          <w:color w:val="auto"/>
        </w:rPr>
        <w:t>will be required to set up a U.S. dollar bank account in China and provide the bank account details to the Employer and/or the Company so that the proceeds may be deposited into this account.</w:t>
      </w:r>
    </w:p>
    <w:p>
      <w:pPr>
        <w:spacing w:after="0" w:line="175"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Participant agrees to bear any currency fluctuation risk between the time the Shares are sold or dividends or Dividend Equivalents are paid and the time the proceeds are distributed to Participant through any such special account.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 further agrees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Participant is responsible for complying with any and all Colombian foreign exchange restrictions, approvals and reporting requirements in connection with the Option and any Shares acquired or funds received under the Plan. This may include reporting obligations to the Central Bank (Banco de la República). If applicable, Participant will be required to register the investment in Shares with the Central Bank, regardless of the value of the investment. Participant should consult with his or her legal advisor regarding any obligations in connection with this reporting requirement.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Costa Rica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Czech National Bank (“CNB”) may require Participant to fulfill certain notification duties in relation to the opening and maintenance of a foreign account. In addition, Participant may need to report the following even in the absence of a request from the CNB: foreign direct investments with a value of CZK 2,500,000 or more in the aggregate or other foreign financial assets with a value of CZK 200,000,000 or more.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Because exchange control regulations change frequently and without notice, Participant should consult his or her personal legal advisor prior to the sale of Shares to ensure compliance with current regulations. It is Participant’s responsibility to comply with Czech exchange control laws, and neither the Company nor any Parent or Subsidiary will be liable for any resulting fines or penalties.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xml:space="preserve"> If Participant transfers funds into Egypt in connection with the sale of Shares or the receipt of dividends, Participant may be required to do so through a registered bank in Egypt.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48"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u w:val="single" w:color="auto"/>
          <w:color w:val="auto"/>
        </w:rPr>
        <w:t>French Language Provision</w:t>
      </w:r>
      <w:r>
        <w:rPr>
          <w:rFonts w:ascii="Arial" w:cs="Arial" w:eastAsia="Arial" w:hAnsi="Arial"/>
          <w:sz w:val="21"/>
          <w:szCs w:val="21"/>
          <w:color w:val="auto"/>
        </w:rPr>
        <w:t>. By accepting the Award Agreement providing for the terms and conditions of Participant’s grant, Participant confirms having read and understood the documents relating to this grant (the Plan and the Award Agreement) which were provided in English language. Participant accepts the terms of those documents accordingly.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r>
        <w:rPr>
          <w:rFonts w:ascii="Arial" w:cs="Arial" w:eastAsia="Arial" w:hAnsi="Arial"/>
          <w:sz w:val="22"/>
          <w:szCs w:val="22"/>
          <w:color w:val="auto"/>
        </w:rPr>
        <w:t>. The Option is not intended to be French tax-qualified.</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Participant retains Shares acquired under the Plan outside of France or maintains a foreign bank account, Participant is required to report such to the French tax authorities when filing Participant’s annual tax return. Additional monthly reporting obligations may apply if Participant’s foreign account balances exceed €1,000,000.</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Cross-border payments in excess of €12,500 in connection with the sale of securities (including Shares acquired under the Plan) or the receipt of any dividends must be reported monthly to the German Federal Bank. The report must be made by the 5th day of the month following the month in which the payment was received and must be filed electronically. The form of report (“</w:t>
      </w:r>
      <w:r>
        <w:rPr>
          <w:rFonts w:ascii="Arial" w:cs="Arial" w:eastAsia="Arial" w:hAnsi="Arial"/>
          <w:sz w:val="19"/>
          <w:szCs w:val="19"/>
          <w:i w:val="1"/>
          <w:iCs w:val="1"/>
          <w:color w:val="auto"/>
        </w:rPr>
        <w:t>Allgemeine Meldeportal Statistik</w:t>
      </w:r>
      <w:r>
        <w:rPr>
          <w:rFonts w:ascii="Arial" w:cs="Arial" w:eastAsia="Arial" w:hAnsi="Arial"/>
          <w:sz w:val="19"/>
          <w:szCs w:val="19"/>
          <w:color w:val="auto"/>
        </w:rPr>
        <w:t xml:space="preserve">”) can be accessed via the </w:t>
      </w:r>
      <w:r>
        <w:rPr>
          <w:rFonts w:ascii="Arial" w:cs="Arial" w:eastAsia="Arial" w:hAnsi="Arial"/>
          <w:sz w:val="19"/>
          <w:szCs w:val="19"/>
          <w:i w:val="1"/>
          <w:iCs w:val="1"/>
          <w:color w:val="auto"/>
        </w:rPr>
        <w:t>Bundesbank’s</w:t>
      </w:r>
      <w:r>
        <w:rPr>
          <w:rFonts w:ascii="Arial" w:cs="Arial" w:eastAsia="Arial" w:hAnsi="Arial"/>
          <w:sz w:val="19"/>
          <w:szCs w:val="19"/>
          <w:color w:val="auto"/>
        </w:rPr>
        <w:t xml:space="preserve"> website (www.bundesbank.de) and is available in both German and English. Participant is responsible for satisfying the reporting obligation.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 Account Reporting</w:t>
      </w:r>
      <w:r>
        <w:rPr>
          <w:rFonts w:ascii="Arial" w:cs="Arial" w:eastAsia="Arial" w:hAnsi="Arial"/>
          <w:sz w:val="22"/>
          <w:szCs w:val="22"/>
          <w:color w:val="auto"/>
        </w:rPr>
        <w:t>. German residents holding Shares exceeding 1% of the Company’s total share capital, must notify their local tax office of the acquisition of Shares if the acquisition costs for all Shares held exceeds €150,000 or if the resident holds 10% or more in the Company’s total shares of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i w:val="1"/>
          <w:iCs w:val="1"/>
          <w:color w:val="auto"/>
        </w:rPr>
        <w:t>WARNING: The Option and the Shares issued upon exercise do not constitute a public offering of securities under Hong Kong law and are available only to Service Providers of the Company or its Parent, Subsidiaries and Affiliates. The Award Agreement, including this Appendix,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Option is intended only for the personal use of each eligible Service Provider of the Employer, the Company or any Parent, Subsidiary or Affiliate and may not be distributed to any other person. If Participant is in any doubt about any of the contents of the Award Agreement, including this Appendix, or the Plan, Participant should obtain independent professional advice.</w:t>
      </w:r>
    </w:p>
    <w:p>
      <w:pPr>
        <w:spacing w:after="0" w:line="38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42" w:right="239" w:bottom="1440" w:gutter="0" w:footer="0" w:header="0"/>
        </w:sectPr>
      </w:pPr>
    </w:p>
    <w:bookmarkStart w:id="181" w:name="page182"/>
    <w:bookmarkEnd w:id="181"/>
    <w:p>
      <w:pPr>
        <w:jc w:val="both"/>
        <w:spacing w:after="0" w:line="263" w:lineRule="auto"/>
        <w:rPr>
          <w:sz w:val="20"/>
          <w:szCs w:val="20"/>
          <w:color w:val="auto"/>
        </w:rPr>
      </w:pPr>
      <w:r>
        <w:rPr>
          <w:rFonts w:ascii="Arial" w:cs="Arial" w:eastAsia="Arial" w:hAnsi="Arial"/>
          <w:sz w:val="22"/>
          <w:szCs w:val="22"/>
          <w:u w:val="single" w:color="auto"/>
          <w:color w:val="auto"/>
        </w:rPr>
        <w:t>Sale of Shares</w:t>
      </w:r>
      <w:r>
        <w:rPr>
          <w:rFonts w:ascii="Arial" w:cs="Arial" w:eastAsia="Arial" w:hAnsi="Arial"/>
          <w:sz w:val="22"/>
          <w:szCs w:val="22"/>
          <w:color w:val="auto"/>
        </w:rPr>
        <w:t>. If the Option vests within six months of the Date of Grant, Participant agrees that he or she will not exercise the Option and sell the Shares acquired prior to the six-month anniversary of the Date of Grant.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Notwithstanding any provision in the Terms and Conditions of Stock Option Grant, due to exchange control laws that are currently in effect in India, Participant will not be permitted to engage in a “sell to cover” exercise whereby a portion of Shares are sold to cover the Exercise Price, any Tax-Related Items and brokerage fees, and the proceeds are settled in Shares.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Participant must repatriate any cash dividends paid on Shares within one-hundred eighty (180) days and all proceeds received from the sale of Shares to India within ninety (90) days of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is required to declare his or her foreign bank accounts and any foreign financial assets (including Shares held outside India) in Participant’s annual tax return. It is Participant’s responsibility to comply with this reporting obligation and Participant should consult his or her personal advisor in this regard.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Indonesia</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Notwithstanding any provision in the Terms and Conditions of Stock Option Grant, due to securities laws in Indonesia,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Participant remits funds into Indonesia (</w:t>
      </w:r>
      <w:r>
        <w:rPr>
          <w:rFonts w:ascii="Arial" w:cs="Arial" w:eastAsia="Arial" w:hAnsi="Arial"/>
          <w:sz w:val="22"/>
          <w:szCs w:val="22"/>
          <w:i w:val="1"/>
          <w:iCs w:val="1"/>
          <w:color w:val="auto"/>
        </w:rPr>
        <w:t>e.g.</w:t>
      </w:r>
      <w:r>
        <w:rPr>
          <w:rFonts w:ascii="Arial" w:cs="Arial" w:eastAsia="Arial" w:hAnsi="Arial"/>
          <w:sz w:val="22"/>
          <w:szCs w:val="22"/>
          <w:color w:val="auto"/>
        </w:rPr>
        <w:t>, proceeds from the cashless exercise of the Option),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Director Notification Obligation</w:t>
      </w:r>
      <w:r>
        <w:rPr>
          <w:rFonts w:ascii="Arial" w:cs="Arial" w:eastAsia="Arial" w:hAnsi="Arial"/>
          <w:sz w:val="22"/>
          <w:szCs w:val="22"/>
          <w:color w:val="auto"/>
        </w:rPr>
        <w:t>. If Participant is a director, shadow director or secretary of an Irish Parent or Subsidiary, and holds 1% or more of the share capital of the Company, Participant must notify</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48" w:right="239" w:bottom="1440" w:gutter="0" w:footer="0" w:header="0"/>
        </w:sectPr>
      </w:pPr>
    </w:p>
    <w:bookmarkStart w:id="182" w:name="page183"/>
    <w:bookmarkEnd w:id="182"/>
    <w:p>
      <w:pPr>
        <w:jc w:val="both"/>
        <w:spacing w:after="0" w:line="248" w:lineRule="auto"/>
        <w:rPr>
          <w:sz w:val="20"/>
          <w:szCs w:val="20"/>
          <w:color w:val="auto"/>
        </w:rPr>
      </w:pPr>
      <w:r>
        <w:rPr>
          <w:rFonts w:ascii="Arial" w:cs="Arial" w:eastAsia="Arial" w:hAnsi="Arial"/>
          <w:sz w:val="22"/>
          <w:szCs w:val="22"/>
          <w:color w:val="auto"/>
        </w:rPr>
        <w:t>the Irish Parent or Subsidiary in writing within five business days of receiving or disposing of an interest in the Company (</w:t>
      </w:r>
      <w:r>
        <w:rPr>
          <w:rFonts w:ascii="Arial" w:cs="Arial" w:eastAsia="Arial" w:hAnsi="Arial"/>
          <w:sz w:val="22"/>
          <w:szCs w:val="22"/>
          <w:i w:val="1"/>
          <w:iCs w:val="1"/>
          <w:color w:val="auto"/>
        </w:rPr>
        <w:t>e.g.</w:t>
      </w:r>
      <w:r>
        <w:rPr>
          <w:rFonts w:ascii="Arial" w:cs="Arial" w:eastAsia="Arial" w:hAnsi="Arial"/>
          <w:sz w:val="22"/>
          <w:szCs w:val="22"/>
          <w:color w:val="auto"/>
        </w:rPr>
        <w:t>, the Option, Shares,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Israel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if Participant is Located in Israel on the Date of Grant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Trust Arrangement</w:t>
      </w:r>
      <w:r>
        <w:rPr>
          <w:rFonts w:ascii="Arial" w:cs="Arial" w:eastAsia="Arial" w:hAnsi="Arial"/>
          <w:sz w:val="21"/>
          <w:szCs w:val="21"/>
          <w:color w:val="auto"/>
        </w:rPr>
        <w:t>. Participant understands and agrees that the Option is offered subject to and in accordance with the terms of the Plan, the sub-plan to the Plan for Israel (the “Israeli Sub-Plan”), the Trust Agreement (the “Trust Agreement”) between the Company and the Company’s trustee appointed by the Company or its subsidiary or affiliate in Israel, ESOP Trust Company (the “Trustee”), and the Award Agreement. In the event of any inconsistencies between the Israeli Sub-Plan, the Award Agreement and/or the Plan, the Israeli Sub-Plan will govern the Option granted to Participants in Israel.</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Written Acceptance</w:t>
      </w:r>
      <w:r>
        <w:rPr>
          <w:rFonts w:ascii="Arial" w:cs="Arial" w:eastAsia="Arial" w:hAnsi="Arial"/>
          <w:sz w:val="19"/>
          <w:szCs w:val="19"/>
          <w:color w:val="auto"/>
        </w:rPr>
        <w:t>. If Participant has not already executed a Section 102 Capital Gains Award confirmation letter (“Confirmation Letter”) in connection with grants made under the Israeli Sub-Plan to the Plan, Participant must print, sign and deliver a signed copy of the Confirmation Letter within forty five (45) days of the Date of Grant. If Participant does not submit the signed Confirmation Letter within forty five (45) days of the Date of Grant, the Option may not qualify for preferential tax treatment.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The following provision supplements Section 8 of the Award Agreement:</w:t>
      </w: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Option is intended to be 102 Capital Gains Track Grant that qualify for the 102 Capital Gains Track tax treatment. Notwithstanding the foregoing, by accepting the Option, Participant acknowledges that the Company cannot guarantee or represent that the 102 Capital Gains Track tax treatment will apply to the Option.</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By accepting the Option, Participant: (a) acknowledges receipt of and represents that Participant has read and is familiar with the Plan, the Israeli Sub-Plan, and the Award Agreement; (b) accepts the Option subject to all of the terms and conditions of this Award Agreement, the Plan and the Israeli Sub-Plan; and (c) agrees that the Option will be issued to and deposited with the Trustee and shall be held in trust for Participant’s benefit as required by the ITO, the Rules and any approval by the Israeli Tax Authority (“ITA”) pursuant to the terms of the ITO, the Rules and the Trust Agreement. Furthermore, by accepting the Option, Participant confirms that he or she is familiar with the terms and provisions of Section 102 of the ITO, particularly the Capital Gains Track described in subsection (b)(2) and (b)(3) thereof, and agrees that he or she will not require the Trustee to release the Option or Shares to him or her, or to sell the Option or Shares to a third party, during the Required Holding Period, unless permitted to do so by the ITO or the Rules.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 xml:space="preserve"> The following provision supplements Section 6 of the Award Agreement:</w:t>
      </w:r>
    </w:p>
    <w:p>
      <w:pPr>
        <w:spacing w:after="0" w:line="26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Participant agrees that he or she shall not be liable for the Employer’s component of payments to the National Insurance Institute unless and to the extent such payments by the Employer are a result of</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48" w:right="2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Participant’s election to sell the Shares before the end of the Required Holding Period (if allowed by the ITO and the Rules).</w:t>
      </w:r>
    </w:p>
    <w:p>
      <w:pPr>
        <w:spacing w:after="0" w:line="2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the Option vests during the Required Holding Period, the Shares issued upon the exercise of such Option shall be issued to and deposited with, or under the supervision of, the Trustee for the benefit of Participant and shall be held in trust as required by the ITO, the Rules and any approval by the ITA. In the event that such vesting occurs after the end of the Required Holding Period, the Shares issued upon the exercise of the Option shall either: (i) be issued to and deposited with, or under the supervision of, the Trustee; or (ii) be transferred to Participant directly upon Participant’s request, provided that Participant first complies with his or her obligations with respect to Tax-Related Items. In the event that Participant elects to have the Shares transferred to Participant without selling such Shares, Participant shall become liable to pay taxes immediately in accordance with the provisions of the ITO and Section 6 of the Award Agreement, as supplemented by this Exhibit B.</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are defined in the Israeli Sub-Plan if not defined in this Exhibit B.</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Cashless Exercise Restriction Upon Transfer of Jurisdiction</w:t>
      </w:r>
      <w:r>
        <w:rPr>
          <w:rFonts w:ascii="Arial" w:cs="Arial" w:eastAsia="Arial" w:hAnsi="Arial"/>
          <w:sz w:val="21"/>
          <w:szCs w:val="21"/>
          <w:color w:val="auto"/>
        </w:rPr>
        <w:t>. Participants transferring into Israel after the Date of Grant may be required to use a “cashless sell-all” exercise in order to comply with local tax withholding requirements to which he or she delivers irrevocable instructions to the broker to sell all Shares to which Participant is entitled at exercise and remit the proceeds from sale, less any Tax-Related Items and brokerage fees, to Participant in cash. In this case, Participant will not be permitted to receive and hold any Shares in connection with the exercise of the Option.</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48"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i w:val="1"/>
          <w:iCs w:val="1"/>
          <w:color w:val="auto"/>
        </w:rPr>
        <w:t>[Fortinet, Inc. Letterhead]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Confirmation Letter - 102 Capital Gains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 undertake and confirm the following (and such undertaking is deemed incorporated into any documents signed by me in connection with the grant of such Awards) with respect to any award of options, Restricted Stock Units or other equity-based grants that have been granted to me previously and/or as shall be granted to me in the future by Fortinet, Inc. (the “</w:t>
      </w:r>
      <w:r>
        <w:rPr>
          <w:rFonts w:ascii="Arial" w:cs="Arial" w:eastAsia="Arial" w:hAnsi="Arial"/>
          <w:sz w:val="21"/>
          <w:szCs w:val="21"/>
          <w:b w:val="1"/>
          <w:bCs w:val="1"/>
          <w:color w:val="auto"/>
        </w:rPr>
        <w:t>Company</w:t>
      </w:r>
      <w:r>
        <w:rPr>
          <w:rFonts w:ascii="Arial" w:cs="Arial" w:eastAsia="Arial" w:hAnsi="Arial"/>
          <w:sz w:val="21"/>
          <w:szCs w:val="21"/>
          <w:color w:val="auto"/>
        </w:rPr>
        <w:t>”), whether under the Company’s 2009 Equity Incentive Plan or other plans maintained by the Company, pursuant to the Capital Gain Track under Section 102(b)(2) or l02(b)(3) of the Israeli Income Tax Ordinance and any regulations and rules promulgated thereunder (“</w:t>
      </w:r>
      <w:r>
        <w:rPr>
          <w:rFonts w:ascii="Arial" w:cs="Arial" w:eastAsia="Arial" w:hAnsi="Arial"/>
          <w:sz w:val="21"/>
          <w:szCs w:val="21"/>
          <w:b w:val="1"/>
          <w:bCs w:val="1"/>
          <w:color w:val="auto"/>
        </w:rPr>
        <w:t>Section 102</w:t>
      </w:r>
      <w:r>
        <w:rPr>
          <w:rFonts w:ascii="Arial" w:cs="Arial" w:eastAsia="Arial" w:hAnsi="Arial"/>
          <w:sz w:val="21"/>
          <w:szCs w:val="21"/>
          <w:color w:val="auto"/>
        </w:rPr>
        <w:t>” and “</w:t>
      </w:r>
      <w:r>
        <w:rPr>
          <w:rFonts w:ascii="Arial" w:cs="Arial" w:eastAsia="Arial" w:hAnsi="Arial"/>
          <w:sz w:val="21"/>
          <w:szCs w:val="21"/>
          <w:b w:val="1"/>
          <w:bCs w:val="1"/>
          <w:color w:val="auto"/>
        </w:rPr>
        <w:t>Awards</w:t>
      </w:r>
      <w:r>
        <w:rPr>
          <w:rFonts w:ascii="Arial" w:cs="Arial" w:eastAsia="Arial" w:hAnsi="Arial"/>
          <w:sz w:val="21"/>
          <w:szCs w:val="21"/>
          <w:color w:val="auto"/>
        </w:rPr>
        <w:t>”, respectively).</w:t>
      </w:r>
    </w:p>
    <w:p>
      <w:pPr>
        <w:spacing w:after="0" w:line="180" w:lineRule="exact"/>
        <w:rPr>
          <w:sz w:val="20"/>
          <w:szCs w:val="20"/>
          <w:color w:val="auto"/>
        </w:rPr>
      </w:pPr>
    </w:p>
    <w:p>
      <w:pPr>
        <w:ind w:left="500" w:right="20" w:hanging="492"/>
        <w:spacing w:after="0" w:line="263" w:lineRule="auto"/>
        <w:tabs>
          <w:tab w:leader="none" w:pos="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 understand and accept the provisions of Section 102 in general, and the tax arrangement under the Capital Gain Track in particular, and its tax consequences, as they apply to the Awards;</w:t>
      </w:r>
    </w:p>
    <w:p>
      <w:pPr>
        <w:spacing w:after="0" w:line="174" w:lineRule="exact"/>
        <w:rPr>
          <w:rFonts w:ascii="Arial" w:cs="Arial" w:eastAsia="Arial" w:hAnsi="Arial"/>
          <w:sz w:val="22"/>
          <w:szCs w:val="22"/>
          <w:color w:val="auto"/>
        </w:rPr>
      </w:pPr>
    </w:p>
    <w:p>
      <w:pPr>
        <w:jc w:val="both"/>
        <w:ind w:left="500" w:hanging="492"/>
        <w:spacing w:after="0" w:line="294" w:lineRule="auto"/>
        <w:tabs>
          <w:tab w:leader="none" w:pos="5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 agree that the Awards and any shares or rights that may be issued upon exercise of the Awards (or otherwise in relation to the Awards), will be held by a trustee appointed pursuant to Section l02 (the “</w:t>
      </w:r>
      <w:r>
        <w:rPr>
          <w:rFonts w:ascii="Arial" w:cs="Arial" w:eastAsia="Arial" w:hAnsi="Arial"/>
          <w:sz w:val="19"/>
          <w:szCs w:val="19"/>
          <w:b w:val="1"/>
          <w:bCs w:val="1"/>
          <w:color w:val="auto"/>
        </w:rPr>
        <w:t>Trustee</w:t>
      </w:r>
      <w:r>
        <w:rPr>
          <w:rFonts w:ascii="Arial" w:cs="Arial" w:eastAsia="Arial" w:hAnsi="Arial"/>
          <w:sz w:val="19"/>
          <w:szCs w:val="19"/>
          <w:color w:val="auto"/>
        </w:rPr>
        <w:t>’’) for at least the duration of the Holding Period, as defined in Section 102, and I hereby confirm that I shall not release from trust and/or sell such Awards, shares or rights, before the end of the Holding Period. I understand that any release of such Awards, shares or rights from trust, or any sale of any of them prior to the termination of the Holding Period, will result in taxation at marginal tax rates, in addition to deductions of appropriate social security, health tax contributions or other compulsory payments;</w:t>
      </w:r>
    </w:p>
    <w:p>
      <w:pPr>
        <w:spacing w:after="0" w:line="149" w:lineRule="exact"/>
        <w:rPr>
          <w:rFonts w:ascii="Arial" w:cs="Arial" w:eastAsia="Arial" w:hAnsi="Arial"/>
          <w:sz w:val="19"/>
          <w:szCs w:val="19"/>
          <w:color w:val="auto"/>
        </w:rPr>
      </w:pPr>
    </w:p>
    <w:p>
      <w:pPr>
        <w:jc w:val="both"/>
        <w:ind w:left="500" w:hanging="492"/>
        <w:spacing w:after="0" w:line="302" w:lineRule="auto"/>
        <w:tabs>
          <w:tab w:leader="none" w:pos="5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 understand that the grant of the Awards is subject to the receipt of all required approvals from the Israeli Tax Authority and compliance with the requirements of Section 102. Accordingly, to the extent that for whatever reason the Awards and underlying shares of common stock shall not be subject to the Capital Gains Route, I shall bear and pay any and all taxes and any other compulsory payments applicable to the grant, exercise, sale or other disposition of Awards or shares.</w:t>
      </w:r>
    </w:p>
    <w:p>
      <w:pPr>
        <w:spacing w:after="0" w:line="142" w:lineRule="exact"/>
        <w:rPr>
          <w:rFonts w:ascii="Arial" w:cs="Arial" w:eastAsia="Arial" w:hAnsi="Arial"/>
          <w:sz w:val="19"/>
          <w:szCs w:val="19"/>
          <w:color w:val="auto"/>
        </w:rPr>
      </w:pPr>
    </w:p>
    <w:p>
      <w:pPr>
        <w:ind w:left="500" w:hanging="492"/>
        <w:spacing w:after="0" w:line="263" w:lineRule="auto"/>
        <w:tabs>
          <w:tab w:leader="none" w:pos="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 agree to be bound by the provisions of the Company’s trust agreement with the Trustee, ESOP Management and Trust Services Ltd., which holds the Awards for my benefit.</w:t>
      </w:r>
    </w:p>
    <w:p>
      <w:pPr>
        <w:spacing w:after="0" w:line="174" w:lineRule="exact"/>
        <w:rPr>
          <w:rFonts w:ascii="Arial" w:cs="Arial" w:eastAsia="Arial" w:hAnsi="Arial"/>
          <w:sz w:val="22"/>
          <w:szCs w:val="22"/>
          <w:color w:val="auto"/>
        </w:rPr>
      </w:pPr>
    </w:p>
    <w:p>
      <w:pPr>
        <w:ind w:left="500" w:right="20" w:hanging="492"/>
        <w:spacing w:after="0" w:line="287" w:lineRule="auto"/>
        <w:tabs>
          <w:tab w:leader="none" w:pos="5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 hereby confirm that I have: (i) read and understand this letter; (ii) received all the clarifications and explanations that I have requested; and (iii) had the opportunity to consult with my advisors before signing this confirmation letter.</w:t>
      </w:r>
    </w:p>
    <w:p>
      <w:pPr>
        <w:spacing w:after="0" w:line="151" w:lineRule="exact"/>
        <w:rPr>
          <w:rFonts w:ascii="Arial" w:cs="Arial" w:eastAsia="Arial" w:hAnsi="Arial"/>
          <w:sz w:val="21"/>
          <w:szCs w:val="21"/>
          <w:color w:val="auto"/>
        </w:rPr>
      </w:pPr>
    </w:p>
    <w:p>
      <w:pPr>
        <w:jc w:val="both"/>
        <w:ind w:left="500" w:hanging="492"/>
        <w:spacing w:after="0" w:line="253" w:lineRule="auto"/>
        <w:tabs>
          <w:tab w:leader="none" w:pos="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 hereby confirm that, in addition to my confirmation and agreement hereunder, the acceptance or settlement of any such Awards shall be deemed as irrevocable confirmation of my acknowledgements and undertakings herein with respect to such specific Award.</w:t>
      </w:r>
    </w:p>
    <w:p>
      <w:pPr>
        <w:spacing w:after="0" w:line="185" w:lineRule="exact"/>
        <w:rPr>
          <w:rFonts w:ascii="Arial" w:cs="Arial" w:eastAsia="Arial" w:hAnsi="Arial"/>
          <w:sz w:val="22"/>
          <w:szCs w:val="22"/>
          <w:color w:val="auto"/>
        </w:rPr>
      </w:pPr>
    </w:p>
    <w:p>
      <w:pPr>
        <w:jc w:val="both"/>
        <w:ind w:left="500" w:hanging="492"/>
        <w:spacing w:after="0" w:line="253" w:lineRule="auto"/>
        <w:tabs>
          <w:tab w:leader="none" w:pos="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 declare that I am a resident of the state of Israel for tax purposes and agrees to notify the Company upon any change in the residence address and acknowledges that if I cease to be an Israeli resident or if my engagement with the Company or any affiliate is terminated, the Awards and underlying</w:t>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61" w:right="239" w:bottom="1440" w:gutter="0" w:footer="0" w:header="0"/>
        </w:sectPr>
      </w:pPr>
    </w:p>
    <w:bookmarkStart w:id="185" w:name="page186"/>
    <w:bookmarkEnd w:id="185"/>
    <w:p>
      <w:pPr>
        <w:ind w:left="500"/>
        <w:spacing w:after="0" w:line="232" w:lineRule="auto"/>
        <w:rPr>
          <w:sz w:val="20"/>
          <w:szCs w:val="20"/>
          <w:color w:val="auto"/>
        </w:rPr>
      </w:pPr>
      <w:r>
        <w:rPr>
          <w:rFonts w:ascii="Arial" w:cs="Arial" w:eastAsia="Arial" w:hAnsi="Arial"/>
          <w:sz w:val="22"/>
          <w:szCs w:val="22"/>
          <w:color w:val="auto"/>
        </w:rPr>
        <w:t>shares of common stock shall remain subject to Section 102, the trust agreement and the applicable equity plan and grant document.</w:t>
      </w:r>
    </w:p>
    <w:p>
      <w:pPr>
        <w:spacing w:after="0" w:line="186" w:lineRule="exact"/>
        <w:rPr>
          <w:sz w:val="20"/>
          <w:szCs w:val="20"/>
          <w:color w:val="auto"/>
        </w:rPr>
      </w:pPr>
    </w:p>
    <w:p>
      <w:pPr>
        <w:jc w:val="both"/>
        <w:ind w:left="500" w:hanging="492"/>
        <w:spacing w:after="0" w:line="312" w:lineRule="auto"/>
        <w:tabs>
          <w:tab w:leader="none" w:pos="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 understand that this is a one-time Confirmation Letter, and that until Company will determine otherwise, this Confirmation Letter will apply to all future grants of Awards. I hereby confirm that by accepting this Confirmation Letter, I will be deemed to have elected to accept the terms and conditions herein in respect of any such future grant of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Confirmation: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Name of Employee:_______________________________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ID: ____________________________________________</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Signature:_______________________________________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21"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Notwithstanding any provision in the Terms and Conditions of Stock Option Agreement, due to securities restrictions in Italy,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Acknowledgement</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Participant acknowledges that he or she has read and specifically and expressly approves the following sections of the Terms and Conditions of Stock Option Grant: Responsibility for Taxes, Nature of Grant, and Governing Law and Venue, Language, Electronic Delivery, Agreement Severable, Imposition of Other Requirements. In addition, Participant acknowledges that he or she has read and specifically and expressly approves the Data Privacy paragraphs above.</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Italian residents who, during the fiscal year,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Options), are beneficial owners of the investment pursuant to Italian money laundering provisions.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Tax on Foreign Financial Assets</w:t>
      </w:r>
      <w:r>
        <w:rPr>
          <w:rFonts w:ascii="Arial" w:cs="Arial" w:eastAsia="Arial" w:hAnsi="Arial"/>
          <w:sz w:val="22"/>
          <w:szCs w:val="22"/>
          <w:color w:val="auto"/>
        </w:rPr>
        <w:t>. A tax on the value of financial assets held outside of Italy by individuals resident in Italy will be due. The taxable amount will be the fair market value of the financial assets (including Shares) assessed at the end of each calendar year.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Participant acquires Shares valued at more than ¥100,000,000 in a single transaction, Participant must file a Securities Acquisition Report with the Ministry of Finance through the Bank of Japan within 20 days of the purchase of the shares.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addition, Japanese residents are required to report, in a Payment Report, details of any assets (including any Shares) 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Options or Shares that Participant holds.</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Payment Report is required independently from a Securities Acquisition Report. Therefore, if the total amount that Participant pays upon a one-time transaction for exercising the Option and purchasing shares exceeds ¥100,000,000, then Participant must file both a Payment Report and a Securities Acquisition Report.</w:t>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42"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xml:space="preserve">. If Participant remits funds out of Korea to pay the Exercise Price at exercise of the Option, such remittance must be “confirmed” by a foreign exchange bank in Korea. This is an automatic procedure, </w:t>
      </w:r>
      <w:r>
        <w:rPr>
          <w:rFonts w:ascii="Arial" w:cs="Arial" w:eastAsia="Arial" w:hAnsi="Arial"/>
          <w:sz w:val="21"/>
          <w:szCs w:val="21"/>
          <w:i w:val="1"/>
          <w:iCs w:val="1"/>
          <w:color w:val="auto"/>
        </w:rPr>
        <w:t>i.e.</w:t>
      </w:r>
      <w:r>
        <w:rPr>
          <w:rFonts w:ascii="Arial" w:cs="Arial" w:eastAsia="Arial" w:hAnsi="Arial"/>
          <w:sz w:val="21"/>
          <w:szCs w:val="21"/>
          <w:color w:val="auto"/>
        </w:rPr>
        <w:t>, the bank does not need to “approve” the remittance, and it should take no more than a single day to process. The following supporting documents evidencing the nature of the remittance may need to be submitted to the bank together with the confirmation application: (i) the Notice of Grant and Award Agreement; (ii) the Plan; (iii) a document evidencing the type of shares to be acquired and the amount (</w:t>
      </w:r>
      <w:r>
        <w:rPr>
          <w:rFonts w:ascii="Arial" w:cs="Arial" w:eastAsia="Arial" w:hAnsi="Arial"/>
          <w:sz w:val="21"/>
          <w:szCs w:val="21"/>
          <w:i w:val="1"/>
          <w:iCs w:val="1"/>
          <w:color w:val="auto"/>
        </w:rPr>
        <w:t>e.g.</w:t>
      </w:r>
      <w:r>
        <w:rPr>
          <w:rFonts w:ascii="Arial" w:cs="Arial" w:eastAsia="Arial" w:hAnsi="Arial"/>
          <w:sz w:val="21"/>
          <w:szCs w:val="21"/>
          <w:color w:val="auto"/>
        </w:rPr>
        <w:t>, the award certificate); and (iv) Participant’s certificate of employment. This confirmation is not necessary for cashless exercises because no funds are remitted out of Korea.</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Foreign Asset/Account Reporting Information</w:t>
      </w:r>
      <w:r>
        <w:rPr>
          <w:rFonts w:ascii="Arial" w:cs="Arial" w:eastAsia="Arial" w:hAnsi="Arial"/>
          <w:sz w:val="21"/>
          <w:szCs w:val="21"/>
          <w:color w:val="auto"/>
        </w:rPr>
        <w:t>. Korean residents must declare all foreign financial accounts (</w:t>
      </w:r>
      <w:r>
        <w:rPr>
          <w:rFonts w:ascii="Arial" w:cs="Arial" w:eastAsia="Arial" w:hAnsi="Arial"/>
          <w:sz w:val="21"/>
          <w:szCs w:val="21"/>
          <w:i w:val="1"/>
          <w:iCs w:val="1"/>
          <w:color w:val="auto"/>
        </w:rPr>
        <w:t>e.g.</w:t>
      </w:r>
      <w:r>
        <w:rPr>
          <w:rFonts w:ascii="Arial" w:cs="Arial" w:eastAsia="Arial" w:hAnsi="Arial"/>
          <w:sz w:val="21"/>
          <w:szCs w:val="21"/>
          <w:color w:val="auto"/>
        </w:rPr>
        <w:t>, non-Korean bank accounts, brokerage accounts holding shares) to the Korean tax authority and file a report with respect to such accounts if the value of such accounts exceeds KRW 500 million (or an equivalent amount in foreign currency). Participant should consult with his or her personal tax advisor to determine how to value Participant’s foreign accounts for purposes of this reporting requirement and whether Participant is required to file a report with respect to such accounts.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Malaysia</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Director Notification Requirements</w:t>
      </w:r>
      <w:r>
        <w:rPr>
          <w:rFonts w:ascii="Arial" w:cs="Arial" w:eastAsia="Arial" w:hAnsi="Arial"/>
          <w:sz w:val="22"/>
          <w:szCs w:val="22"/>
          <w:color w:val="auto"/>
        </w:rPr>
        <w:t>. If Participant is a director of a Malaysian Parent or Subsidiary, Participant is subject to certain notification requirements under the Malaysian Companies Act. Among these requirements is an obligation to notify the Company’s Malaysian Parent or Subsidiary in writing when Participant receive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Options or Shares) in the Company or any related company. This notification must be made within 14 days of receiving or disposing of any interest in the Company or any related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u w:val="single" w:color="auto"/>
          <w:color w:val="auto"/>
        </w:rPr>
        <w:t>Labor Law Policy and Acknowledgment</w:t>
      </w:r>
      <w:r>
        <w:rPr>
          <w:rFonts w:ascii="Arial" w:cs="Arial" w:eastAsia="Arial" w:hAnsi="Arial"/>
          <w:sz w:val="21"/>
          <w:szCs w:val="21"/>
          <w:color w:val="auto"/>
        </w:rPr>
        <w:t>. In accepting the grant of the Option, Participant expressly recognizes that Fortinet, Inc., with registered offices at 1090 Kifer Road, Sunnyvale, CA 94086, U.S.A, is solely responsible for the administration of the Plan and that Participant’s participation in the Plan and acquisition of Shares do not constitute an employment relationship between Participant and Fortinet, Inc. since Participant is participating in the Plan on a wholly commercial basis and his or her sole Employer is Fortinet, Inc., located at Rodriguez Saro #615, Col. Del Valle, C.P. 03100, Mexico DF. Based on the foregoing, Participant expressly recognizes that the Plan and the benefits that he or she may derive from participating in the Plan do not establish any rights between Participant and the Employer, Fortinet, Inc., and do not form part of the employment conditions and/or benefits provided by Fortinet, Inc., and any modification of the Plan or its termination shall not constitute a change or impairment of the terms and conditions of Participant’s employment.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Participant further understands that his or her participation in the Plan is as a result of a unilateral and discretionary decision of Fortinet, Inc.; therefore, Fortinet, Inc. reserves the absolute right to amend and/or discontinue Participant’s participation at any time without any liability to Participant.</w:t>
      </w: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42" w:right="239" w:bottom="1440" w:gutter="0" w:footer="0" w:header="0"/>
        </w:sectPr>
      </w:pPr>
    </w:p>
    <w:bookmarkStart w:id="188" w:name="page189"/>
    <w:bookmarkEnd w:id="188"/>
    <w:p>
      <w:pPr>
        <w:jc w:val="both"/>
        <w:spacing w:after="0" w:line="265" w:lineRule="auto"/>
        <w:rPr>
          <w:sz w:val="20"/>
          <w:szCs w:val="20"/>
          <w:color w:val="auto"/>
        </w:rPr>
      </w:pPr>
      <w:r>
        <w:rPr>
          <w:rFonts w:ascii="Arial" w:cs="Arial" w:eastAsia="Arial" w:hAnsi="Arial"/>
          <w:sz w:val="21"/>
          <w:szCs w:val="21"/>
          <w:color w:val="auto"/>
        </w:rPr>
        <w:t>Finally, Participant hereby declares that he or she does not reserve to himself or herself any action or right to bring any claim against Fortinet, Inc. for any compensation or damages regarding any provision of the Plan or the benefits derived under the Plan, and Participant therefore grants a full and broad release to Fortinet, Inc., its affiliates, branches, representation offices, its shareholders, officers, agents, or legal representatives with respect to any claim that may arise.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Política Laboral y Reconocimiento/Aceptación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Al aceptar el otorgamiento de la Opción de Compra de Acciones, el Participante expresamente reconoce que Fortinet, Inc., con domicilio registrado ubicado en Sunnyvale, CA, U.S.A., es la única responsable por la administración del Plan y que la participación del Participante en el Plan y en su caso la adquisición de las Opciones de Compra de Acciones o Acciones no constituyen ni podrán interpretarse como una relación de trabajo entre el Participante y Fortinet, Inc., ya que el Participante participa en el Plan en un marco totalmente comercial y su único Patrón lo es Fortinet, Inc. con domicilio en Rodriguez Saro #615, Col. Del Valle, C.P. 03100, México DF, México. Derivado de lo anterior, el Participante expresamente reconoce que el Plan y los beneficios que pudieran derivar de la participación en el Plan no establecen derecho alguno entre el Participante y el Patrón, Fortinet, Inc. y no forma parte de las condiciones de trabajo y/o las prestaciones otorgadas por Fortinet, Inc. y que cualquier modificación al Plan o su terminación no constituye un cambio o impedimento de los términos y condiciones de la relación de trabajo del Participante.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el Participante reconoce que su participación en el Plan es resultado de una decisión unilateral y discrecional de Fortinet, Inc.; por lo tanto, Fortinet, Inc. se reserva el absoluto derecho de modificar y/o terminar la participación del Participante en cualquier momento y sin responsabilidad alguna frente el Participante.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Finalmente, el Participante por este medio declara que no se reserve derecho o acción alguna que ejercitar en contra de Fortinet, Inc. por cualquier compensación o daño en relación con las disposiciones del Plan o de los beneficios derivados del Plan y por lo tanto, el Participante otorga el más amplio finiquito que en derecho proceda a Fortinet, Inc., sus afiliadas, subsidiarias, oficinas de representación, sus accionistas, funcionarios, agentes o representantes legales en relación con cualquier demanda que pudiera surgir.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WARNING</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is an offer of options over Shares which, if vested, will entitle Participant to acquire Shares in accordance with the terms of the Award Agreement and the Plan. Shares, if issued, will give Participant a stake in the ownership of the Company. Participant may receive a return if dividends are paid.</w:t>
      </w: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48" w:right="2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If the Company runs into financial difficulties and is wound up, Participant will be paid only after all creditors have been paid.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Participant may lose some or all of his or her investment, if any.</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The Participant will also have fewer other legal protections for this investment. The Participant should ask questions, read all documents carefully, and seek independent financial advice before committing him or herself.</w:t>
      </w:r>
    </w:p>
    <w:p>
      <w:pPr>
        <w:spacing w:after="0" w:line="216"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Shares are quoted on the Nasdaq Global Select Market (“Nasdaq”). This means Participant may be able to sell them on the Nasdaq if there are interested buyers. Participant may get less than he or she invested. The price will depend on the demand for the Shares.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information on risk factors impacting the Company’s business that may affect the value of the shares of Common Stock, you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2"/>
          <w:szCs w:val="22"/>
          <w:u w:val="single" w:color="auto"/>
          <w:color w:val="0000FF"/>
        </w:rPr>
        <w:t>www.sec.gov</w:t>
      </w:r>
      <w:r>
        <w:rPr>
          <w:rFonts w:ascii="Arial" w:cs="Arial" w:eastAsia="Arial" w:hAnsi="Arial"/>
          <w:sz w:val="22"/>
          <w:szCs w:val="22"/>
          <w:color w:val="auto"/>
        </w:rPr>
        <w:t>, as well as on the Company’s “Investor Relations” website at http://investor.fortinet.com/.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Labor Law Acknowledgment</w:t>
      </w:r>
      <w:r>
        <w:rPr>
          <w:rFonts w:ascii="Arial" w:cs="Arial" w:eastAsia="Arial" w:hAnsi="Arial"/>
          <w:sz w:val="22"/>
          <w:szCs w:val="22"/>
          <w:color w:val="auto"/>
        </w:rPr>
        <w:t>. By accepting the Option, Participant acknowledges that the Option is being granted ex gratia with the purpose of rewarding Participant.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 offer is considered a private offering in Peru; therefore, it is not subject to registration in Peru.</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Participant acknowledges that any transfer of funds in excess of PLN15,000 into or out of Poland must be affected through a bank account in Poland. Participant understands that they are required to store all documents connected with any foreign exchange transactions they engage in for a period of five years, as measured from the end of the year in which such transaction occurred.</w:t>
      </w:r>
    </w:p>
    <w:p>
      <w:pPr>
        <w:spacing w:after="0" w:line="37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48" w:right="239" w:bottom="1440" w:gutter="0" w:footer="0" w:header="0"/>
        </w:sectPr>
      </w:pPr>
    </w:p>
    <w:bookmarkStart w:id="190" w:name="page191"/>
    <w:bookmarkEnd w:id="190"/>
    <w:p>
      <w:pPr>
        <w:jc w:val="both"/>
        <w:spacing w:after="0" w:line="297"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Participant maintains bank or brokerage accounts holding cash and foreign securities (including Shares) outside of Poland, Participant will be required to report information to the National Bank of Poland on transactions and balances in such accounts if the value of such cash and securities exceeds PLN 7 million. If required, such reports must be filed on special forms available on the website of the National Bank of Poland. Participant should consult with his or her legal advisor to determine whether Participant will be required to submit reports to the National Bank of Poland.</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Language Consent</w:t>
      </w:r>
    </w:p>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Participant hereby expressly declares that he or she has full knowledge of the English language and has read, understood and fully accepted and agreed with the terms and conditions established in the Plan and the Award Agreement.</w:t>
      </w:r>
    </w:p>
    <w:p>
      <w:pPr>
        <w:spacing w:after="0" w:line="15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O Participante pelo presente declara expressamente que tem pleno conhecimento da língua inglesa e que leu, compreendeu e livremente aceitou e concordou com os termos e condições estabelecidas no Plano e no Acordo de Atribuição.</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If Participant acquires Shares under the Plan and does not hold the Shares with a Portuguese financial intermediary, he or she may need to file a report with the Portuguese Central Bank. If the Shares are held by a Portuguese financial intermediary, it will file the report for Participant. It is Participant’s responsibility to comply with any applicable exchange control laws.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If Participant deposits the proceeds from the sale of Shares issued to him or her at vesting and settlement of the Shares or any dividends paid on such Shares in a bank account in Romania, Participant may be required to provide the Romanian bank with appropriate documentation explaining the source of the funds.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 should consult his or her personal advisor to determine whether Participant will be required to submit such documentation to the Romanian bank.</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U.S. Transaction</w:t>
      </w:r>
      <w:r>
        <w:rPr>
          <w:rFonts w:ascii="Arial" w:cs="Arial" w:eastAsia="Arial" w:hAnsi="Arial"/>
          <w:sz w:val="22"/>
          <w:szCs w:val="22"/>
          <w:color w:val="auto"/>
        </w:rPr>
        <w:t>. The Plan, the Award Agreement, including this Exhibit B, and all other materials Participant may receive regarding Participant’s participation in the Plan or the Option grant do not constitute advertising or an offering of securities in Russia. The issuance of Shares acquired at exercise</w:t>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48" w:right="239" w:bottom="1440" w:gutter="0" w:footer="0" w:header="0"/>
        </w:sectPr>
      </w:pPr>
    </w:p>
    <w:bookmarkStart w:id="191" w:name="page192"/>
    <w:bookmarkEnd w:id="191"/>
    <w:p>
      <w:pPr>
        <w:spacing w:after="0"/>
        <w:rPr>
          <w:sz w:val="20"/>
          <w:szCs w:val="20"/>
          <w:color w:val="auto"/>
        </w:rPr>
      </w:pPr>
      <w:r>
        <w:rPr>
          <w:rFonts w:ascii="Arial" w:cs="Arial" w:eastAsia="Arial" w:hAnsi="Arial"/>
          <w:sz w:val="19"/>
          <w:szCs w:val="19"/>
          <w:color w:val="auto"/>
        </w:rPr>
        <w:t>has not and will not be registered in Russia; therefore, such Shares may not be offered or placed in public circulation in Russia.</w:t>
      </w:r>
    </w:p>
    <w:p>
      <w:pPr>
        <w:spacing w:after="0" w:line="29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no event will Shares acquired at vesting be delivered to Participant in Russia; all Shares will be maintained on Participant’s behalf in the United States.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Participant is not permitted to sell Shares acquired at vesting directly to a Russian legal entity or resident.</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Depending on the development of local regulatory requirements, the Company reserves the right to require a casheless sell all or impose other restrictions on the exercise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 Information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Participant acknowledges that the Award Agreement, the Terms and Conditions of Stock Option Grant, the Plan and all other materials that Participant may receive regarding participation in the Plan and the grant of the Option itself do not constitute advertisement regarding or an offering of securities in Russia. Absent an express requirement under applicable Russian law, the issuance of Shares at exercise of the Option has not and will not be registered in Russia. Therefore, the Shares described in any Plan-related documentation may not be used for offering or public circulation in Russia.</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This notification supplements Section 11 of the Award Agreement:</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Participant understands and agrees that, if required by the Company, he or she must complete and return a Consent to Processing of Personal Data (the “Consent”) form to the Company. Further, Participant understands and agrees that if Participant does not complete and return a Consent form to the Company, the Company will not be able to grant options to Participant or other awards or administer or maintain such awards. Therefore, Participant understands that refusing to complete a Consent form or withdrawing his or her consent may affect Participant’s ability to participate in the Plan.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Russian residents should contact their personal advisor regarding their obligations resulting from their participation in the Plan as significant penalties may apply in the case of non-compliance with exchange control requirements and because such exchange control requirements may change.</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u w:val="single" w:color="auto"/>
          <w:color w:val="auto"/>
        </w:rPr>
        <w:t>Foreign Asset/Account Reporting Information</w:t>
      </w:r>
      <w:r>
        <w:rPr>
          <w:rFonts w:ascii="Arial" w:cs="Arial" w:eastAsia="Arial" w:hAnsi="Arial"/>
          <w:sz w:val="21"/>
          <w:szCs w:val="21"/>
          <w:color w:val="auto"/>
        </w:rPr>
        <w:t>. Russian residents will be required to notify the Russian tax authorities within one month of opening or closing a foreign bank account or of changing any account details. Russian residents are also required to file with the Russian tax authorities reports of the transactions in their foreign bank accounts. Participant should consult with his or her personal tax advisor for additional information about these reporting obligations.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Anti-Corruption Information</w:t>
      </w:r>
      <w:r>
        <w:rPr>
          <w:rFonts w:ascii="Arial" w:cs="Arial" w:eastAsia="Arial" w:hAnsi="Arial"/>
          <w:sz w:val="22"/>
          <w:szCs w:val="22"/>
          <w:color w:val="auto"/>
        </w:rPr>
        <w:t>. Anti-corruption laws prohibit certain public servants, their spouses and their dependent children from owning any foreign source financial instruments (</w:t>
      </w:r>
      <w:r>
        <w:rPr>
          <w:rFonts w:ascii="Arial" w:cs="Arial" w:eastAsia="Arial" w:hAnsi="Arial"/>
          <w:sz w:val="22"/>
          <w:szCs w:val="22"/>
          <w:i w:val="1"/>
          <w:iCs w:val="1"/>
          <w:color w:val="auto"/>
        </w:rPr>
        <w:t>e.g.</w:t>
      </w:r>
      <w:r>
        <w:rPr>
          <w:rFonts w:ascii="Arial" w:cs="Arial" w:eastAsia="Arial" w:hAnsi="Arial"/>
          <w:sz w:val="22"/>
          <w:szCs w:val="22"/>
          <w:color w:val="auto"/>
        </w:rPr>
        <w:t>, shares of foreign companies such as the Company). Accordingly, Participant should inform the Company if he or she is covered by these laws because Participant should not hold Shares acquired under the Plan.</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u w:val="single" w:color="auto"/>
          <w:color w:val="auto"/>
        </w:rPr>
        <w:t>Labor Law Information</w:t>
      </w:r>
      <w:r>
        <w:rPr>
          <w:rFonts w:ascii="Arial" w:cs="Arial" w:eastAsia="Arial" w:hAnsi="Arial"/>
          <w:sz w:val="21"/>
          <w:szCs w:val="21"/>
          <w:color w:val="auto"/>
        </w:rPr>
        <w:t>. If Participant continues to hold Shares acquired at vesting of the RSUs after an involuntary termination of status as a Service Provider, Participant may not be eligible to receive unemployment benefits in Russia.</w:t>
      </w:r>
    </w:p>
    <w:p>
      <w:pPr>
        <w:spacing w:after="0" w:line="38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48"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66"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u w:val="single" w:color="auto"/>
          <w:color w:val="auto"/>
        </w:rPr>
        <w:t>Sale Restriction</w:t>
      </w:r>
      <w:r>
        <w:rPr>
          <w:rFonts w:ascii="Arial" w:cs="Arial" w:eastAsia="Arial" w:hAnsi="Arial"/>
          <w:sz w:val="19"/>
          <w:szCs w:val="19"/>
          <w:color w:val="auto"/>
        </w:rPr>
        <w:t>. Participant agrees that any Shares acquired pursuant to the Option will not be offered for sale 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 grant is being made to Participant in reliance on the “Qualifying Person” exemption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Chief Executive Officer and Director Notification Obligation</w:t>
      </w:r>
      <w:r>
        <w:rPr>
          <w:rFonts w:ascii="Arial" w:cs="Arial" w:eastAsia="Arial" w:hAnsi="Arial"/>
          <w:sz w:val="22"/>
          <w:szCs w:val="22"/>
          <w:color w:val="auto"/>
        </w:rPr>
        <w:t>. If Participant is the Chief Executive Office (“CEO”) or a director, associate director or shadow director of a Singapore Parent, Subsidiary or Affiliate, Participant understands that Participant is subject to certain notification requirements under the Singapore Companies Act. Participant acknowledges that Participant must notify the Singapore Parent, Subsidiary or Affiliate in writing of an interest (</w:t>
      </w:r>
      <w:r>
        <w:rPr>
          <w:rFonts w:ascii="Arial" w:cs="Arial" w:eastAsia="Arial" w:hAnsi="Arial"/>
          <w:sz w:val="22"/>
          <w:szCs w:val="22"/>
          <w:i w:val="1"/>
          <w:iCs w:val="1"/>
          <w:color w:val="auto"/>
        </w:rPr>
        <w:t>e.g.</w:t>
      </w:r>
      <w:r>
        <w:rPr>
          <w:rFonts w:ascii="Arial" w:cs="Arial" w:eastAsia="Arial" w:hAnsi="Arial"/>
          <w:sz w:val="22"/>
          <w:szCs w:val="22"/>
          <w:color w:val="auto"/>
        </w:rPr>
        <w:t>, Option, Shares, etc.) in the Company or any Parent or Subsidiary within two (2) business days of (i) its acquisition or disposal, (ii) any change in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when Shares acquired at vesting are sold), or (iii) becoming the CEO and/or a director, if Participant holds such an interest at the time.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 of Payment</w:t>
      </w:r>
    </w:p>
    <w:p>
      <w:pPr>
        <w:spacing w:after="0" w:line="2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any provision in the Terms and Conditions of Stock Option Agreement, due to exchange control restrictions in South Africa,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Responsibility for Taxes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section supplements the “Responsibility for Taxes” section of the Terms and Conditions of Stock Option Grant:</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accepting the Option, Participant agrees to notify the Employer of the amount of any gain realized upon exercise of the Option. If Participant fails to advise the Employer of the gain realized upon exercise, he or she may be liable for a fine. Participant will be responsible for paying any difference between the actual tax liability and the amount withheld.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Participant may be required to obtain exchange control approval prior to exercising the Option. Participant is solely responsible for complying with applicable South African exchange control regulations. Since the exchange control regulations change frequently and without notice, the Participant should consult his or her legal advisor prior to the exercise of the Option or sale of Shares</w:t>
      </w:r>
    </w:p>
    <w:p>
      <w:pPr>
        <w:spacing w:after="0" w:line="11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42" w:right="239" w:bottom="1440" w:gutter="0" w:footer="0" w:header="0"/>
        </w:sectPr>
      </w:pPr>
    </w:p>
    <w:bookmarkStart w:id="193" w:name="page194"/>
    <w:bookmarkEnd w:id="193"/>
    <w:p>
      <w:pPr>
        <w:jc w:val="both"/>
        <w:spacing w:after="0" w:line="263" w:lineRule="auto"/>
        <w:rPr>
          <w:sz w:val="20"/>
          <w:szCs w:val="20"/>
          <w:color w:val="auto"/>
        </w:rPr>
      </w:pPr>
      <w:r>
        <w:rPr>
          <w:rFonts w:ascii="Arial" w:cs="Arial" w:eastAsia="Arial" w:hAnsi="Arial"/>
          <w:sz w:val="22"/>
          <w:szCs w:val="22"/>
          <w:color w:val="auto"/>
        </w:rPr>
        <w:t>acquired at exercise to ensure compliance with current regulations. Neither the Company nor the Employer will be liable for any fines or penalties resulting from failure to comply with applicable laws.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Labor Law Acknowledgment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section supplements the “Nature of Grant” section of the Terms and Conditions of Stock Option Grant:</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Option, Participant acknowledges that he or she consents to participation in the Plan and has received a copy of the Plan.</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Participant understands that the Company has unilaterally, gratuitously, and discretionally decided to grant options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the Option is granted on the assumption and condition that the Option or the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options shall be null and void.</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The Option does not qualify under Spanish Law as securities. No “offer to the public,” as defined under Spanish Law, has taken place or will take place in the Spanish territory. Neither the Plan nor the Award Agreement have been registered with the </w:t>
      </w:r>
      <w:r>
        <w:rPr>
          <w:rFonts w:ascii="Arial" w:cs="Arial" w:eastAsia="Arial" w:hAnsi="Arial"/>
          <w:sz w:val="19"/>
          <w:szCs w:val="19"/>
          <w:i w:val="1"/>
          <w:iCs w:val="1"/>
          <w:color w:val="auto"/>
        </w:rPr>
        <w:t>Comisión Nacronal del Mercado de Valores</w:t>
      </w:r>
      <w:r>
        <w:rPr>
          <w:rFonts w:ascii="Arial" w:cs="Arial" w:eastAsia="Arial" w:hAnsi="Arial"/>
          <w:sz w:val="19"/>
          <w:szCs w:val="19"/>
          <w:color w:val="auto"/>
        </w:rPr>
        <w:t xml:space="preserve"> and do not constitute a public offering prospectus.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xml:space="preserve">. Participant must declare the acquisition of Shares to the </w:t>
      </w:r>
      <w:r>
        <w:rPr>
          <w:rFonts w:ascii="Arial" w:cs="Arial" w:eastAsia="Arial" w:hAnsi="Arial"/>
          <w:sz w:val="22"/>
          <w:szCs w:val="22"/>
          <w:i w:val="1"/>
          <w:iCs w:val="1"/>
          <w:color w:val="auto"/>
        </w:rPr>
        <w:t>Spanish Dirección General de Comercio 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Inversiones </w:t>
      </w:r>
      <w:r>
        <w:rPr>
          <w:rFonts w:ascii="Arial" w:cs="Arial" w:eastAsia="Arial" w:hAnsi="Arial"/>
          <w:sz w:val="22"/>
          <w:szCs w:val="22"/>
          <w:color w:val="auto"/>
        </w:rPr>
        <w:t>(the “DGCI”), the Bureau for Commerce and Investments, which is a department of the Ministry of Economy and</w:t>
      </w:r>
      <w:r>
        <w:rPr>
          <w:rFonts w:ascii="Arial" w:cs="Arial" w:eastAsia="Arial" w:hAnsi="Arial"/>
          <w:sz w:val="22"/>
          <w:szCs w:val="22"/>
          <w:i w:val="1"/>
          <w:iCs w:val="1"/>
          <w:color w:val="auto"/>
        </w:rPr>
        <w:t xml:space="preserve"> </w:t>
      </w:r>
      <w:r>
        <w:rPr>
          <w:rFonts w:ascii="Arial" w:cs="Arial" w:eastAsia="Arial" w:hAnsi="Arial"/>
          <w:sz w:val="22"/>
          <w:szCs w:val="22"/>
          <w:color w:val="auto"/>
        </w:rPr>
        <w:t>Competitiveness. Participant must also declare ownership of any Shares by filing a Form D-6 with the Directorate of Foreign Transactions each January while the Shares are owned. In addition, the sale of Shares must also be declared on Form D-6 filed with the DGCI in January, unless the sale proceeds exceed the applicable threshold (currently €1,502,530), in which case, the filing is due within one month after the sale.</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addition, Participant is required to declare electronically to the Bank of Spain any foreign accounts (including brokerage accounts held abroad), any foreign instruments (including any Shares acquired under the Plan) and any transactions with non-Spanish residents (including any payments of Shares made to Participant by the Company) depending on the value of such accounts and instruments and the amount of the transactions during the relevant year as of December 31 of the relevant year.</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Foreign Asset/Accounting Reporting Information</w:t>
      </w:r>
      <w:r>
        <w:rPr>
          <w:rFonts w:ascii="Arial" w:cs="Arial" w:eastAsia="Arial" w:hAnsi="Arial"/>
          <w:sz w:val="22"/>
          <w:szCs w:val="22"/>
          <w:color w:val="auto"/>
        </w:rPr>
        <w:t>. If Participant holds rights or assets (</w:t>
      </w:r>
      <w:r>
        <w:rPr>
          <w:rFonts w:ascii="Arial" w:cs="Arial" w:eastAsia="Arial" w:hAnsi="Arial"/>
          <w:sz w:val="22"/>
          <w:szCs w:val="22"/>
          <w:i w:val="1"/>
          <w:iCs w:val="1"/>
          <w:color w:val="auto"/>
        </w:rPr>
        <w:t>e.g.</w:t>
      </w:r>
      <w:r>
        <w:rPr>
          <w:rFonts w:ascii="Arial" w:cs="Arial" w:eastAsia="Arial" w:hAnsi="Arial"/>
          <w:sz w:val="22"/>
          <w:szCs w:val="22"/>
          <w:color w:val="auto"/>
        </w:rPr>
        <w:t>, Shares or cash held in a bank or brokerage account) outside of Spain with a value in excess of €50,000 per type of right or asset (</w:t>
      </w:r>
      <w:r>
        <w:rPr>
          <w:rFonts w:ascii="Arial" w:cs="Arial" w:eastAsia="Arial" w:hAnsi="Arial"/>
          <w:sz w:val="22"/>
          <w:szCs w:val="22"/>
          <w:i w:val="1"/>
          <w:iCs w:val="1"/>
          <w:color w:val="auto"/>
        </w:rPr>
        <w:t>e.g.</w:t>
      </w:r>
      <w:r>
        <w:rPr>
          <w:rFonts w:ascii="Arial" w:cs="Arial" w:eastAsia="Arial" w:hAnsi="Arial"/>
          <w:sz w:val="22"/>
          <w:szCs w:val="22"/>
          <w:color w:val="auto"/>
        </w:rPr>
        <w:t>, Shares, cash, etc.) as of December 31 each year, Participant is required to report certain information regarding such rights and assets on tax form 720. After such rights and/or assets</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48" w:right="239" w:bottom="1440" w:gutter="0" w:footer="0" w:header="0"/>
        </w:sectPr>
      </w:pPr>
    </w:p>
    <w:bookmarkStart w:id="194" w:name="page195"/>
    <w:bookmarkEnd w:id="194"/>
    <w:p>
      <w:pPr>
        <w:jc w:val="both"/>
        <w:spacing w:after="0" w:line="287" w:lineRule="auto"/>
        <w:rPr>
          <w:sz w:val="20"/>
          <w:szCs w:val="20"/>
          <w:color w:val="auto"/>
        </w:rPr>
      </w:pPr>
      <w:r>
        <w:rPr>
          <w:rFonts w:ascii="Arial" w:cs="Arial" w:eastAsia="Arial" w:hAnsi="Arial"/>
          <w:sz w:val="21"/>
          <w:szCs w:val="21"/>
          <w:color w:val="auto"/>
        </w:rPr>
        <w:t>are initially reported, the reporting obligation will apply for subsequent years only if the value of any previously-reported rights or assets increases by more than €20,000. The reporting must be completed by the March 31 each year.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Notwithstanding any provision to the contrary in the Award Agreement, due to restrictions in Switzerland,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Option offer is not intended to be publicly offered in or from Switzerland. Because Option offer is considered a private offering in Switzerland, it is not subject to registration in Switzerland. Neither this document nor any other materials relating to the Option grant under the Plan constitutes a prospectus as such term is understood pursuant to article 652a of the Swiss Code of Obligations, and neither this document nor any other materials relating to the Option grant under the Plan may be publicly distributed nor otherwise made publicly available in Switzerland. Further, neither this document nor any other offering or marketing material relating to the Option offering has been or will be filed with, approved, or supervised by any Swiss regulatory authority (in particular, the Swiss Financial Market Supervisory Authority (FINMA)).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This offer of the Option and the Shares to be issued pursuant to the Plan is available only for employees of the Company and its Subsidiaries. It is not a public offer of securities by a Taiwanese company; therefore, it is exempt from registration in Taiwan.</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Participant may acquire foreign currency and remit the same out of Taiwan, up to US$5 million per year without justification. When remitting funds for the purchase of Shares pursuant to the Plan, such remittances should be made through an authorized foreign exchange bank. In addition, if Participant remits TWD$500,000 or more in a single transaction, Participant must submit a Foreign Exchange Transaction Form to the remitting bank. If the transaction amount is US$500,000 or more in a single transaction, Participant may be required to provide supporting documentation to the satisfaction of the remitting bank.</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Data Privacy Acknowledgement</w:t>
      </w:r>
      <w:r>
        <w:rPr>
          <w:rFonts w:ascii="Arial" w:cs="Arial" w:eastAsia="Arial" w:hAnsi="Arial"/>
          <w:sz w:val="21"/>
          <w:szCs w:val="21"/>
          <w:color w:val="auto"/>
        </w:rPr>
        <w:t>. Participant acknowledges that he or she has read and understands the terms regarding collection, processing and transfer of Data contained in Section 11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w:t>
      </w:r>
    </w:p>
    <w:p>
      <w:pPr>
        <w:spacing w:after="0" w:line="14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48" w:right="239" w:bottom="1440" w:gutter="0" w:footer="0" w:header="0"/>
        </w:sectPr>
      </w:pPr>
    </w:p>
    <w:bookmarkStart w:id="195" w:name="page196"/>
    <w:bookmarkEnd w:id="195"/>
    <w:p>
      <w:pPr>
        <w:jc w:val="both"/>
        <w:spacing w:after="0" w:line="263" w:lineRule="auto"/>
        <w:rPr>
          <w:sz w:val="20"/>
          <w:szCs w:val="20"/>
          <w:color w:val="auto"/>
        </w:rPr>
      </w:pPr>
      <w:r>
        <w:rPr>
          <w:rFonts w:ascii="Arial" w:cs="Arial" w:eastAsia="Arial" w:hAnsi="Arial"/>
          <w:sz w:val="22"/>
          <w:szCs w:val="22"/>
          <w:color w:val="auto"/>
        </w:rPr>
        <w:t>under the data privacy laws in Participant’s country, either now or in the future. Participant understands that he or she will not be able to participate in the Plan if Participant fails to execute any such consent or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It is Participant’s responsibility to comply with all exchange control regulations in Thailand. If Participant exercises the Option with cash, Participant may apply directly to a commercial bank in Thailand for approval to remit up to US$1,000,000 per year for the purchase of Shares. If Participant exercises the Option by way of a cashless method of exercise, no application to a commercial bank is required. In addition, If the proceeds from the sale of Shares or the receipt of dividends are 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Participant does not comply with this obligation, Participant may be subject to penalties assessed by the Bank of Thailand. Because exchange control regulations change frequently and 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Under Turkish law, Participant is not permitted to sell Shares acquired under the Plan in Turkey. The Shares are currently traded on the Nasdaq Global Select Market, which is located outside of Turkey, under the ticker symbol “FTNT” and the Shares may be sold through this exchange.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Exchange control regulations require Turkish residents to purchase Shares through intermediary financial institutions that are approved under the Capital Market Law (</w:t>
      </w:r>
      <w:r>
        <w:rPr>
          <w:rFonts w:ascii="Arial" w:cs="Arial" w:eastAsia="Arial" w:hAnsi="Arial"/>
          <w:sz w:val="19"/>
          <w:szCs w:val="19"/>
          <w:i w:val="1"/>
          <w:iCs w:val="1"/>
          <w:color w:val="auto"/>
        </w:rPr>
        <w:t>i.e.</w:t>
      </w:r>
      <w:r>
        <w:rPr>
          <w:rFonts w:ascii="Arial" w:cs="Arial" w:eastAsia="Arial" w:hAnsi="Arial"/>
          <w:sz w:val="19"/>
          <w:szCs w:val="19"/>
          <w:color w:val="auto"/>
        </w:rPr>
        <w:t>, banks licensed in Turkey). Therefore, if Participant uses cash to exercise the Option, the funds must be remitted through a bank or other financial institution licensed in Turkey. A wire transfer of funds by a Turkish bank will satisfy this requirement. This requirement does not apply to cashless exercises, as no funds leave Turkey. Participant likely will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Restricted Stock Units or any sale of Shares to ensure compliance.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48" w:right="239" w:bottom="1440" w:gutter="0" w:footer="0" w:header="0"/>
        </w:sectPr>
      </w:pPr>
    </w:p>
    <w:bookmarkStart w:id="196" w:name="page197"/>
    <w:bookmarkEnd w:id="196"/>
    <w:p>
      <w:pPr>
        <w:jc w:val="both"/>
        <w:spacing w:after="0" w:line="290"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Participation in the Plan is being offered only to selected Service Providers and is in the nature of providing equity incentives to Service Providers in the United 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Joint Election</w:t>
      </w:r>
    </w:p>
    <w:p>
      <w:pPr>
        <w:spacing w:after="0" w:line="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a condition of participation in the Plan and the exercise of the Option, Participant agrees to accept any liability for secondary Class 1 national insurance contributions that may be payable by the Company and/or the Employer in connection with the Option and any event giving rise to Tax-Related Items (the “Employer NICs”). Without prejudice to the foregoing, Participant agrees to execute a joint election with the Company, the form of such joint election being formally approved by Her Majesty’s Revenue &amp; Customs (“HMRC”) (the “Joint Election”), and any other required consent or election. Participant further agrees to execute such other joint elections as may be required between him or her and any successor to the Company and/or the Employer. Participant further agrees that the Company and/or the Employer may collect the Employer NICs from him or her by any of the means set forth in “Responsibility for Taxes” section of the Terms and Conditions of Stock Option Grant.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Participant does not enter into a Joint Election prior to exercise of the Option, he or she will not be entitled to exercise the Option unless and until he or she enters into a Joint Election and no Shares will be issued to Participant under the Plan, without any liability to the Company and/or the Employer.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Obligations/Withholding Authorization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section supplements the “Responsibility for Taxes” section of the Terms and Conditions of Stock Option Grant.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If payment or withholding of the income tax due is not made within ninety (90) days of the end of the U.K. tax year (April 6 - April</w:t>
      </w:r>
    </w:p>
    <w:p>
      <w:pPr>
        <w:spacing w:after="0" w:line="56" w:lineRule="exact"/>
        <w:rPr>
          <w:sz w:val="20"/>
          <w:szCs w:val="20"/>
          <w:color w:val="auto"/>
        </w:rPr>
      </w:pPr>
    </w:p>
    <w:p>
      <w:pPr>
        <w:jc w:val="both"/>
        <w:ind w:firstLine="8"/>
        <w:spacing w:after="0" w:line="292" w:lineRule="auto"/>
        <w:tabs>
          <w:tab w:leader="none" w:pos="24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which such event giving rise to the Tax-Related Items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Her Majesty’s Revenue &amp; Customs (“HMRC”), it will be immediately due and repayable, and the Company or the Employer may recover it at any time thereafter by any of the means referred to in Section 10 of the Award Agreement.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w:t>
      </w:r>
    </w:p>
    <w:p>
      <w:pPr>
        <w:spacing w:after="0" w:line="14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48" w:right="239" w:bottom="1440" w:gutter="0" w:footer="0" w:header="0"/>
        </w:sectPr>
      </w:pPr>
    </w:p>
    <w:bookmarkStart w:id="197" w:name="page198"/>
    <w:bookmarkEnd w:id="197"/>
    <w:p>
      <w:pPr>
        <w:jc w:val="both"/>
        <w:spacing w:after="0" w:line="265" w:lineRule="auto"/>
        <w:rPr>
          <w:sz w:val="20"/>
          <w:szCs w:val="20"/>
          <w:color w:val="auto"/>
        </w:rPr>
      </w:pPr>
      <w:r>
        <w:rPr>
          <w:rFonts w:ascii="Arial" w:cs="Arial" w:eastAsia="Arial" w:hAnsi="Arial"/>
          <w:sz w:val="21"/>
          <w:szCs w:val="21"/>
          <w:color w:val="auto"/>
        </w:rPr>
        <w:t>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6 of the Award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48" w:right="239" w:bottom="1440" w:gutter="0" w:footer="0" w:header="0"/>
        </w:sectPr>
      </w:pPr>
    </w:p>
    <w:bookmarkStart w:id="198" w:name="page199"/>
    <w:bookmarkEnd w:id="198"/>
    <w:p>
      <w:pPr>
        <w:jc w:val="center"/>
        <w:ind w:left="660"/>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FORTINET, INC.</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2009 EQUITY INCENTIVE PLAN</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EXERCISE NOTICE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Fortinet,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899 Kifer Road, Sunnyvale, CA 94086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Stock Administration</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Effective as of today, ________________, _____, the undersigned (“Purchaser”) hereby elects to</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purchase ______________ shares (the “Shares”) of the Common Stock of Fortinet, Inc. (the “Company”) under and pursuant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2009 Equity Incentive Plan (the “Plan”) and the Stock Option Award Agreement dated ________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“Award Agreement”). The purchase price for the Shares will be $_____________, as required by the Award Agreement.</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Delivery of Payment</w:t>
      </w:r>
      <w:r>
        <w:rPr>
          <w:rFonts w:ascii="Arial" w:cs="Arial" w:eastAsia="Arial" w:hAnsi="Arial"/>
          <w:sz w:val="22"/>
          <w:szCs w:val="22"/>
          <w:color w:val="auto"/>
        </w:rPr>
        <w:t>. Purchaser herewith delivers to the Company the full purchase price of the Shares and any required Tax-Related Items to be paid in connection with the exercise of the Option.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Representations of Purchaser</w:t>
      </w:r>
      <w:r>
        <w:rPr>
          <w:rFonts w:ascii="Arial" w:cs="Arial" w:eastAsia="Arial" w:hAnsi="Arial"/>
          <w:sz w:val="22"/>
          <w:szCs w:val="22"/>
          <w:color w:val="auto"/>
        </w:rPr>
        <w:t>. Purchaser acknowledges that Purchaser has received, read and understood the Plan and the Award Agreement and agrees to abide by and be bound by their terms and conditions.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Purchaser understands that Purchaser may suffer adverse tax or financial consequences as a result of Purchaser’s purchase or disposition of the Shares. Further, the Company is not providing any tax, legal, or financial advice, nor is the Company making any recommendations regarding Purchaser’s participation in the Plan or Purchaser’s acquisition or sale of the underlying Shares. Purchaser represents that Purchaser has consulted with any tax, legal, or financial consultants Purchaser deems advisable in connection with the purchase or disposition of the Shares, and that Purchaser is not relying on the Company for any such advice.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Entire Agreement; Governing Law</w:t>
      </w:r>
      <w:r>
        <w:rPr>
          <w:rFonts w:ascii="Arial" w:cs="Arial" w:eastAsia="Arial" w:hAnsi="Arial"/>
          <w:sz w:val="22"/>
          <w:szCs w:val="22"/>
          <w:color w:val="auto"/>
        </w:rPr>
        <w:t>. The Plan and Award Agreement are incorporated herein by reference. This Exercise Notice, the Plan and the Award Agreement constitute the entire agreement of</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6712402-v5\GESDMS</w:t>
      </w:r>
    </w:p>
    <w:p>
      <w:pPr>
        <w:sectPr>
          <w:pgSz w:w="11900" w:h="16838" w:orient="portrait"/>
          <w:cols w:equalWidth="0" w:num="1">
            <w:col w:w="11420"/>
          </w:cols>
          <w:pgMar w:left="240" w:top="1031" w:right="239" w:bottom="1440" w:gutter="0" w:footer="0" w:header="0"/>
        </w:sectPr>
      </w:pPr>
    </w:p>
    <w:bookmarkStart w:id="199" w:name="page200"/>
    <w:bookmarkEnd w:id="199"/>
    <w:p>
      <w:pPr>
        <w:jc w:val="both"/>
        <w:spacing w:after="0" w:line="250" w:lineRule="auto"/>
        <w:rPr>
          <w:sz w:val="20"/>
          <w:szCs w:val="20"/>
          <w:color w:val="auto"/>
        </w:rPr>
      </w:pPr>
      <w:r>
        <w:rPr>
          <w:rFonts w:ascii="Arial" w:cs="Arial" w:eastAsia="Arial" w:hAnsi="Arial"/>
          <w:sz w:val="22"/>
          <w:szCs w:val="22"/>
          <w:color w:val="auto"/>
        </w:rPr>
        <w:t>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Submitted by:</w:t>
            </w:r>
          </w:p>
        </w:tc>
        <w:tc>
          <w:tcPr>
            <w:tcW w:w="35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Accepted by:</w:t>
            </w:r>
          </w:p>
        </w:tc>
      </w:tr>
      <w:tr>
        <w:trPr>
          <w:trHeight w:val="621"/>
        </w:trPr>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PURCHASER</w:t>
            </w:r>
          </w:p>
        </w:tc>
        <w:tc>
          <w:tcPr>
            <w:tcW w:w="354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989"/>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35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By</w:t>
            </w:r>
          </w:p>
        </w:tc>
      </w:tr>
      <w:tr>
        <w:trPr>
          <w:trHeight w:val="665"/>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Print Name</w:t>
            </w:r>
          </w:p>
        </w:tc>
        <w:tc>
          <w:tcPr>
            <w:tcW w:w="35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Title</w:t>
            </w:r>
          </w:p>
        </w:tc>
      </w:tr>
      <w:tr>
        <w:trPr>
          <w:trHeight w:val="571"/>
        </w:trPr>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35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6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Date Received</w:t>
            </w:r>
          </w:p>
        </w:tc>
      </w:tr>
      <w:tr>
        <w:trPr>
          <w:trHeight w:val="94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40" w:type="dxa"/>
            <w:vAlign w:val="bottom"/>
          </w:tcPr>
          <w:p>
            <w:pPr>
              <w:jc w:val="right"/>
              <w:ind w:right="2752"/>
              <w:spacing w:after="0"/>
              <w:rPr>
                <w:sz w:val="20"/>
                <w:szCs w:val="20"/>
                <w:color w:val="auto"/>
              </w:rPr>
            </w:pPr>
            <w:r>
              <w:rPr>
                <w:rFonts w:ascii="Arial" w:cs="Arial" w:eastAsia="Arial" w:hAnsi="Arial"/>
                <w:sz w:val="22"/>
                <w:szCs w:val="22"/>
                <w:color w:val="auto"/>
              </w:rPr>
              <w:t>-2-</w:t>
            </w:r>
          </w:p>
        </w:tc>
        <w:tc>
          <w:tcPr>
            <w:tcW w:w="3740" w:type="dxa"/>
            <w:vAlign w:val="bottom"/>
          </w:tcPr>
          <w:p>
            <w:pPr>
              <w:spacing w:after="0"/>
              <w:rPr>
                <w:sz w:val="24"/>
                <w:szCs w:val="24"/>
                <w:color w:val="auto"/>
              </w:rPr>
            </w:pPr>
          </w:p>
        </w:tc>
      </w:tr>
    </w:tbl>
    <w:p>
      <w:pPr>
        <w:sectPr>
          <w:pgSz w:w="11900" w:h="16838" w:orient="portrait"/>
          <w:cols w:equalWidth="0" w:num="1">
            <w:col w:w="11420"/>
          </w:cols>
          <w:pgMar w:left="240" w:top="56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ULC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BV</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30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Mexico, S. de R.L. de C.V.</w:t>
            </w: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Colombia S.A.S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Colombia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NZ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Korea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LLC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Qatar</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Italy S.R.L.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Networks Romania S.R.L.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Romania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Holding LLC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Accelops China</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4"/>
              </w:rPr>
              <w:t>Fortinet Turkey Güvenlik Sistemleri Limited Şirketi</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Spain S.L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Networks Mauritius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Bradford Networks,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Bradford Networks Europe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ZoneFox Holding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ZoneFox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Branch Holding Company</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enSilo,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enSilo,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enSilo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CyberSponse,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CyberSponse Federal,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CyberSponse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Austria GmbH</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Belgium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Belgium</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Denmark ApS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Finland Oy</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Finland</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Network (Thailand)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Thailand</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 Fortinet Indonesia Security</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38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bl>
    <w:p>
      <w:pPr>
        <w:sectPr>
          <w:pgSz w:w="11900" w:h="16838" w:orient="portrait"/>
          <w:cols w:equalWidth="0" w:num="1">
            <w:col w:w="10920"/>
          </w:cols>
          <w:pgMar w:left="740" w:top="55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Nos. 333-229894, 333-223246, 333-216362, 333-209783, 333-205958, 333-202402, 333-194281, 333-186921, 333-179751, 333-175985, 333-172459 and, 333-163367 on Form S-8 of our reports dated February 25, 2020, relating to the financial statements and the effectiveness of the Company's internal control over financial reporting, appearing in the Annual Report on Form 10-K of the Company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5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2019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25, 2020</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Annual Report on Form 10-K of Fortinet, Inc. for the fiscal year ended December 31, 2019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25, 2020</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326"/>
    </w:lvl>
  </w:abstractNum>
  <w:abstractNum w:abstractNumId="40">
    <w:nsid w:val="613EFDC5"/>
    <w:multiLevelType w:val="hybridMultilevel"/>
    <w:lvl w:ilvl="0">
      <w:lvlJc w:val="left"/>
      <w:lvlText w:val="%1."/>
      <w:numFmt w:val="decimal"/>
      <w:start w:val="2"/>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3"/>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decimal"/>
      <w:start w:val="4"/>
    </w:lvl>
  </w:abstractNum>
  <w:abstractNum w:abstractNumId="45">
    <w:nsid w:val="8F2B15E"/>
    <w:multiLevelType w:val="hybridMultilevel"/>
    <w:lvl w:ilvl="0">
      <w:lvlJc w:val="left"/>
      <w:lvlText w:val="%1."/>
      <w:numFmt w:val="decimal"/>
      <w:start w:val="5"/>
    </w:lvl>
  </w:abstractNum>
  <w:abstractNum w:abstractNumId="46">
    <w:nsid w:val="1A32234B"/>
    <w:multiLevelType w:val="hybridMultilevel"/>
    <w:lvl w:ilvl="0">
      <w:lvlJc w:val="left"/>
      <w:lvlText w:val="%1."/>
      <w:numFmt w:val="decimal"/>
      <w:start w:val="6"/>
    </w:lvl>
  </w:abstractNum>
  <w:abstractNum w:abstractNumId="47">
    <w:nsid w:val="3B0FD379"/>
    <w:multiLevelType w:val="hybridMultilevel"/>
    <w:lvl w:ilvl="0">
      <w:lvlJc w:val="left"/>
      <w:lvlText w:val="%1."/>
      <w:numFmt w:val="decimal"/>
      <w:start w:val="7"/>
    </w:lvl>
  </w:abstractNum>
  <w:abstractNum w:abstractNumId="48">
    <w:nsid w:val="68EB2F63"/>
    <w:multiLevelType w:val="hybridMultilevel"/>
    <w:lvl w:ilvl="0">
      <w:lvlJc w:val="left"/>
      <w:lvlText w:val="%1."/>
      <w:numFmt w:val="decimal"/>
      <w:start w:val="9"/>
    </w:lvl>
  </w:abstractNum>
  <w:abstractNum w:abstractNumId="49">
    <w:nsid w:val="4962813B"/>
    <w:multiLevelType w:val="hybridMultilevel"/>
    <w:lvl w:ilvl="0">
      <w:lvlJc w:val="left"/>
      <w:lvlText w:val="%1."/>
      <w:numFmt w:val="decimal"/>
      <w:start w:val="10"/>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1"/>
    </w:lvl>
  </w:abstractNum>
  <w:abstractNum w:abstractNumId="52">
    <w:nsid w:val="14330624"/>
    <w:multiLevelType w:val="hybridMultilevel"/>
    <w:lvl w:ilvl="0">
      <w:lvlJc w:val="left"/>
      <w:lvlText w:val="%1."/>
      <w:numFmt w:val="decimal"/>
      <w:start w:val="12"/>
    </w:lvl>
  </w:abstractNum>
  <w:abstractNum w:abstractNumId="53">
    <w:nsid w:val="7FFFCA11"/>
    <w:multiLevelType w:val="hybridMultilevel"/>
    <w:lvl w:ilvl="0">
      <w:lvlJc w:val="left"/>
      <w:lvlText w:val="%1."/>
      <w:numFmt w:val="decimal"/>
      <w:start w:val="13"/>
    </w:lvl>
  </w:abstractNum>
  <w:abstractNum w:abstractNumId="54">
    <w:nsid w:val="1A27709E"/>
    <w:multiLevelType w:val="hybridMultilevel"/>
    <w:lvl w:ilvl="0">
      <w:lvlJc w:val="left"/>
      <w:lvlText w:val="%1."/>
      <w:numFmt w:val="decimal"/>
      <w:start w:val="14"/>
    </w:lvl>
  </w:abstractNum>
  <w:abstractNum w:abstractNumId="55">
    <w:nsid w:val="71EA1109"/>
    <w:multiLevelType w:val="hybridMultilevel"/>
    <w:lvl w:ilvl="0">
      <w:lvlJc w:val="left"/>
      <w:lvlText w:val="%1."/>
      <w:numFmt w:val="decimal"/>
      <w:start w:val="15"/>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16"/>
    </w:lvl>
  </w:abstractNum>
  <w:abstractNum w:abstractNumId="58">
    <w:nsid w:val="6EB5BD4"/>
    <w:multiLevelType w:val="hybridMultilevel"/>
    <w:lvl w:ilvl="0">
      <w:lvlJc w:val="left"/>
      <w:lvlText w:val="%1."/>
      <w:numFmt w:val="decimal"/>
      <w:start w:val="17"/>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3"/>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upperLetter"/>
      <w:start w:val="9"/>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70">
    <w:nsid w:val="46B7D447"/>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71">
    <w:nsid w:val="4A2AC315"/>
    <w:multiLevelType w:val="hybridMultilevel"/>
    <w:lvl w:ilvl="0">
      <w:lvlJc w:val="left"/>
      <w:lvlText w:val="%1"/>
      <w:numFmt w:val="lowerRoman"/>
      <w:start w:val="1"/>
    </w:lvl>
    <w:lvl w:ilvl="1">
      <w:lvlJc w:val="left"/>
      <w:lvlText w:val="(%2)"/>
      <w:numFmt w:val="lowerLetter"/>
      <w:start w:val="2"/>
    </w:lvl>
  </w:abstractNum>
  <w:abstractNum w:abstractNumId="72">
    <w:nsid w:val="39EE015C"/>
    <w:multiLevelType w:val="hybridMultilevel"/>
    <w:lvl w:ilvl="0">
      <w:lvlJc w:val="left"/>
      <w:lvlText w:val="(%1)"/>
      <w:numFmt w:val="lowerRoman"/>
      <w:start w:val="4"/>
    </w:lvl>
    <w:lvl w:ilvl="1">
      <w:lvlJc w:val="left"/>
      <w:lvlText w:val="(%2)"/>
      <w:numFmt w:val="lowerLetter"/>
      <w:start w:val="3"/>
    </w:lvl>
  </w:abstractNum>
  <w:abstractNum w:abstractNumId="73">
    <w:nsid w:val="57FC4FBB"/>
    <w:multiLevelType w:val="hybridMultilevel"/>
    <w:lvl w:ilvl="0">
      <w:lvlJc w:val="left"/>
      <w:lvlText w:val="%1."/>
      <w:numFmt w:val="decimal"/>
      <w:start w:val="9"/>
    </w:lvl>
  </w:abstractNum>
  <w:abstractNum w:abstractNumId="74">
    <w:nsid w:val="CC1016F"/>
    <w:multiLevelType w:val="hybridMultilevel"/>
    <w:lvl w:ilvl="0">
      <w:lvlJc w:val="left"/>
      <w:lvlText w:val="%1."/>
      <w:numFmt w:val="decimal"/>
      <w:start w:val="10"/>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8"/>
    </w:lvl>
    <w:lvl w:ilvl="1">
      <w:lvlJc w:val="left"/>
      <w:lvlText w:val="(%2)"/>
      <w:numFmt w:val="lowerRoman"/>
      <w:start w:val="1"/>
    </w:lvl>
  </w:abstractNum>
  <w:abstractNum w:abstractNumId="77">
    <w:nsid w:val="26F324BA"/>
    <w:multiLevelType w:val="hybridMultilevel"/>
    <w:lvl w:ilvl="0">
      <w:lvlJc w:val="left"/>
      <w:lvlText w:val="%1."/>
      <w:numFmt w:val="decimal"/>
      <w:start w:val="12"/>
    </w:lvl>
  </w:abstractNum>
  <w:abstractNum w:abstractNumId="78">
    <w:nsid w:val="7F01579B"/>
    <w:multiLevelType w:val="hybridMultilevel"/>
    <w:lvl w:ilvl="0">
      <w:lvlJc w:val="left"/>
      <w:lvlText w:val="%1."/>
      <w:numFmt w:val="decimal"/>
      <w:start w:val="14"/>
    </w:lvl>
  </w:abstractNum>
  <w:abstractNum w:abstractNumId="79">
    <w:nsid w:val="49DA307D"/>
    <w:multiLevelType w:val="hybridMultilevel"/>
    <w:lvl w:ilvl="0">
      <w:lvlJc w:val="left"/>
      <w:lvlText w:val="%1."/>
      <w:numFmt w:val="decimal"/>
      <w:start w:val="17"/>
    </w:lvl>
  </w:abstractNum>
  <w:abstractNum w:abstractNumId="80">
    <w:nsid w:val="7055A5F5"/>
    <w:multiLevelType w:val="hybridMultilevel"/>
    <w:lvl w:ilvl="0">
      <w:lvlJc w:val="left"/>
      <w:lvlText w:val="%1."/>
      <w:numFmt w:val="decimal"/>
      <w:start w:val="24"/>
    </w:lvl>
  </w:abstractNum>
  <w:abstractNum w:abstractNumId="81">
    <w:nsid w:val="5FB8370B"/>
    <w:multiLevelType w:val="hybridMultilevel"/>
    <w:lvl w:ilvl="0">
      <w:lvlJc w:val="left"/>
      <w:lvlText w:val="%1."/>
      <w:numFmt w:val="decimal"/>
      <w:start w:val="29"/>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6"/>
    </w:lvl>
  </w:abstractNum>
  <w:abstractNum w:abstractNumId="84">
    <w:nsid w:val="5FB8011C"/>
    <w:multiLevelType w:val="hybridMultilevel"/>
    <w:lvl w:ilvl="0">
      <w:lvlJc w:val="left"/>
      <w:lvlText w:val="%1."/>
      <w:numFmt w:val="decimal"/>
      <w:start w:val="1"/>
    </w:lvl>
  </w:abstractNum>
  <w:abstractNum w:abstractNumId="85">
    <w:nsid w:val="6AA78F7F"/>
    <w:multiLevelType w:val="hybridMultilevel"/>
    <w:lvl w:ilvl="0">
      <w:lvlJc w:val="left"/>
      <w:lvlText w:val="%1."/>
      <w:numFmt w:val="decimal"/>
      <w:start w:val="7"/>
    </w:lvl>
  </w:abstractNum>
  <w:abstractNum w:abstractNumId="86">
    <w:nsid w:val="7672BD23"/>
    <w:multiLevelType w:val="hybridMultilevel"/>
    <w:lvl w:ilvl="0">
      <w:lvlJc w:val="left"/>
      <w:lvlText w:val="(%1)"/>
      <w:numFmt w:val="lowerRoman"/>
      <w:start w:val="1"/>
    </w:lvl>
  </w:abstractNum>
  <w:abstractNum w:abstractNumId="87">
    <w:nsid w:val="6FC75AF8"/>
    <w:multiLevelType w:val="hybridMultilevel"/>
    <w:lvl w:ilvl="0">
      <w:lvlJc w:val="left"/>
      <w:lvlText w:val="%1)"/>
      <w:numFmt w:val="decimal"/>
      <w:start w:val="5"/>
    </w:lvl>
  </w:abstractNum>
  <w:abstractNum w:abstractNumId="88">
    <w:nsid w:val="6A5F7029"/>
    <w:multiLevelType w:val="hybridMultilevel"/>
    <w:lvl w:ilvl="0">
      <w:lvlJc w:val="left"/>
      <w:lvlText w:val="%1."/>
      <w:numFmt w:val="upperLetter"/>
      <w:start w:val="9"/>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2"/>
    </w:lvl>
    <w:lvl w:ilvl="1">
      <w:lvlJc w:val="left"/>
      <w:lvlText w:val="(%2)"/>
      <w:numFmt w:val="lowerLetter"/>
      <w:start w:val="1"/>
    </w:lvl>
  </w:abstractNum>
  <w:abstractNum w:abstractNumId="91">
    <w:nsid w:val="73A1821B"/>
    <w:multiLevelType w:val="hybridMultilevel"/>
    <w:lvl w:ilvl="0">
      <w:lvlJc w:val="left"/>
      <w:lvlText w:val="%1."/>
      <w:numFmt w:val="decimal"/>
      <w:start w:val="3"/>
    </w:lvl>
    <w:lvl w:ilvl="1">
      <w:lvlJc w:val="left"/>
      <w:lvlText w:val="(%2)"/>
      <w:numFmt w:val="lowerLetter"/>
      <w:start w:val="1"/>
    </w:lvl>
  </w:abstractNum>
  <w:abstractNum w:abstractNumId="92">
    <w:nsid w:val="7DE67713"/>
    <w:multiLevelType w:val="hybridMultilevel"/>
    <w:lvl w:ilvl="0">
      <w:lvlJc w:val="left"/>
      <w:lvlText w:val="%1."/>
      <w:numFmt w:val="decimal"/>
      <w:start w:val="5"/>
    </w:lvl>
    <w:lvl w:ilvl="1">
      <w:lvlJc w:val="left"/>
      <w:lvlText w:val="(%2)"/>
      <w:numFmt w:val="lowerLetter"/>
      <w:start w:val="1"/>
    </w:lvl>
  </w:abstractNum>
  <w:abstractNum w:abstractNumId="93">
    <w:nsid w:val="555C55B5"/>
    <w:multiLevelType w:val="hybridMultilevel"/>
    <w:lvl w:ilvl="0">
      <w:lvlJc w:val="left"/>
      <w:lvlText w:val="(%1)"/>
      <w:numFmt w:val="lowerLetter"/>
      <w:start w:val="2"/>
    </w:lvl>
  </w:abstractNum>
  <w:abstractNum w:abstractNumId="94">
    <w:nsid w:val="3FA62ACA"/>
    <w:multiLevelType w:val="hybridMultilevel"/>
    <w:lvl w:ilvl="0">
      <w:lvlJc w:val="left"/>
      <w:lvlText w:val="%1"/>
      <w:numFmt w:val="decimal"/>
      <w:start w:val="1"/>
    </w:lvl>
    <w:lvl w:ilvl="1">
      <w:lvlJc w:val="left"/>
      <w:lvlText w:val="(%2)"/>
      <w:numFmt w:val="lowerLetter"/>
      <w:start w:val="2"/>
    </w:lvl>
  </w:abstractNum>
  <w:abstractNum w:abstractNumId="95">
    <w:nsid w:val="14FCE74E"/>
    <w:multiLevelType w:val="hybridMultilevel"/>
    <w:lvl w:ilvl="0">
      <w:lvlJc w:val="left"/>
      <w:lvlText w:val="%1."/>
      <w:numFmt w:val="decimal"/>
      <w:start w:val="7"/>
    </w:lvl>
    <w:lvl w:ilvl="1">
      <w:lvlJc w:val="left"/>
      <w:lvlText w:val="%2"/>
      <w:numFmt w:val="lowerLetter"/>
      <w:start w:val="1"/>
    </w:lvl>
  </w:abstractNum>
  <w:abstractNum w:abstractNumId="96">
    <w:nsid w:val="6A3DD3E8"/>
    <w:multiLevelType w:val="hybridMultilevel"/>
    <w:lvl w:ilvl="0">
      <w:lvlJc w:val="left"/>
      <w:lvlText w:val="%1."/>
      <w:numFmt w:val="decimal"/>
      <w:start w:val="8"/>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9"/>
    </w:lvl>
  </w:abstractNum>
  <w:abstractNum w:abstractNumId="99">
    <w:nsid w:val="53299938"/>
    <w:multiLevelType w:val="hybridMultilevel"/>
    <w:lvl w:ilvl="0">
      <w:lvlJc w:val="left"/>
      <w:lvlText w:val="%1"/>
      <w:numFmt w:val="decimal"/>
      <w:start w:val="1"/>
    </w:lvl>
    <w:lvl w:ilvl="1">
      <w:lvlJc w:val="left"/>
      <w:lvlText w:val="(%2)"/>
      <w:numFmt w:val="lowerLetter"/>
      <w:start w:val="14"/>
    </w:lvl>
  </w:abstractNum>
  <w:abstractNum w:abstractNumId="100">
    <w:nsid w:val="1FBFE8E0"/>
    <w:multiLevelType w:val="hybridMultilevel"/>
    <w:lvl w:ilvl="0">
      <w:lvlJc w:val="left"/>
      <w:lvlText w:val="%1."/>
      <w:numFmt w:val="decimal"/>
      <w:start w:val="10"/>
    </w:lvl>
    <w:lvl w:ilvl="1">
      <w:lvlJc w:val="left"/>
      <w:lvlText w:val="%2"/>
      <w:numFmt w:val="lowerLetter"/>
      <w:start w:val="1"/>
    </w:lvl>
  </w:abstractNum>
  <w:abstractNum w:abstractNumId="101">
    <w:nsid w:val="5092CA79"/>
    <w:multiLevelType w:val="hybridMultilevel"/>
    <w:lvl w:ilvl="0">
      <w:lvlJc w:val="left"/>
      <w:lvlText w:val="%1."/>
      <w:numFmt w:val="decimal"/>
      <w:start w:val="12"/>
    </w:lvl>
  </w:abstractNum>
  <w:abstractNum w:abstractNumId="102">
    <w:nsid w:val="1D545C4D"/>
    <w:multiLevelType w:val="hybridMultilevel"/>
    <w:lvl w:ilvl="0">
      <w:lvlJc w:val="left"/>
      <w:lvlText w:val="%1."/>
      <w:numFmt w:val="decimal"/>
      <w:start w:val="16"/>
    </w:lvl>
  </w:abstractNum>
  <w:abstractNum w:abstractNumId="103">
    <w:nsid w:val="59ADEA3D"/>
    <w:multiLevelType w:val="hybridMultilevel"/>
    <w:lvl w:ilvl="0">
      <w:lvlJc w:val="left"/>
      <w:lvlText w:val="%1."/>
      <w:numFmt w:val="decimal"/>
      <w:start w:val="24"/>
    </w:lvl>
  </w:abstractNum>
  <w:abstractNum w:abstractNumId="104">
    <w:nsid w:val="288F1A34"/>
    <w:multiLevelType w:val="hybridMultilevel"/>
    <w:lvl w:ilvl="0">
      <w:lvlJc w:val="left"/>
      <w:lvlText w:val="%1."/>
      <w:numFmt w:val="decimal"/>
      <w:start w:val="29"/>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8"/>
    </w:lvl>
  </w:abstractNum>
  <w:abstractNum w:abstractNumId="108">
    <w:nsid w:val="51088277"/>
    <w:multiLevelType w:val="hybridMultilevel"/>
    <w:lvl w:ilvl="0">
      <w:lvlJc w:val="left"/>
      <w:lvlText w:val="%1)"/>
      <w:numFmt w:val="decimal"/>
      <w:start w:val="5"/>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2"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24" Type="http://schemas.openxmlformats.org/officeDocument/2006/relationships/hyperlink" Target="http://www.sec.gov/Archives/edgar/data/1262039/000126203918000023/exhibit31-amendedandrestat.htm" TargetMode="External"/><Relationship Id="rId25" Type="http://schemas.openxmlformats.org/officeDocument/2006/relationships/hyperlink" Target="http://www.sec.gov/Archives/edgar/data/1262039/000126203918000023/exhibit32-amendedandrestat.htm" TargetMode="External"/><Relationship Id="rId26" Type="http://schemas.openxmlformats.org/officeDocument/2006/relationships/hyperlink" Target="http://www.sec.gov/Archives/edgar/data/1262039/000119312509220527/dex41.htm" TargetMode="External"/><Relationship Id="rId27" Type="http://schemas.openxmlformats.org/officeDocument/2006/relationships/hyperlink" Target="http://www.sec.gov/Archives/edgar/data/1262039/000119312509169817/dex101.htm" TargetMode="External"/><Relationship Id="rId28" Type="http://schemas.openxmlformats.org/officeDocument/2006/relationships/hyperlink" Target="http://www.sec.gov/Archives/edgar/data/1262039/000126203919000023/ftnt-ex101amendedandre.htm" TargetMode="External"/><Relationship Id="rId29" Type="http://schemas.openxmlformats.org/officeDocument/2006/relationships/hyperlink" Target="http://www.sec.gov/Archives/edgar/data/1262039/000126203912000013/ftnt-ex105_20111231xk.htm" TargetMode="External"/><Relationship Id="rId30" Type="http://schemas.openxmlformats.org/officeDocument/2006/relationships/hyperlink" Target="http://www.sec.gov/Archives/edgar/data/1262039/000126203913000044/fortinet_20130630x10-qex991.htm" TargetMode="External"/><Relationship Id="rId31" Type="http://schemas.openxmlformats.org/officeDocument/2006/relationships/hyperlink" Target="http://www.sec.gov/Archives/edgar/data/1262039/000126203915000009/ftnt-ex107_20141231xk.htm" TargetMode="External"/><Relationship Id="rId33" Type="http://schemas.openxmlformats.org/officeDocument/2006/relationships/hyperlink" Target="http://www.sec.gov/Archives/edgar/data/1262039/000119312510013031/dex101.htm" TargetMode="External"/><Relationship Id="rId34" Type="http://schemas.openxmlformats.org/officeDocument/2006/relationships/hyperlink" Target="http://www.sec.gov/Archives/edgar/data/1262039/000126203913000055/fortinet_20130930x10-qex101.htm" TargetMode="External"/><Relationship Id="rId35" Type="http://schemas.openxmlformats.org/officeDocument/2006/relationships/hyperlink" Target="http://www.sec.gov/Archives/edgar/data/1262039/000126203915000024/ftnt-ex101_20150630xqxcoca.htm" TargetMode="External"/><Relationship Id="rId36" Type="http://schemas.openxmlformats.org/officeDocument/2006/relationships/hyperlink" Target="http://www.sec.gov/Archives/edgar/data/1262039/000126203919000023/ftnt-ex102changeofctrl.htm" TargetMode="External"/><Relationship Id="rId37" Type="http://schemas.openxmlformats.org/officeDocument/2006/relationships/hyperlink" Target="http://www.sec.gov/Archives/edgar/data/1262039/000126203919000023/ftnt-ex103changeofctrl.htm" TargetMode="External"/><Relationship Id="rId38" Type="http://schemas.openxmlformats.org/officeDocument/2006/relationships/hyperlink" Target="http://www.sec.gov/Archives/edgar/data/1262039/000126203919000023/ftnt-ex104changeofctrl.htm" TargetMode="External"/><Relationship Id="rId39" Type="http://schemas.openxmlformats.org/officeDocument/2006/relationships/hyperlink" Target="http://www.sec.gov/Archives/edgar/data/1262039/000119312509169817/dex1010.htm" TargetMode="External"/><Relationship Id="rId40" Type="http://schemas.openxmlformats.org/officeDocument/2006/relationships/hyperlink" Target="http://www.sec.gov/Archives/edgar/data/1262039/000126203918000009/ftnt-ex1022_20171231xk.htm" TargetMode="External"/><Relationship Id="rId41" Type="http://schemas.openxmlformats.org/officeDocument/2006/relationships/hyperlink" Target="http://www.sec.gov/Archives/edgar/data/1262039/000126203919000023/ftnt-ex105changeofct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2020-02-26T05:08:32Z</dcterms:created>
  <dcterms:modified xsi:type="dcterms:W3CDTF">2020-02-26T05:08:32Z</dcterms:modified>
</cp:coreProperties>
</file>