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483870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449580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375" w:lineRule="exact"/>
        <w:rPr>
          <w:sz w:val="24"/>
          <w:szCs w:val="24"/>
          <w:color w:val="auto"/>
        </w:rPr>
      </w:pPr>
    </w:p>
    <w:p>
      <w:pPr>
        <w:ind w:left="3660" w:right="1660" w:hanging="3634"/>
        <w:spacing w:after="0" w:line="394" w:lineRule="auto"/>
        <w:tabs>
          <w:tab w:leader="none" w:pos="409" w:val="left"/>
        </w:tabs>
        <w:numPr>
          <w:ilvl w:val="0"/>
          <w:numId w:val="1"/>
        </w:numPr>
        <w:rPr>
          <w:rFonts w:ascii="MS PGothic" w:cs="MS PGothic" w:eastAsia="MS PGothic" w:hAnsi="MS PGothic"/>
          <w:sz w:val="25"/>
          <w:szCs w:val="25"/>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55"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25"/>
          <w:szCs w:val="25"/>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5100" w:type="dxa"/>
            <w:vAlign w:val="bottom"/>
          </w:tcPr>
          <w:p>
            <w:pPr>
              <w:ind w:left="2740"/>
              <w:spacing w:after="0"/>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c>
          <w:tcPr>
            <w:tcW w:w="2280" w:type="dxa"/>
            <w:vAlign w:val="bottom"/>
          </w:tcPr>
          <w:p>
            <w:pPr>
              <w:spacing w:after="0"/>
              <w:rPr>
                <w:sz w:val="17"/>
                <w:szCs w:val="17"/>
                <w:color w:val="auto"/>
              </w:rPr>
            </w:pPr>
          </w:p>
        </w:tc>
      </w:tr>
      <w:tr>
        <w:trPr>
          <w:trHeight w:val="384"/>
        </w:trPr>
        <w:tc>
          <w:tcPr>
            <w:tcW w:w="8700" w:type="dxa"/>
            <w:vAlign w:val="bottom"/>
            <w:gridSpan w:val="6"/>
          </w:tcPr>
          <w:p>
            <w:pPr>
              <w:jc w:val="center"/>
              <w:ind w:left="331"/>
              <w:spacing w:after="0"/>
              <w:rPr>
                <w:sz w:val="20"/>
                <w:szCs w:val="20"/>
                <w:color w:val="auto"/>
              </w:rPr>
            </w:pPr>
            <w:r>
              <w:rPr>
                <w:rFonts w:ascii="Arial" w:cs="Arial" w:eastAsia="Arial" w:hAnsi="Arial"/>
                <w:sz w:val="18"/>
                <w:szCs w:val="18"/>
                <w:b w:val="1"/>
                <w:bCs w:val="1"/>
                <w:color w:val="auto"/>
                <w:w w:val="89"/>
              </w:rPr>
              <w:t>Commission file number: 001-34511</w:t>
            </w:r>
          </w:p>
        </w:tc>
      </w:tr>
      <w:tr>
        <w:trPr>
          <w:trHeight w:val="207"/>
        </w:trPr>
        <w:tc>
          <w:tcPr>
            <w:tcW w:w="6420" w:type="dxa"/>
            <w:vAlign w:val="bottom"/>
            <w:gridSpan w:val="5"/>
          </w:tcPr>
          <w:p>
            <w:pPr>
              <w:jc w:val="center"/>
              <w:ind w:left="2631"/>
              <w:spacing w:after="0"/>
              <w:rPr>
                <w:sz w:val="20"/>
                <w:szCs w:val="20"/>
                <w:color w:val="auto"/>
              </w:rPr>
            </w:pPr>
            <w:r>
              <w:rPr>
                <w:rFonts w:ascii="Arial" w:cs="Arial" w:eastAsia="Arial" w:hAnsi="Arial"/>
                <w:sz w:val="18"/>
                <w:szCs w:val="18"/>
                <w:color w:val="auto"/>
                <w:w w:val="89"/>
              </w:rPr>
              <w:t>______________________________________</w:t>
            </w:r>
          </w:p>
        </w:tc>
        <w:tc>
          <w:tcPr>
            <w:tcW w:w="2280" w:type="dxa"/>
            <w:vAlign w:val="bottom"/>
          </w:tcPr>
          <w:p>
            <w:pPr>
              <w:spacing w:after="0"/>
              <w:rPr>
                <w:sz w:val="18"/>
                <w:szCs w:val="18"/>
                <w:color w:val="auto"/>
              </w:rPr>
            </w:pPr>
          </w:p>
        </w:tc>
      </w:tr>
      <w:tr>
        <w:trPr>
          <w:trHeight w:val="306"/>
        </w:trPr>
        <w:tc>
          <w:tcPr>
            <w:tcW w:w="5680" w:type="dxa"/>
            <w:vAlign w:val="bottom"/>
            <w:gridSpan w:val="3"/>
          </w:tcPr>
          <w:p>
            <w:pPr>
              <w:jc w:val="center"/>
              <w:ind w:left="3371"/>
              <w:spacing w:after="0"/>
              <w:rPr>
                <w:sz w:val="20"/>
                <w:szCs w:val="20"/>
                <w:color w:val="auto"/>
              </w:rPr>
            </w:pPr>
            <w:r>
              <w:rPr>
                <w:rFonts w:ascii="Arial" w:cs="Arial" w:eastAsia="Arial" w:hAnsi="Arial"/>
                <w:sz w:val="25"/>
                <w:szCs w:val="25"/>
                <w:b w:val="1"/>
                <w:bCs w:val="1"/>
                <w:color w:val="auto"/>
              </w:rPr>
              <w:t>FORTINET, INC.</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7"/>
        </w:trPr>
        <w:tc>
          <w:tcPr>
            <w:tcW w:w="8700" w:type="dxa"/>
            <w:vAlign w:val="bottom"/>
            <w:gridSpan w:val="6"/>
          </w:tcPr>
          <w:p>
            <w:pPr>
              <w:jc w:val="center"/>
              <w:ind w:left="35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206"/>
        </w:trPr>
        <w:tc>
          <w:tcPr>
            <w:tcW w:w="6420" w:type="dxa"/>
            <w:vAlign w:val="bottom"/>
            <w:gridSpan w:val="5"/>
          </w:tcPr>
          <w:p>
            <w:pPr>
              <w:jc w:val="center"/>
              <w:ind w:left="2611"/>
              <w:spacing w:after="0"/>
              <w:rPr>
                <w:sz w:val="20"/>
                <w:szCs w:val="20"/>
                <w:color w:val="auto"/>
              </w:rPr>
            </w:pPr>
            <w:r>
              <w:rPr>
                <w:rFonts w:ascii="Arial" w:cs="Arial" w:eastAsia="Arial" w:hAnsi="Arial"/>
                <w:sz w:val="16"/>
                <w:szCs w:val="16"/>
                <w:color w:val="auto"/>
                <w:w w:val="91"/>
              </w:rPr>
              <w:t>______________________________________</w:t>
            </w:r>
          </w:p>
        </w:tc>
        <w:tc>
          <w:tcPr>
            <w:tcW w:w="2280" w:type="dxa"/>
            <w:vAlign w:val="bottom"/>
          </w:tcPr>
          <w:p>
            <w:pPr>
              <w:spacing w:after="0"/>
              <w:rPr>
                <w:sz w:val="17"/>
                <w:szCs w:val="17"/>
                <w:color w:val="auto"/>
              </w:rPr>
            </w:pPr>
          </w:p>
        </w:tc>
      </w:tr>
      <w:tr>
        <w:trPr>
          <w:trHeight w:val="681"/>
        </w:trPr>
        <w:tc>
          <w:tcPr>
            <w:tcW w:w="5680" w:type="dxa"/>
            <w:vAlign w:val="bottom"/>
            <w:gridSpan w:val="3"/>
          </w:tcPr>
          <w:p>
            <w:pPr>
              <w:jc w:val="center"/>
              <w:ind w:right="356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gridSpan w:val="3"/>
          </w:tcPr>
          <w:p>
            <w:pPr>
              <w:jc w:val="center"/>
              <w:ind w:left="1650"/>
              <w:spacing w:after="0"/>
              <w:rPr>
                <w:sz w:val="20"/>
                <w:szCs w:val="20"/>
                <w:color w:val="auto"/>
              </w:rPr>
            </w:pPr>
            <w:r>
              <w:rPr>
                <w:rFonts w:ascii="Arial" w:cs="Arial" w:eastAsia="Arial" w:hAnsi="Arial"/>
                <w:sz w:val="18"/>
                <w:szCs w:val="18"/>
                <w:b w:val="1"/>
                <w:bCs w:val="1"/>
                <w:color w:val="auto"/>
                <w:w w:val="91"/>
              </w:rPr>
              <w:t>77-0560389</w:t>
            </w:r>
          </w:p>
        </w:tc>
      </w:tr>
      <w:tr>
        <w:trPr>
          <w:trHeight w:val="202"/>
        </w:trPr>
        <w:tc>
          <w:tcPr>
            <w:tcW w:w="5680" w:type="dxa"/>
            <w:vAlign w:val="bottom"/>
            <w:gridSpan w:val="3"/>
          </w:tcPr>
          <w:p>
            <w:pPr>
              <w:jc w:val="center"/>
              <w:ind w:right="3580"/>
              <w:spacing w:after="0"/>
              <w:rPr>
                <w:sz w:val="20"/>
                <w:szCs w:val="20"/>
                <w:color w:val="auto"/>
              </w:rPr>
            </w:pPr>
            <w:r>
              <w:rPr>
                <w:rFonts w:ascii="Arial" w:cs="Arial" w:eastAsia="Arial" w:hAnsi="Arial"/>
                <w:sz w:val="16"/>
                <w:szCs w:val="16"/>
                <w:b w:val="1"/>
                <w:bCs w:val="1"/>
                <w:color w:val="auto"/>
                <w:w w:val="91"/>
              </w:rPr>
              <w:t>(State or other jurisdiction of</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tcPr>
          <w:p>
            <w:pPr>
              <w:jc w:val="center"/>
              <w:ind w:left="919"/>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5680" w:type="dxa"/>
            <w:vAlign w:val="bottom"/>
            <w:gridSpan w:val="3"/>
          </w:tcPr>
          <w:p>
            <w:pPr>
              <w:jc w:val="center"/>
              <w:ind w:right="3560"/>
              <w:spacing w:after="0"/>
              <w:rPr>
                <w:sz w:val="20"/>
                <w:szCs w:val="20"/>
                <w:color w:val="auto"/>
              </w:rPr>
            </w:pPr>
            <w:r>
              <w:rPr>
                <w:rFonts w:ascii="Arial" w:cs="Arial" w:eastAsia="Arial" w:hAnsi="Arial"/>
                <w:sz w:val="16"/>
                <w:szCs w:val="16"/>
                <w:b w:val="1"/>
                <w:bCs w:val="1"/>
                <w:color w:val="auto"/>
                <w:w w:val="92"/>
              </w:rPr>
              <w:t>incorporation or organization)</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jc w:val="center"/>
              <w:ind w:left="919"/>
              <w:spacing w:after="0"/>
              <w:rPr>
                <w:sz w:val="20"/>
                <w:szCs w:val="20"/>
                <w:color w:val="auto"/>
              </w:rPr>
            </w:pPr>
            <w:r>
              <w:rPr>
                <w:rFonts w:ascii="Arial" w:cs="Arial" w:eastAsia="Arial" w:hAnsi="Arial"/>
                <w:sz w:val="16"/>
                <w:szCs w:val="16"/>
                <w:b w:val="1"/>
                <w:bCs w:val="1"/>
                <w:color w:val="auto"/>
                <w:w w:val="94"/>
              </w:rPr>
              <w:t>Identification No.)</w:t>
            </w:r>
          </w:p>
        </w:tc>
      </w:tr>
      <w:tr>
        <w:trPr>
          <w:trHeight w:val="622"/>
        </w:trPr>
        <w:tc>
          <w:tcPr>
            <w:tcW w:w="5680" w:type="dxa"/>
            <w:vAlign w:val="bottom"/>
            <w:gridSpan w:val="3"/>
          </w:tcPr>
          <w:p>
            <w:pPr>
              <w:jc w:val="center"/>
              <w:ind w:left="3371"/>
              <w:spacing w:after="0"/>
              <w:rPr>
                <w:sz w:val="20"/>
                <w:szCs w:val="20"/>
                <w:color w:val="auto"/>
              </w:rPr>
            </w:pPr>
            <w:r>
              <w:rPr>
                <w:rFonts w:ascii="Arial" w:cs="Arial" w:eastAsia="Arial" w:hAnsi="Arial"/>
                <w:sz w:val="18"/>
                <w:szCs w:val="18"/>
                <w:b w:val="1"/>
                <w:bCs w:val="1"/>
                <w:color w:val="auto"/>
                <w:w w:val="93"/>
              </w:rPr>
              <w:t>899 Kifer Road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0"/>
        </w:trPr>
        <w:tc>
          <w:tcPr>
            <w:tcW w:w="5680" w:type="dxa"/>
            <w:vAlign w:val="bottom"/>
            <w:gridSpan w:val="3"/>
          </w:tcPr>
          <w:p>
            <w:pPr>
              <w:jc w:val="center"/>
              <w:ind w:left="3371"/>
              <w:spacing w:after="0" w:line="181" w:lineRule="exact"/>
              <w:rPr>
                <w:sz w:val="20"/>
                <w:szCs w:val="20"/>
                <w:color w:val="auto"/>
              </w:rPr>
            </w:pPr>
            <w:r>
              <w:rPr>
                <w:rFonts w:ascii="Arial" w:cs="Arial" w:eastAsia="Arial" w:hAnsi="Arial"/>
                <w:sz w:val="18"/>
                <w:szCs w:val="18"/>
                <w:b w:val="1"/>
                <w:bCs w:val="1"/>
                <w:color w:val="auto"/>
                <w:w w:val="91"/>
              </w:rPr>
              <w:t>Sunnyvale, California 94086</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10"/>
        </w:trPr>
        <w:tc>
          <w:tcPr>
            <w:tcW w:w="8700" w:type="dxa"/>
            <w:vAlign w:val="bottom"/>
            <w:gridSpan w:val="6"/>
          </w:tcPr>
          <w:p>
            <w:pPr>
              <w:jc w:val="center"/>
              <w:ind w:left="331"/>
              <w:spacing w:after="0"/>
              <w:rPr>
                <w:sz w:val="20"/>
                <w:szCs w:val="20"/>
                <w:color w:val="auto"/>
              </w:rPr>
            </w:pPr>
            <w:r>
              <w:rPr>
                <w:rFonts w:ascii="Arial" w:cs="Arial" w:eastAsia="Arial" w:hAnsi="Arial"/>
                <w:sz w:val="16"/>
                <w:szCs w:val="16"/>
                <w:b w:val="1"/>
                <w:bCs w:val="1"/>
                <w:color w:val="auto"/>
                <w:w w:val="89"/>
              </w:rPr>
              <w:t>(Address of principal executive offices, including zip code)</w:t>
            </w:r>
          </w:p>
        </w:tc>
      </w:tr>
      <w:tr>
        <w:trPr>
          <w:trHeight w:val="424"/>
        </w:trPr>
        <w:tc>
          <w:tcPr>
            <w:tcW w:w="5640" w:type="dxa"/>
            <w:vAlign w:val="bottom"/>
            <w:gridSpan w:val="2"/>
          </w:tcPr>
          <w:p>
            <w:pPr>
              <w:jc w:val="center"/>
              <w:ind w:left="3391"/>
              <w:spacing w:after="0"/>
              <w:rPr>
                <w:sz w:val="20"/>
                <w:szCs w:val="20"/>
                <w:color w:val="auto"/>
              </w:rPr>
            </w:pPr>
            <w:r>
              <w:rPr>
                <w:rFonts w:ascii="Arial" w:cs="Arial" w:eastAsia="Arial" w:hAnsi="Arial"/>
                <w:sz w:val="18"/>
                <w:szCs w:val="18"/>
                <w:b w:val="1"/>
                <w:bCs w:val="1"/>
                <w:color w:val="auto"/>
                <w:w w:val="90"/>
              </w:rPr>
              <w:t>(408) 235-7700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0"/>
        </w:trPr>
        <w:tc>
          <w:tcPr>
            <w:tcW w:w="8700" w:type="dxa"/>
            <w:vAlign w:val="bottom"/>
            <w:gridSpan w:val="6"/>
          </w:tcPr>
          <w:p>
            <w:pPr>
              <w:jc w:val="center"/>
              <w:ind w:left="351"/>
              <w:spacing w:after="0"/>
              <w:rPr>
                <w:sz w:val="20"/>
                <w:szCs w:val="20"/>
                <w:color w:val="auto"/>
              </w:rPr>
            </w:pPr>
            <w:r>
              <w:rPr>
                <w:rFonts w:ascii="Arial" w:cs="Arial" w:eastAsia="Arial" w:hAnsi="Arial"/>
                <w:sz w:val="16"/>
                <w:szCs w:val="16"/>
                <w:b w:val="1"/>
                <w:bCs w:val="1"/>
                <w:color w:val="auto"/>
                <w:w w:val="90"/>
              </w:rPr>
              <w:t>(Registrant’s telephone number, including area code)</w:t>
            </w:r>
          </w:p>
        </w:tc>
      </w:tr>
    </w:tbl>
    <w:p>
      <w:pPr>
        <w:spacing w:after="0" w:line="10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ectPr>
          <w:pgSz w:w="11900" w:h="16838" w:orient="portrait"/>
          <w:cols w:equalWidth="0" w:num="1">
            <w:col w:w="11200"/>
          </w:cols>
          <w:pgMar w:left="320" w:top="229" w:right="379" w:bottom="1440" w:gutter="0" w:footer="0" w:header="0"/>
        </w:sectPr>
      </w:pPr>
    </w:p>
    <w:p>
      <w:pPr>
        <w:spacing w:after="0" w:line="154"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6"/>
          <w:szCs w:val="16"/>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1040"/>
        <w:spacing w:after="0"/>
        <w:rPr>
          <w:sz w:val="20"/>
          <w:szCs w:val="20"/>
          <w:color w:val="auto"/>
        </w:rPr>
      </w:pPr>
      <w:r>
        <w:rPr>
          <w:rFonts w:ascii="Arial" w:cs="Arial" w:eastAsia="Arial" w:hAnsi="Arial"/>
          <w:sz w:val="14"/>
          <w:szCs w:val="14"/>
          <w:b w:val="1"/>
          <w:bCs w:val="1"/>
          <w:color w:val="auto"/>
        </w:rPr>
        <w:t>Trading Symbol</w:t>
      </w:r>
    </w:p>
    <w:p>
      <w:pPr>
        <w:spacing w:after="0" w:line="69"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FTNT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5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3700" w:space="720"/>
            <w:col w:w="2160" w:space="720"/>
            <w:col w:w="3900"/>
          </w:cols>
          <w:pgMar w:left="320" w:top="229" w:right="379" w:bottom="1440" w:gutter="0" w:footer="0" w:header="0"/>
          <w:type w:val="continuous"/>
        </w:sectPr>
      </w:pPr>
    </w:p>
    <w:p>
      <w:pPr>
        <w:spacing w:after="0" w:line="132" w:lineRule="exact"/>
        <w:rPr>
          <w:sz w:val="24"/>
          <w:szCs w:val="24"/>
          <w:color w:val="auto"/>
        </w:rPr>
      </w:pPr>
    </w:p>
    <w:p>
      <w:pPr>
        <w:ind w:right="220" w:firstLine="324"/>
        <w:spacing w:after="0" w:line="24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05" w:lineRule="exact"/>
        <w:rPr>
          <w:sz w:val="24"/>
          <w:szCs w:val="24"/>
          <w:color w:val="auto"/>
        </w:rPr>
      </w:pPr>
    </w:p>
    <w:p>
      <w:pPr>
        <w:ind w:right="40" w:firstLine="283"/>
        <w:spacing w:after="0" w:line="24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18" w:lineRule="exact"/>
        <w:rPr>
          <w:sz w:val="24"/>
          <w:szCs w:val="24"/>
          <w:color w:val="auto"/>
        </w:rPr>
      </w:pPr>
    </w:p>
    <w:p>
      <w:pPr>
        <w:ind w:firstLine="28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3280" w:type="dxa"/>
            <w:vAlign w:val="bottom"/>
            <w:vMerge w:val="restart"/>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362"/>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vMerge w:val="continue"/>
          </w:tcPr>
          <w:p>
            <w:pPr>
              <w:spacing w:after="0"/>
              <w:rPr>
                <w:sz w:val="24"/>
                <w:szCs w:val="24"/>
                <w:color w:val="auto"/>
              </w:rPr>
            </w:pPr>
          </w:p>
        </w:tc>
        <w:tc>
          <w:tcPr>
            <w:tcW w:w="490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firstLine="283"/>
        <w:spacing w:after="0" w:line="26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6" w:lineRule="exact"/>
        <w:rPr>
          <w:sz w:val="20"/>
          <w:szCs w:val="20"/>
          <w:color w:val="auto"/>
        </w:rPr>
      </w:pPr>
    </w:p>
    <w:p>
      <w:pPr>
        <w:ind w:left="300" w:right="1860"/>
        <w:spacing w:after="0" w:line="34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As of November 3, 2023, there were 767,909,603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Page</w:t>
            </w:r>
          </w:p>
        </w:tc>
      </w:tr>
      <w:tr>
        <w:trPr>
          <w:trHeight w:val="486"/>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80" w:type="dxa"/>
            <w:vAlign w:val="bottom"/>
            <w:gridSpan w:val="10"/>
          </w:tcPr>
          <w:p>
            <w:pPr>
              <w:jc w:val="center"/>
              <w:ind w:right="2900"/>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9640" w:type="dxa"/>
            <w:vAlign w:val="bottom"/>
            <w:gridSpan w:val="19"/>
          </w:tcPr>
          <w:p>
            <w:pPr>
              <w:spacing w:after="0"/>
              <w:rPr>
                <w:sz w:val="20"/>
                <w:szCs w:val="20"/>
                <w:color w:val="auto"/>
              </w:rPr>
            </w:pPr>
            <w:r>
              <w:rPr>
                <w:rFonts w:ascii="Arial" w:cs="Arial" w:eastAsia="Arial" w:hAnsi="Arial"/>
                <w:sz w:val="18"/>
                <w:szCs w:val="18"/>
                <w:color w:val="0000FF"/>
              </w:rPr>
              <w:t>Financial Statements (unaudited)</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 as of September 30, 2023 and December 31, 2022</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8380" w:type="dxa"/>
            <w:vAlign w:val="bottom"/>
            <w:gridSpan w:val="16"/>
          </w:tcPr>
          <w:p>
            <w:pPr>
              <w:spacing w:after="0"/>
              <w:rPr>
                <w:sz w:val="20"/>
                <w:szCs w:val="20"/>
                <w:color w:val="auto"/>
              </w:rPr>
            </w:pPr>
            <w:r>
              <w:rPr>
                <w:rFonts w:ascii="Arial" w:cs="Arial" w:eastAsia="Arial" w:hAnsi="Arial"/>
                <w:sz w:val="18"/>
                <w:szCs w:val="18"/>
                <w:color w:val="0000FF"/>
                <w:w w:val="89"/>
              </w:rPr>
              <w:t>Condensed Consolidated Statements of Income for the Three and Nine Months Ended September 30, 2023 and 2022</w:t>
            </w:r>
          </w:p>
        </w:tc>
        <w:tc>
          <w:tcPr>
            <w:tcW w:w="1260" w:type="dxa"/>
            <w:vAlign w:val="bottom"/>
            <w:gridSpan w:val="3"/>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560" w:type="dxa"/>
            <w:vAlign w:val="bottom"/>
            <w:gridSpan w:val="18"/>
          </w:tcPr>
          <w:p>
            <w:pPr>
              <w:spacing w:after="0"/>
              <w:rPr>
                <w:sz w:val="20"/>
                <w:szCs w:val="20"/>
                <w:color w:val="auto"/>
              </w:rPr>
            </w:pPr>
            <w:r>
              <w:rPr>
                <w:rFonts w:ascii="Arial" w:cs="Arial" w:eastAsia="Arial" w:hAnsi="Arial"/>
                <w:sz w:val="18"/>
                <w:szCs w:val="18"/>
                <w:color w:val="0000FF"/>
                <w:w w:val="89"/>
              </w:rPr>
              <w:t>Condensed Consolidated Statements of Comprehensive Income for the Three and Nine Months Ended September 30, 2023 and 2022</w:t>
            </w:r>
          </w:p>
        </w:tc>
        <w:tc>
          <w:tcPr>
            <w:tcW w:w="8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560" w:type="dxa"/>
            <w:vAlign w:val="bottom"/>
            <w:gridSpan w:val="18"/>
          </w:tcPr>
          <w:p>
            <w:pPr>
              <w:spacing w:after="0"/>
              <w:rPr>
                <w:sz w:val="20"/>
                <w:szCs w:val="20"/>
                <w:color w:val="auto"/>
              </w:rPr>
            </w:pPr>
            <w:r>
              <w:rPr>
                <w:rFonts w:ascii="Arial" w:cs="Arial" w:eastAsia="Arial" w:hAnsi="Arial"/>
                <w:sz w:val="18"/>
                <w:szCs w:val="18"/>
                <w:color w:val="0000FF"/>
                <w:w w:val="95"/>
              </w:rPr>
              <w:t>Condensed Consolidated Statements of Equity (Deficit) for the Three and Nine Months Ended September 30, 2023 and 2022</w:t>
            </w:r>
          </w:p>
        </w:tc>
        <w:tc>
          <w:tcPr>
            <w:tcW w:w="8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7920" w:type="dxa"/>
            <w:vAlign w:val="bottom"/>
            <w:gridSpan w:val="15"/>
          </w:tcPr>
          <w:p>
            <w:pPr>
              <w:spacing w:after="0"/>
              <w:rPr>
                <w:sz w:val="20"/>
                <w:szCs w:val="20"/>
                <w:color w:val="auto"/>
              </w:rPr>
            </w:pPr>
            <w:r>
              <w:rPr>
                <w:rFonts w:ascii="Arial" w:cs="Arial" w:eastAsia="Arial" w:hAnsi="Arial"/>
                <w:sz w:val="18"/>
                <w:szCs w:val="18"/>
                <w:color w:val="0000FF"/>
                <w:w w:val="89"/>
              </w:rPr>
              <w:t>Condensed Consolidated Statements of Cash Flows for the Nine Months Ended September 30, 2023 and 2022</w:t>
            </w:r>
          </w:p>
        </w:tc>
        <w:tc>
          <w:tcPr>
            <w:tcW w:w="106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0000FF"/>
              </w:rPr>
              <w:t>8</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7920" w:type="dxa"/>
            <w:vAlign w:val="bottom"/>
            <w:gridSpan w:val="15"/>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720" w:type="dxa"/>
            <w:vAlign w:val="bottom"/>
            <w:gridSpan w:val="4"/>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964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40" w:type="dxa"/>
            <w:vAlign w:val="bottom"/>
            <w:gridSpan w:val="3"/>
          </w:tcPr>
          <w:p>
            <w:pPr>
              <w:jc w:val="right"/>
              <w:spacing w:after="0"/>
              <w:rPr>
                <w:sz w:val="20"/>
                <w:szCs w:val="20"/>
                <w:color w:val="auto"/>
              </w:rPr>
            </w:pPr>
            <w:r>
              <w:rPr>
                <w:rFonts w:ascii="Arial" w:cs="Arial" w:eastAsia="Arial" w:hAnsi="Arial"/>
                <w:sz w:val="18"/>
                <w:szCs w:val="18"/>
                <w:color w:val="0000FF"/>
              </w:rPr>
              <w:t>26</w:t>
            </w: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3.</w:t>
            </w:r>
          </w:p>
        </w:tc>
        <w:tc>
          <w:tcPr>
            <w:tcW w:w="43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40" w:type="dxa"/>
            <w:vAlign w:val="bottom"/>
            <w:tcBorders>
              <w:top w:val="single" w:sz="8" w:color="0000FF"/>
            </w:tcBorders>
          </w:tcPr>
          <w:p>
            <w:pPr>
              <w:spacing w:after="0"/>
              <w:rPr>
                <w:sz w:val="18"/>
                <w:szCs w:val="18"/>
                <w:color w:val="auto"/>
              </w:rPr>
            </w:pPr>
          </w:p>
        </w:tc>
        <w:tc>
          <w:tcPr>
            <w:tcW w:w="3200" w:type="dxa"/>
            <w:vAlign w:val="bottom"/>
            <w:gridSpan w:val="7"/>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42</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4.</w:t>
            </w:r>
          </w:p>
        </w:tc>
        <w:tc>
          <w:tcPr>
            <w:tcW w:w="964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64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80" w:type="dxa"/>
            <w:vAlign w:val="bottom"/>
            <w:gridSpan w:val="10"/>
          </w:tcPr>
          <w:p>
            <w:pPr>
              <w:jc w:val="center"/>
              <w:ind w:right="2880"/>
              <w:spacing w:after="0"/>
              <w:rPr>
                <w:sz w:val="20"/>
                <w:szCs w:val="20"/>
                <w:color w:val="auto"/>
              </w:rPr>
            </w:pPr>
            <w:r>
              <w:rPr>
                <w:rFonts w:ascii="Arial" w:cs="Arial" w:eastAsia="Arial" w:hAnsi="Arial"/>
                <w:sz w:val="18"/>
                <w:szCs w:val="18"/>
                <w:b w:val="1"/>
                <w:bCs w:val="1"/>
                <w:color w:val="auto"/>
              </w:rPr>
              <w:t>PART II—OTHER INFORMATION</w:t>
            </w: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964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640" w:type="dxa"/>
            <w:vAlign w:val="bottom"/>
            <w:gridSpan w:val="3"/>
          </w:tcPr>
          <w:p>
            <w:pPr>
              <w:jc w:val="right"/>
              <w:spacing w:after="0"/>
              <w:rPr>
                <w:sz w:val="20"/>
                <w:szCs w:val="20"/>
                <w:color w:val="auto"/>
              </w:rPr>
            </w:pPr>
            <w:r>
              <w:rPr>
                <w:rFonts w:ascii="Arial" w:cs="Arial" w:eastAsia="Arial" w:hAnsi="Arial"/>
                <w:sz w:val="18"/>
                <w:szCs w:val="18"/>
                <w:color w:val="0000FF"/>
              </w:rPr>
              <w:t>44</w:t>
            </w:r>
          </w:p>
        </w:tc>
        <w:tc>
          <w:tcPr>
            <w:tcW w:w="20" w:type="dxa"/>
            <w:vAlign w:val="bottom"/>
          </w:tcPr>
          <w:p>
            <w:pPr>
              <w:spacing w:after="0"/>
              <w:rPr>
                <w:sz w:val="24"/>
                <w:szCs w:val="24"/>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Borders>
              <w:top w:val="single" w:sz="8" w:color="0000FF"/>
            </w:tcBorders>
            <w:gridSpan w:val="3"/>
          </w:tcPr>
          <w:p>
            <w:pPr>
              <w:spacing w:after="0"/>
              <w:rPr>
                <w:sz w:val="18"/>
                <w:szCs w:val="18"/>
                <w:color w:val="auto"/>
              </w:rPr>
            </w:pPr>
          </w:p>
        </w:tc>
        <w:tc>
          <w:tcPr>
            <w:tcW w:w="8320" w:type="dxa"/>
            <w:vAlign w:val="bottom"/>
            <w:gridSpan w:val="13"/>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44</w:t>
            </w: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71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Unregistered Sales of Equity Securities, Use of Proceeds and Issuer Purchases of Equity Securities</w:t>
            </w:r>
          </w:p>
        </w:tc>
        <w:tc>
          <w:tcPr>
            <w:tcW w:w="2540" w:type="dxa"/>
            <w:vAlign w:val="bottom"/>
            <w:gridSpan w:val="5"/>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0000FF"/>
              </w:rPr>
              <w:t>77</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5.</w:t>
            </w:r>
          </w:p>
        </w:tc>
        <w:tc>
          <w:tcPr>
            <w:tcW w:w="964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640" w:type="dxa"/>
            <w:vAlign w:val="bottom"/>
            <w:gridSpan w:val="3"/>
          </w:tcPr>
          <w:p>
            <w:pPr>
              <w:jc w:val="right"/>
              <w:spacing w:after="0"/>
              <w:rPr>
                <w:sz w:val="20"/>
                <w:szCs w:val="20"/>
                <w:color w:val="auto"/>
              </w:rPr>
            </w:pPr>
            <w:r>
              <w:rPr>
                <w:rFonts w:ascii="Arial" w:cs="Arial" w:eastAsia="Arial" w:hAnsi="Arial"/>
                <w:sz w:val="18"/>
                <w:szCs w:val="18"/>
                <w:color w:val="0000FF"/>
              </w:rPr>
              <w:t>78</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tcBorders>
              <w:top w:val="single" w:sz="8" w:color="0000FF"/>
            </w:tcBorders>
            <w:gridSpan w:val="4"/>
          </w:tcPr>
          <w:p>
            <w:pPr>
              <w:spacing w:after="0"/>
              <w:rPr>
                <w:sz w:val="18"/>
                <w:szCs w:val="18"/>
                <w:color w:val="auto"/>
              </w:rPr>
            </w:pPr>
          </w:p>
        </w:tc>
        <w:tc>
          <w:tcPr>
            <w:tcW w:w="8340" w:type="dxa"/>
            <w:vAlign w:val="bottom"/>
            <w:gridSpan w:val="14"/>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79</w:t>
            </w:r>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3"/>
              </w:rPr>
              <w:t>Exhibit Index</w:t>
            </w:r>
          </w:p>
        </w:tc>
        <w:tc>
          <w:tcPr>
            <w:tcW w:w="8660" w:type="dxa"/>
            <w:vAlign w:val="bottom"/>
            <w:gridSpan w:val="1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79</w:t>
            </w:r>
          </w:p>
        </w:tc>
        <w:tc>
          <w:tcPr>
            <w:tcW w:w="2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964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640" w:type="dxa"/>
            <w:vAlign w:val="bottom"/>
            <w:gridSpan w:val="3"/>
          </w:tcPr>
          <w:p>
            <w:pPr>
              <w:jc w:val="right"/>
              <w:spacing w:after="0"/>
              <w:rPr>
                <w:sz w:val="20"/>
                <w:szCs w:val="20"/>
                <w:color w:val="auto"/>
              </w:rPr>
            </w:pPr>
            <w:r>
              <w:rPr>
                <w:rFonts w:ascii="Arial" w:cs="Arial" w:eastAsia="Arial" w:hAnsi="Arial"/>
                <w:sz w:val="18"/>
                <w:szCs w:val="18"/>
                <w:color w:val="0000FF"/>
              </w:rPr>
              <w:t>80</w:t>
            </w:r>
          </w:p>
        </w:tc>
        <w:tc>
          <w:tcPr>
            <w:tcW w:w="20" w:type="dxa"/>
            <w:vAlign w:val="bottom"/>
          </w:tcPr>
          <w:p>
            <w:pPr>
              <w:spacing w:after="0"/>
              <w:rPr>
                <w:sz w:val="18"/>
                <w:szCs w:val="18"/>
                <w:color w:val="auto"/>
              </w:rPr>
            </w:pPr>
          </w:p>
        </w:tc>
      </w:tr>
      <w:tr>
        <w:trPr>
          <w:trHeight w:val="1729"/>
        </w:trPr>
        <w:tc>
          <w:tcPr>
            <w:tcW w:w="9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Some of the principal risks and uncertainties include:</w:t>
      </w:r>
    </w:p>
    <w:p>
      <w:pPr>
        <w:spacing w:after="0" w:line="2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are likely to vary significantly and be unpredictable.</w:t>
      </w:r>
    </w:p>
    <w:p>
      <w:pPr>
        <w:spacing w:after="0" w:line="238" w:lineRule="exact"/>
        <w:rPr>
          <w:rFonts w:ascii="Arial" w:cs="Arial" w:eastAsia="Arial" w:hAnsi="Arial"/>
          <w:sz w:val="18"/>
          <w:szCs w:val="18"/>
          <w:color w:val="auto"/>
        </w:rPr>
      </w:pPr>
    </w:p>
    <w:p>
      <w:pPr>
        <w:ind w:left="660" w:right="200" w:hanging="328"/>
        <w:spacing w:after="0" w:line="24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economic conditions, such as a possible economic downturn or recession, and possible impacts of inflation or stagflation, increasing or decreasing interest rates, instability in the global banking system or reduced information technology spending, including firewall, security and networking spending, may adversely impact our business.</w:t>
      </w:r>
    </w:p>
    <w:p>
      <w:pPr>
        <w:spacing w:after="0" w:line="208"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been, and may in the future be, susceptible to supply chain constraints, supply shortages and disruptions, long or less predictable lead times for components and finished goods and supply changes because some of the key components in our products come from limited sources of supply.</w:t>
      </w:r>
    </w:p>
    <w:p>
      <w:pPr>
        <w:spacing w:after="0" w:line="201"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result of supply chain disruptions in recent periods, we increased our purchase order commitments in recent periods and, as a result, may be required to accept or pay for components and finished goods regardless of our level of sales in a particular period, which may negatively impact our operating results and financial condition.</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billings, revenue, and free cash flow growth may slow or may not continue, and our operating margins may decline.</w:t>
      </w:r>
    </w:p>
    <w:p>
      <w:pPr>
        <w:spacing w:after="0" w:line="252" w:lineRule="exact"/>
        <w:rPr>
          <w:rFonts w:ascii="Arial" w:cs="Arial" w:eastAsia="Arial" w:hAnsi="Arial"/>
          <w:sz w:val="18"/>
          <w:szCs w:val="18"/>
          <w:color w:val="auto"/>
        </w:rPr>
      </w:pPr>
    </w:p>
    <w:p>
      <w:pPr>
        <w:ind w:left="660" w:right="240" w:hanging="328"/>
        <w:spacing w:after="0" w:line="29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real estate investments, including construction, acquisition and ongoing maintenance and management of office buildings, data centers and points of presence, as well as data center expansions or enhancements, could involve significant risks to our business.</w:t>
      </w:r>
    </w:p>
    <w:p>
      <w:pPr>
        <w:spacing w:after="0" w:line="173" w:lineRule="exact"/>
        <w:rPr>
          <w:rFonts w:ascii="Arial" w:cs="Arial" w:eastAsia="Arial" w:hAnsi="Arial"/>
          <w:sz w:val="17"/>
          <w:szCs w:val="17"/>
          <w:color w:val="auto"/>
        </w:rPr>
      </w:pPr>
    </w:p>
    <w:p>
      <w:pPr>
        <w:ind w:left="660" w:right="60" w:hanging="328"/>
        <w:spacing w:after="0" w:line="290"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backlog has fluctuated over past quarters and any decrease in growth or negative growth of in-quarter billings and revenue may not be reflected by our aggregate billings and revenue. As we have fulfilled, shipped and billed during a quarter to satisfy backlog, this has increased our aggregate billings and revenue during any particular quarter, and as the supply chain challenges normalize, the growth comparisons versus prior quarters where backlog contributed more to billings have become more challenging and may become increasingly challenging.</w:t>
      </w:r>
    </w:p>
    <w:p>
      <w:pPr>
        <w:spacing w:after="0" w:line="190"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weakness in sales strategy, productivity and execution could negatively impact our results of operations.</w:t>
      </w:r>
    </w:p>
    <w:p>
      <w:pPr>
        <w:spacing w:after="0" w:line="238" w:lineRule="exact"/>
        <w:rPr>
          <w:rFonts w:ascii="Arial" w:cs="Arial" w:eastAsia="Arial" w:hAnsi="Arial"/>
          <w:sz w:val="18"/>
          <w:szCs w:val="18"/>
          <w:color w:val="auto"/>
        </w:rPr>
      </w:pPr>
    </w:p>
    <w:p>
      <w:pPr>
        <w:ind w:left="660" w:righ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the continued services and performance of our senior management, as well as our ability to hire, retain and motivate qualified personnel.</w:t>
      </w:r>
    </w:p>
    <w:p>
      <w:pPr>
        <w:spacing w:after="0" w:line="211" w:lineRule="exact"/>
        <w:rPr>
          <w:rFonts w:ascii="Arial" w:cs="Arial" w:eastAsia="Arial" w:hAnsi="Arial"/>
          <w:sz w:val="18"/>
          <w:szCs w:val="18"/>
          <w:color w:val="auto"/>
        </w:rPr>
      </w:pPr>
    </w:p>
    <w:p>
      <w:pPr>
        <w:ind w:left="660" w:right="7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third-party channel partners for substantially all of our billings, revenue and a small number of distributors represents a large percentage of our revenue and accounts receivable.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Reliance on a concentration of shipments at the end of the quarter could cause our billings and revenue to fall below expected levels.</w:t>
      </w:r>
    </w:p>
    <w:p>
      <w:pPr>
        <w:spacing w:after="0" w:line="263" w:lineRule="exact"/>
        <w:rPr>
          <w:rFonts w:ascii="Arial" w:cs="Arial" w:eastAsia="Arial" w:hAnsi="Arial"/>
          <w:sz w:val="17"/>
          <w:szCs w:val="17"/>
          <w:color w:val="auto"/>
        </w:rPr>
      </w:pPr>
    </w:p>
    <w:p>
      <w:pPr>
        <w:ind w:left="660" w:right="1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significantly on revenue from FortiGuard security subscription and FortiCare technical support services, and revenue from these services may decline or fluctuate.</w:t>
      </w:r>
    </w:p>
    <w:p>
      <w:pPr>
        <w:spacing w:after="0" w:line="183"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indebtedness and may incur other debt in the future, which may adversely affect our financial condition and future financial results.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generate a majority of billings, revenue and cash flow from sales outside of the United States.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executing our strategy to increase our sales to large- and medium-sized end-customers.</w:t>
      </w:r>
    </w:p>
    <w:p>
      <w:pPr>
        <w:spacing w:after="0" w:line="238"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revenue is generated by sales to U.S. and foreign government organizations and other customers, which are subject to a number of regulatory requirements, challenges and risks.</w:t>
      </w:r>
    </w:p>
    <w:p>
      <w:pPr>
        <w:spacing w:after="0" w:line="18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war in Ukraine, its related macroeconomic effects and our decision to reduce operations in Russia and the Israel-Hamas war have affected and may continue to affect our business.</w:t>
      </w:r>
    </w:p>
    <w:p>
      <w:pPr>
        <w:sectPr>
          <w:pgSz w:w="11900" w:h="16838" w:orient="portrait"/>
          <w:cols w:equalWidth="0" w:num="1">
            <w:col w:w="11220"/>
          </w:cols>
          <w:pgMar w:left="320" w:top="87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type w:val="continuous"/>
        </w:sectPr>
      </w:pPr>
    </w:p>
    <w:bookmarkStart w:id="4" w:name="page5"/>
    <w:bookmarkEnd w:id="4"/>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intense competition in our market and we may not maintain or improve our competitive position.</w:t>
      </w:r>
    </w:p>
    <w:p>
      <w:pPr>
        <w:spacing w:after="0" w:line="238" w:lineRule="exact"/>
        <w:rPr>
          <w:rFonts w:ascii="Arial" w:cs="Arial" w:eastAsia="Arial" w:hAnsi="Arial"/>
          <w:sz w:val="18"/>
          <w:szCs w:val="18"/>
          <w:color w:val="auto"/>
        </w:rPr>
      </w:pPr>
    </w:p>
    <w:p>
      <w:pPr>
        <w:ind w:left="328" w:right="20" w:hanging="328"/>
        <w:spacing w:after="0" w:line="278"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order components from third-party manufacturers based on our forecasts of future demand and targeted inventory levels, which exposes us to the risk of both product shortages, may result in lost sales and higher expenses, including excess inventory charges and costs related to future purchase commitments, and may require us to sell our products at discounts or offer various other incentives.</w:t>
      </w:r>
    </w:p>
    <w:p>
      <w:pPr>
        <w:spacing w:after="0" w:line="171" w:lineRule="exact"/>
        <w:rPr>
          <w:rFonts w:ascii="Arial" w:cs="Arial" w:eastAsia="Arial" w:hAnsi="Arial"/>
          <w:sz w:val="17"/>
          <w:szCs w:val="17"/>
          <w:color w:val="auto"/>
        </w:rPr>
      </w:pPr>
    </w:p>
    <w:p>
      <w:pPr>
        <w:ind w:left="328" w:right="140" w:hanging="328"/>
        <w:spacing w:after="0" w:line="261"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third parties to provide various components for our products and build our products and are susceptible to manufacturing delays, capacity constraints and cost increases.</w:t>
      </w:r>
    </w:p>
    <w:p>
      <w:pPr>
        <w:spacing w:after="0" w:line="197" w:lineRule="exact"/>
        <w:rPr>
          <w:rFonts w:ascii="Arial" w:cs="Arial" w:eastAsia="Arial" w:hAnsi="Arial"/>
          <w:sz w:val="18"/>
          <w:szCs w:val="18"/>
          <w:color w:val="auto"/>
        </w:rPr>
      </w:pPr>
    </w:p>
    <w:p>
      <w:pPr>
        <w:ind w:left="328" w:hanging="328"/>
        <w:spacing w:after="0" w:line="241"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susceptible to defects or vulnerabilities in our products or services, as well as reputational harm from the failure or misuse of our products or services, and any actual or perceived defects or vulnerabilities in our products or services or the failure of our products or services to detect or prevent a security incident, or the failure to help secure our customers or cause our products or services to allow unauthorized access to our customers network, could harm our operational results and reputation more significantly as compared to certain other companies given we are a security company.</w:t>
      </w:r>
    </w:p>
    <w:p>
      <w:pPr>
        <w:spacing w:after="0" w:line="216" w:lineRule="exact"/>
        <w:rPr>
          <w:rFonts w:ascii="Arial" w:cs="Arial" w:eastAsia="Arial" w:hAnsi="Arial"/>
          <w:sz w:val="18"/>
          <w:szCs w:val="18"/>
          <w:color w:val="auto"/>
        </w:rPr>
      </w:pPr>
    </w:p>
    <w:p>
      <w:pPr>
        <w:ind w:left="328" w:right="200" w:hanging="328"/>
        <w:spacing w:after="0" w:line="24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 In addition, any additional future impairment of the value of our investment in Linksys Holdings, Inc. (“Linksys”) could negatively affect our financial condition and results of operations.</w:t>
      </w:r>
    </w:p>
    <w:p>
      <w:pPr>
        <w:spacing w:after="0" w:line="214" w:lineRule="exact"/>
        <w:rPr>
          <w:rFonts w:ascii="Arial" w:cs="Arial" w:eastAsia="Arial" w:hAnsi="Arial"/>
          <w:sz w:val="18"/>
          <w:szCs w:val="18"/>
          <w:color w:val="auto"/>
        </w:rPr>
      </w:pPr>
    </w:p>
    <w:p>
      <w:pPr>
        <w:ind w:left="328" w:right="6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Investors’ and regulators’ expectations of our performance relating to environmental, social and governance factors may impose additional costs and expose us to new risks.</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exposed to fluctuations in currency exchange rates, which could negatively affect our financial condition and results of operations.</w:t>
      </w:r>
    </w:p>
    <w:p>
      <w:pPr>
        <w:spacing w:after="0" w:line="263"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proprietary rights may be difficult to enforce and we may be subject to claims by others that we infringe their proprietary technology.</w:t>
      </w:r>
    </w:p>
    <w:p>
      <w:pPr>
        <w:spacing w:after="0" w:line="250" w:lineRule="exact"/>
        <w:rPr>
          <w:rFonts w:ascii="Arial" w:cs="Arial" w:eastAsia="Arial" w:hAnsi="Arial"/>
          <w:sz w:val="17"/>
          <w:szCs w:val="17"/>
          <w:color w:val="auto"/>
        </w:rPr>
      </w:pPr>
    </w:p>
    <w:p>
      <w:pPr>
        <w:ind w:left="328" w:right="18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trading price of our common stock may be volatile, which volatility may be exacerbated by share repurchases under our Share Repurchase Program (the “Repurchase Program”).</w:t>
      </w:r>
    </w:p>
    <w:p>
      <w:pPr>
        <w:spacing w:after="0" w:line="183" w:lineRule="exact"/>
        <w:rPr>
          <w:rFonts w:ascii="Arial" w:cs="Arial" w:eastAsia="Arial" w:hAnsi="Arial"/>
          <w:sz w:val="18"/>
          <w:szCs w:val="18"/>
          <w:color w:val="auto"/>
        </w:rPr>
      </w:pPr>
    </w:p>
    <w:p>
      <w:pPr>
        <w:ind w:left="328" w:right="20" w:hanging="328"/>
        <w:spacing w:after="0" w:line="261"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Anti-takeover provisions contained in our certificate of incorporation and bylaws, as well as provisions of Delaware law, could impair a takeover attempt.</w:t>
      </w:r>
    </w:p>
    <w:p>
      <w:pPr>
        <w:spacing w:after="0" w:line="211" w:lineRule="exact"/>
        <w:rPr>
          <w:rFonts w:ascii="Arial" w:cs="Arial" w:eastAsia="Arial" w:hAnsi="Arial"/>
          <w:sz w:val="18"/>
          <w:szCs w:val="18"/>
          <w:color w:val="auto"/>
        </w:rPr>
      </w:pPr>
    </w:p>
    <w:p>
      <w:pPr>
        <w:ind w:left="328" w:right="200" w:hanging="328"/>
        <w:spacing w:after="0" w:line="248"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economic uncertainty and weakening product demand caused by political instability, changes in trade agreements, wars and foreign conflicts, such as the war in Ukraine and the Israel-Hamas war or tensions between China and Taiwan, could adversely affect our business and financial performance.</w:t>
      </w:r>
    </w:p>
    <w:p>
      <w:pPr>
        <w:spacing w:after="0" w:line="200" w:lineRule="exact"/>
        <w:rPr>
          <w:sz w:val="20"/>
          <w:szCs w:val="20"/>
          <w:color w:val="auto"/>
        </w:rPr>
      </w:pPr>
    </w:p>
    <w:p>
      <w:pPr>
        <w:spacing w:after="0" w:line="333" w:lineRule="exact"/>
        <w:rPr>
          <w:sz w:val="20"/>
          <w:szCs w:val="20"/>
          <w:color w:val="auto"/>
        </w:rPr>
      </w:pPr>
    </w:p>
    <w:p>
      <w:pPr>
        <w:jc w:val="center"/>
        <w:ind w:right="19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8"/>
          </w:cols>
          <w:pgMar w:left="652" w:top="895" w:right="45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8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Marketable equity securities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Accounts receivable—net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1,261.7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3,810.4</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DEFERRED CONTRACT COSTS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253.9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Accrued payroll and compensation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3,078.4</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2,291.0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6,509.6</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11)</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6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6"/>
              </w:rPr>
              <w:t>Common stock, $0.001 par value—1,500.0 shares authorized; 776.3 and 781.5 shares issued and</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outstanding on September 30, 2023 and December 31, 2022, respectively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(1,546.4)</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 (deficit)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 (DEFICIT)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7,479.3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6,228.0</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September 30,</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480"/>
              <w:spacing w:after="0"/>
              <w:rPr>
                <w:sz w:val="20"/>
                <w:szCs w:val="20"/>
                <w:color w:val="auto"/>
              </w:rPr>
            </w:pPr>
            <w:r>
              <w:rPr>
                <w:rFonts w:ascii="Arial" w:cs="Arial" w:eastAsia="Arial" w:hAnsi="Arial"/>
                <w:sz w:val="18"/>
                <w:szCs w:val="18"/>
                <w:color w:val="auto"/>
              </w:rPr>
              <w:t>Product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468.7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1,439.2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1,240.4</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1,894.0</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3,134.4</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48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501.4</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cost of revenue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48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739.0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1,607.8</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gross profit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2,346.8</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0" w:type="dxa"/>
            <w:vAlign w:val="bottom"/>
          </w:tcPr>
          <w:p>
            <w:pPr>
              <w:spacing w:after="0"/>
              <w:rPr>
                <w:sz w:val="1"/>
                <w:szCs w:val="1"/>
                <w:color w:val="auto"/>
              </w:rPr>
            </w:pPr>
          </w:p>
        </w:tc>
      </w:tr>
      <w:tr>
        <w:trPr>
          <w:trHeight w:val="230"/>
        </w:trPr>
        <w:tc>
          <w:tcPr>
            <w:tcW w:w="490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intellectual property matter</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1,735.0</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EXPENSE—NET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BEFORE INCOME TAXES AND LOSS FROM</w:t>
            </w: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55"/>
        </w:trPr>
        <w:tc>
          <w:tcPr>
            <w:tcW w:w="4900" w:type="dxa"/>
            <w:vAlign w:val="bottom"/>
          </w:tcPr>
          <w:p>
            <w:pPr>
              <w:ind w:left="20"/>
              <w:spacing w:after="0" w:line="156" w:lineRule="exact"/>
              <w:rPr>
                <w:sz w:val="20"/>
                <w:szCs w:val="20"/>
                <w:color w:val="auto"/>
              </w:rPr>
            </w:pPr>
            <w:r>
              <w:rPr>
                <w:rFonts w:ascii="Arial" w:cs="Arial" w:eastAsia="Arial" w:hAnsi="Arial"/>
                <w:sz w:val="18"/>
                <w:szCs w:val="18"/>
                <w:color w:val="auto"/>
              </w:rPr>
              <w:t>NET INCOME INCLUDING NON-CONTROLLING</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INTERESTS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LESS: NET LOSS ATTRIBUTABLE TO NON-CONTROLLING</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 NET OF TAX</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543.5</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 attributable to Fortinet, Inc. (Note 9):</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4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3"/>
              </w:rPr>
              <w:t>Weighted-average shares used to compute net income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attributable to Fortinet, Inc.:</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tcPr>
          <w:p>
            <w:pPr>
              <w:ind w:left="480"/>
              <w:spacing w:after="0" w:line="203"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791.2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798.6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793.5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809.8</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millions)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940" w:type="dxa"/>
            <w:vAlign w:val="bottom"/>
            <w:gridSpan w:val="4"/>
          </w:tcPr>
          <w:p>
            <w:pPr>
              <w:jc w:val="right"/>
              <w:ind w:right="772"/>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8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2"/>
              <w:spacing w:after="0" w:line="158" w:lineRule="exact"/>
              <w:rPr>
                <w:sz w:val="20"/>
                <w:szCs w:val="20"/>
                <w:color w:val="auto"/>
              </w:rPr>
            </w:pPr>
            <w:r>
              <w:rPr>
                <w:rFonts w:ascii="Arial" w:cs="Arial" w:eastAsia="Arial" w:hAnsi="Arial"/>
                <w:sz w:val="16"/>
                <w:szCs w:val="16"/>
                <w:b w:val="1"/>
                <w:bCs w:val="1"/>
                <w:color w:val="auto"/>
                <w:w w:val="95"/>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2"/>
              <w:spacing w:after="0" w:line="158" w:lineRule="exact"/>
              <w:rPr>
                <w:sz w:val="20"/>
                <w:szCs w:val="20"/>
                <w:color w:val="auto"/>
              </w:rPr>
            </w:pPr>
            <w:r>
              <w:rPr>
                <w:rFonts w:ascii="Arial" w:cs="Arial" w:eastAsia="Arial" w:hAnsi="Arial"/>
                <w:sz w:val="16"/>
                <w:szCs w:val="16"/>
                <w:b w:val="1"/>
                <w:bCs w:val="1"/>
                <w:color w:val="auto"/>
                <w:w w:val="95"/>
              </w:rPr>
              <w:t>September 30,</w:t>
            </w:r>
          </w:p>
        </w:tc>
      </w:tr>
      <w:tr>
        <w:trPr>
          <w:trHeight w:val="213"/>
        </w:trPr>
        <w:tc>
          <w:tcPr>
            <w:tcW w:w="4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r>
      <w:tr>
        <w:trPr>
          <w:trHeight w:val="22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foreign currency translation</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4880" w:type="dxa"/>
            <w:vAlign w:val="bottom"/>
          </w:tcPr>
          <w:p>
            <w:pPr>
              <w:ind w:left="340"/>
              <w:spacing w:after="0"/>
              <w:rPr>
                <w:sz w:val="20"/>
                <w:szCs w:val="20"/>
                <w:color w:val="auto"/>
              </w:rPr>
            </w:pPr>
            <w:r>
              <w:rPr>
                <w:rFonts w:ascii="Arial" w:cs="Arial" w:eastAsia="Arial" w:hAnsi="Arial"/>
                <w:sz w:val="18"/>
                <w:szCs w:val="18"/>
                <w:color w:val="auto"/>
              </w:rPr>
              <w:t>Change in unrealized gains (losses) on investments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176"/>
        </w:trPr>
        <w:tc>
          <w:tcPr>
            <w:tcW w:w="48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Less: tax provision (benefit) related to items of other</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 or loss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including non-controlling interests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w w:val="93"/>
              </w:rPr>
              <w:t>Less: comprehensive loss attributable to non-controlling interests</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48"/>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Fortinet, Inc.</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CONDENSED CONSOLIDATED STATEMENTS OF EQUITY (DEFICIT)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millions)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220"/>
              <w:spacing w:after="0"/>
              <w:rPr>
                <w:sz w:val="20"/>
                <w:szCs w:val="20"/>
                <w:color w:val="auto"/>
              </w:rPr>
            </w:pPr>
            <w:r>
              <w:rPr>
                <w:rFonts w:ascii="Arial" w:cs="Arial" w:eastAsia="Arial" w:hAnsi="Arial"/>
                <w:sz w:val="16"/>
                <w:szCs w:val="16"/>
                <w:b w:val="1"/>
                <w:bCs w:val="1"/>
                <w:color w:val="auto"/>
                <w:w w:val="91"/>
              </w:rPr>
              <w:t>Three Months Ended September 30, 2023</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60" w:type="dxa"/>
            <w:vAlign w:val="bottom"/>
          </w:tcPr>
          <w:p>
            <w:pPr>
              <w:spacing w:after="0"/>
              <w:rPr>
                <w:sz w:val="17"/>
                <w:szCs w:val="17"/>
                <w:color w:val="auto"/>
              </w:rPr>
            </w:pPr>
          </w:p>
        </w:tc>
        <w:tc>
          <w:tcPr>
            <w:tcW w:w="1720" w:type="dxa"/>
            <w:vAlign w:val="bottom"/>
            <w:gridSpan w:val="5"/>
          </w:tcPr>
          <w:p>
            <w:pPr>
              <w:ind w:left="28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4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Non-</w:t>
            </w:r>
          </w:p>
        </w:tc>
        <w:tc>
          <w:tcPr>
            <w:tcW w:w="200" w:type="dxa"/>
            <w:vAlign w:val="bottom"/>
          </w:tcPr>
          <w:p>
            <w:pPr>
              <w:spacing w:after="0"/>
              <w:rPr>
                <w:sz w:val="3"/>
                <w:szCs w:val="3"/>
                <w:color w:val="auto"/>
              </w:rPr>
            </w:pPr>
          </w:p>
        </w:tc>
        <w:tc>
          <w:tcPr>
            <w:tcW w:w="80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4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8"/>
              </w:rPr>
              <w:t>Other</w:t>
            </w:r>
          </w:p>
        </w:tc>
        <w:tc>
          <w:tcPr>
            <w:tcW w:w="1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8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3"/>
            <w:vMerge w:val="continue"/>
          </w:tcPr>
          <w:p>
            <w:pPr>
              <w:spacing w:after="0"/>
              <w:rPr>
                <w:sz w:val="14"/>
                <w:szCs w:val="14"/>
                <w:color w:val="auto"/>
              </w:rPr>
            </w:pPr>
          </w:p>
        </w:tc>
        <w:tc>
          <w:tcPr>
            <w:tcW w:w="9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Controlling</w:t>
            </w:r>
          </w:p>
        </w:tc>
        <w:tc>
          <w:tcPr>
            <w:tcW w:w="100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Interests</w:t>
            </w:r>
          </w:p>
        </w:tc>
        <w:tc>
          <w:tcPr>
            <w:tcW w:w="20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$ 1,375.9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(1,032.4)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176"/>
        </w:trPr>
        <w:tc>
          <w:tcPr>
            <w:tcW w:w="446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Arial" w:cs="Arial" w:eastAsia="Arial" w:hAnsi="Arial"/>
                <w:sz w:val="18"/>
                <w:szCs w:val="18"/>
                <w:color w:val="auto"/>
              </w:rPr>
              <w:t>Excise tax on net stock repurchases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Arial" w:cs="Arial" w:eastAsia="Arial" w:hAnsi="Arial"/>
                <w:sz w:val="18"/>
                <w:szCs w:val="18"/>
                <w:color w:val="auto"/>
              </w:rPr>
              <w:t>Net unrealized gain on investments - net of tax</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$ 1,397.0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(1,299.4)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220"/>
              <w:spacing w:after="0"/>
              <w:rPr>
                <w:sz w:val="20"/>
                <w:szCs w:val="20"/>
                <w:color w:val="auto"/>
              </w:rPr>
            </w:pPr>
            <w:r>
              <w:rPr>
                <w:rFonts w:ascii="Arial" w:cs="Arial" w:eastAsia="Arial" w:hAnsi="Arial"/>
                <w:sz w:val="16"/>
                <w:szCs w:val="16"/>
                <w:b w:val="1"/>
                <w:bCs w:val="1"/>
                <w:color w:val="auto"/>
                <w:w w:val="91"/>
              </w:rPr>
              <w:t>Three Months Ended September 30, 2022</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60" w:type="dxa"/>
            <w:vAlign w:val="bottom"/>
          </w:tcPr>
          <w:p>
            <w:pPr>
              <w:spacing w:after="0"/>
              <w:rPr>
                <w:sz w:val="17"/>
                <w:szCs w:val="17"/>
                <w:color w:val="auto"/>
              </w:rPr>
            </w:pPr>
          </w:p>
        </w:tc>
        <w:tc>
          <w:tcPr>
            <w:tcW w:w="1720" w:type="dxa"/>
            <w:vAlign w:val="bottom"/>
            <w:gridSpan w:val="5"/>
          </w:tcPr>
          <w:p>
            <w:pPr>
              <w:ind w:left="28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4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8"/>
              </w:rPr>
              <w:t>Other</w:t>
            </w:r>
          </w:p>
        </w:tc>
        <w:tc>
          <w:tcPr>
            <w:tcW w:w="1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8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ind w:left="120"/>
              <w:spacing w:after="0" w:line="162" w:lineRule="exact"/>
              <w:rPr>
                <w:sz w:val="20"/>
                <w:szCs w:val="20"/>
                <w:color w:val="auto"/>
              </w:rPr>
            </w:pPr>
            <w:r>
              <w:rPr>
                <w:rFonts w:ascii="Arial" w:cs="Arial" w:eastAsia="Arial" w:hAnsi="Arial"/>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3"/>
            <w:vMerge w:val="continue"/>
          </w:tcPr>
          <w:p>
            <w:pPr>
              <w:spacing w:after="0"/>
              <w:rPr>
                <w:sz w:val="14"/>
                <w:szCs w:val="14"/>
                <w:color w:val="auto"/>
              </w:rPr>
            </w:pPr>
          </w:p>
        </w:tc>
        <w:tc>
          <w:tcPr>
            <w:tcW w:w="920" w:type="dxa"/>
            <w:vAlign w:val="bottom"/>
            <w:gridSpan w:val="3"/>
          </w:tcPr>
          <w:p>
            <w:pPr>
              <w:jc w:val="right"/>
              <w:ind w:right="10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1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3"/>
              </w:rPr>
              <w:t>Total (Deficit)</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Interests</w:t>
            </w: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$ 1,237.3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(1,607.6)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175"/>
        </w:trPr>
        <w:tc>
          <w:tcPr>
            <w:tcW w:w="446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 -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BALANCE—September 30, 2022</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780.1</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$ 1,250.2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(1,860.2)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(622.8)</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280"/>
              <w:spacing w:after="0"/>
              <w:rPr>
                <w:sz w:val="20"/>
                <w:szCs w:val="20"/>
                <w:color w:val="auto"/>
              </w:rPr>
            </w:pPr>
            <w:r>
              <w:rPr>
                <w:rFonts w:ascii="Arial" w:cs="Arial" w:eastAsia="Arial" w:hAnsi="Arial"/>
                <w:sz w:val="16"/>
                <w:szCs w:val="16"/>
                <w:b w:val="1"/>
                <w:bCs w:val="1"/>
                <w:color w:val="auto"/>
                <w:w w:val="92"/>
              </w:rPr>
              <w:t>Nine Months Ended September 30, 2023</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80" w:type="dxa"/>
            <w:vAlign w:val="bottom"/>
          </w:tcPr>
          <w:p>
            <w:pPr>
              <w:spacing w:after="0"/>
              <w:rPr>
                <w:sz w:val="17"/>
                <w:szCs w:val="17"/>
                <w:color w:val="auto"/>
              </w:rPr>
            </w:pPr>
          </w:p>
        </w:tc>
        <w:tc>
          <w:tcPr>
            <w:tcW w:w="1700" w:type="dxa"/>
            <w:vAlign w:val="bottom"/>
            <w:gridSpan w:val="5"/>
          </w:tcPr>
          <w:p>
            <w:pPr>
              <w:ind w:left="28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center"/>
              <w:ind w:right="5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40"/>
        </w:trPr>
        <w:tc>
          <w:tcPr>
            <w:tcW w:w="448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8"/>
              </w:rPr>
              <w:t>Other</w:t>
            </w:r>
          </w:p>
        </w:tc>
        <w:tc>
          <w:tcPr>
            <w:tcW w:w="1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Shares</w:t>
            </w:r>
          </w:p>
        </w:tc>
        <w:tc>
          <w:tcPr>
            <w:tcW w:w="8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3"/>
            <w:vMerge w:val="continue"/>
          </w:tcPr>
          <w:p>
            <w:pPr>
              <w:spacing w:after="0"/>
              <w:rPr>
                <w:sz w:val="14"/>
                <w:szCs w:val="14"/>
                <w:color w:val="auto"/>
              </w:rPr>
            </w:pPr>
          </w:p>
        </w:tc>
        <w:tc>
          <w:tcPr>
            <w:tcW w:w="9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Controlling</w:t>
            </w:r>
          </w:p>
        </w:tc>
        <w:tc>
          <w:tcPr>
            <w:tcW w:w="160" w:type="dxa"/>
            <w:vAlign w:val="bottom"/>
          </w:tcPr>
          <w:p>
            <w:pPr>
              <w:spacing w:after="0"/>
              <w:rPr>
                <w:sz w:val="14"/>
                <w:szCs w:val="14"/>
                <w:color w:val="auto"/>
              </w:rPr>
            </w:pPr>
          </w:p>
        </w:tc>
        <w:tc>
          <w:tcPr>
            <w:tcW w:w="84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3"/>
        </w:trPr>
        <w:tc>
          <w:tcPr>
            <w:tcW w:w="44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840" w:type="dxa"/>
            <w:vAlign w:val="bottom"/>
          </w:tcPr>
          <w:p>
            <w:pPr>
              <w:jc w:val="center"/>
              <w:ind w:right="52"/>
              <w:spacing w:after="0"/>
              <w:rPr>
                <w:sz w:val="20"/>
                <w:szCs w:val="20"/>
                <w:color w:val="auto"/>
              </w:rPr>
            </w:pPr>
            <w:r>
              <w:rPr>
                <w:rFonts w:ascii="Arial" w:cs="Arial" w:eastAsia="Arial" w:hAnsi="Arial"/>
                <w:sz w:val="16"/>
                <w:szCs w:val="16"/>
                <w:b w:val="1"/>
                <w:bCs w:val="1"/>
                <w:color w:val="auto"/>
                <w:w w:val="97"/>
              </w:rPr>
              <w:t>(Deficit)</w:t>
            </w:r>
          </w:p>
        </w:tc>
        <w:tc>
          <w:tcPr>
            <w:tcW w:w="0" w:type="dxa"/>
            <w:vAlign w:val="bottom"/>
          </w:tcPr>
          <w:p>
            <w:pPr>
              <w:spacing w:after="0"/>
              <w:rPr>
                <w:sz w:val="1"/>
                <w:szCs w:val="1"/>
                <w:color w:val="auto"/>
              </w:rPr>
            </w:pPr>
          </w:p>
        </w:tc>
      </w:tr>
      <w:tr>
        <w:trPr>
          <w:trHeight w:val="22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$ 1,284.2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(1,546.4)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7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(10.4)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rPr>
              <w:t>Excise tax on net stock repurchases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rPr>
              <w:t>Net unrealized gain on investments - net of tax</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836.9</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2023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$ 1,397.0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(1,299.4)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6"/>
        </w:trPr>
        <w:tc>
          <w:tcPr>
            <w:tcW w:w="44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8"/>
          </w:tcPr>
          <w:p>
            <w:pPr>
              <w:ind w:left="280"/>
              <w:spacing w:after="0"/>
              <w:rPr>
                <w:sz w:val="20"/>
                <w:szCs w:val="20"/>
                <w:color w:val="auto"/>
              </w:rPr>
            </w:pPr>
            <w:r>
              <w:rPr>
                <w:rFonts w:ascii="Arial" w:cs="Arial" w:eastAsia="Arial" w:hAnsi="Arial"/>
                <w:sz w:val="16"/>
                <w:szCs w:val="16"/>
                <w:b w:val="1"/>
                <w:bCs w:val="1"/>
                <w:color w:val="auto"/>
                <w:w w:val="92"/>
              </w:rPr>
              <w:t>Nine Months Ended September 30, 2022</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80" w:type="dxa"/>
            <w:vAlign w:val="bottom"/>
          </w:tcPr>
          <w:p>
            <w:pPr>
              <w:spacing w:after="0"/>
              <w:rPr>
                <w:sz w:val="17"/>
                <w:szCs w:val="17"/>
                <w:color w:val="auto"/>
              </w:rPr>
            </w:pPr>
          </w:p>
        </w:tc>
        <w:tc>
          <w:tcPr>
            <w:tcW w:w="1700" w:type="dxa"/>
            <w:vAlign w:val="bottom"/>
            <w:gridSpan w:val="5"/>
          </w:tcPr>
          <w:p>
            <w:pPr>
              <w:ind w:left="28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48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3"/>
                <w:szCs w:val="3"/>
                <w:color w:val="auto"/>
              </w:rPr>
            </w:pPr>
          </w:p>
        </w:tc>
        <w:tc>
          <w:tcPr>
            <w:tcW w:w="840" w:type="dxa"/>
            <w:vAlign w:val="bottom"/>
            <w:vMerge w:val="restart"/>
          </w:tcPr>
          <w:p>
            <w:pPr>
              <w:jc w:val="center"/>
              <w:ind w:right="5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line="20" w:lineRule="exact"/>
              <w:rPr>
                <w:sz w:val="1"/>
                <w:szCs w:val="1"/>
                <w:color w:val="auto"/>
              </w:rPr>
            </w:pPr>
          </w:p>
        </w:tc>
      </w:tr>
      <w:tr>
        <w:trPr>
          <w:trHeight w:val="162"/>
        </w:trPr>
        <w:tc>
          <w:tcPr>
            <w:tcW w:w="4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8"/>
              </w:rPr>
              <w:t>Other</w:t>
            </w:r>
          </w:p>
        </w:tc>
        <w:tc>
          <w:tcPr>
            <w:tcW w:w="1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Shares</w:t>
            </w:r>
          </w:p>
        </w:tc>
        <w:tc>
          <w:tcPr>
            <w:tcW w:w="8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3"/>
            <w:vMerge w:val="continue"/>
          </w:tcPr>
          <w:p>
            <w:pPr>
              <w:spacing w:after="0"/>
              <w:rPr>
                <w:sz w:val="14"/>
                <w:szCs w:val="14"/>
                <w:color w:val="auto"/>
              </w:rPr>
            </w:pPr>
          </w:p>
        </w:tc>
        <w:tc>
          <w:tcPr>
            <w:tcW w:w="9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Controlling</w:t>
            </w:r>
          </w:p>
        </w:tc>
        <w:tc>
          <w:tcPr>
            <w:tcW w:w="160" w:type="dxa"/>
            <w:vAlign w:val="bottom"/>
          </w:tcPr>
          <w:p>
            <w:pPr>
              <w:spacing w:after="0"/>
              <w:rPr>
                <w:sz w:val="14"/>
                <w:szCs w:val="14"/>
                <w:color w:val="auto"/>
              </w:rPr>
            </w:pPr>
          </w:p>
        </w:tc>
        <w:tc>
          <w:tcPr>
            <w:tcW w:w="84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3"/>
        </w:trPr>
        <w:tc>
          <w:tcPr>
            <w:tcW w:w="44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840" w:type="dxa"/>
            <w:vAlign w:val="bottom"/>
          </w:tcPr>
          <w:p>
            <w:pPr>
              <w:jc w:val="center"/>
              <w:ind w:right="52"/>
              <w:spacing w:after="0"/>
              <w:rPr>
                <w:sz w:val="20"/>
                <w:szCs w:val="20"/>
                <w:color w:val="auto"/>
              </w:rPr>
            </w:pPr>
            <w:r>
              <w:rPr>
                <w:rFonts w:ascii="Arial" w:cs="Arial" w:eastAsia="Arial" w:hAnsi="Arial"/>
                <w:sz w:val="16"/>
                <w:szCs w:val="16"/>
                <w:b w:val="1"/>
                <w:bCs w:val="1"/>
                <w:color w:val="auto"/>
                <w:w w:val="97"/>
              </w:rPr>
              <w:t>(Deficit)</w:t>
            </w:r>
          </w:p>
        </w:tc>
        <w:tc>
          <w:tcPr>
            <w:tcW w:w="0" w:type="dxa"/>
            <w:vAlign w:val="bottom"/>
          </w:tcPr>
          <w:p>
            <w:pPr>
              <w:spacing w:after="0"/>
              <w:rPr>
                <w:sz w:val="1"/>
                <w:szCs w:val="1"/>
                <w:color w:val="auto"/>
              </w:rPr>
            </w:pPr>
          </w:p>
        </w:tc>
      </w:tr>
      <w:tr>
        <w:trPr>
          <w:trHeight w:val="22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$ 1,253.6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175"/>
        </w:trPr>
        <w:tc>
          <w:tcPr>
            <w:tcW w:w="448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7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(36.0)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(1,935.8)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(1,991.2)</w:t>
            </w: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 on investments - net of tax</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BALANCE—September 30, 2022</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780.1</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$ 1,250.2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(1,860.2)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8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3"/>
                <w:szCs w:val="13"/>
                <w:color w:val="auto"/>
              </w:rPr>
            </w:pPr>
          </w:p>
        </w:tc>
        <w:tc>
          <w:tcPr>
            <w:tcW w:w="1240" w:type="dxa"/>
            <w:vAlign w:val="bottom"/>
          </w:tcPr>
          <w:p>
            <w:pPr>
              <w:jc w:val="right"/>
              <w:ind w:right="128"/>
              <w:spacing w:after="0" w:line="158" w:lineRule="exact"/>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67"/>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65"/>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60" w:type="dxa"/>
            <w:vAlign w:val="bottom"/>
          </w:tcPr>
          <w:p>
            <w:pPr>
              <w:ind w:left="480"/>
              <w:spacing w:after="0"/>
              <w:rPr>
                <w:sz w:val="20"/>
                <w:szCs w:val="20"/>
                <w:color w:val="auto"/>
              </w:rPr>
            </w:pPr>
            <w:r>
              <w:rPr>
                <w:rFonts w:ascii="Arial" w:cs="Arial" w:eastAsia="Arial" w:hAnsi="Arial"/>
                <w:sz w:val="14"/>
                <w:szCs w:val="14"/>
                <w:color w:val="auto"/>
              </w:rPr>
              <w:t>Net income including non-controlling interests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836.9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542.8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360" w:type="dxa"/>
            <w:vAlign w:val="bottom"/>
          </w:tcPr>
          <w:p>
            <w:pPr>
              <w:ind w:left="88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Amortization of deferred contract costs</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0" w:type="dxa"/>
            <w:vAlign w:val="bottom"/>
          </w:tcPr>
          <w:p>
            <w:pPr>
              <w:spacing w:after="0"/>
              <w:rPr>
                <w:sz w:val="1"/>
                <w:szCs w:val="1"/>
                <w:color w:val="auto"/>
              </w:rPr>
            </w:pPr>
          </w:p>
        </w:tc>
      </w:tr>
      <w:tr>
        <w:trPr>
          <w:trHeight w:val="182"/>
        </w:trPr>
        <w:tc>
          <w:tcPr>
            <w:tcW w:w="8360" w:type="dxa"/>
            <w:vAlign w:val="bottom"/>
          </w:tcPr>
          <w:p>
            <w:pPr>
              <w:ind w:left="88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Amortization of investment premiums (discounts)</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2"/>
        </w:trPr>
        <w:tc>
          <w:tcPr>
            <w:tcW w:w="8360" w:type="dxa"/>
            <w:vAlign w:val="bottom"/>
          </w:tcPr>
          <w:p>
            <w:pPr>
              <w:ind w:left="880"/>
              <w:spacing w:after="0"/>
              <w:rPr>
                <w:sz w:val="20"/>
                <w:szCs w:val="20"/>
                <w:color w:val="auto"/>
              </w:rPr>
            </w:pPr>
            <w:r>
              <w:rPr>
                <w:rFonts w:ascii="Arial" w:cs="Arial" w:eastAsia="Arial" w:hAnsi="Arial"/>
                <w:sz w:val="14"/>
                <w:szCs w:val="14"/>
                <w:color w:val="auto"/>
              </w:rPr>
              <w:t>Loss from equity method investment</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82"/>
        </w:trPr>
        <w:tc>
          <w:tcPr>
            <w:tcW w:w="8360" w:type="dxa"/>
            <w:vAlign w:val="bottom"/>
          </w:tcPr>
          <w:p>
            <w:pPr>
              <w:ind w:left="880"/>
              <w:spacing w:after="0"/>
              <w:rPr>
                <w:sz w:val="20"/>
                <w:szCs w:val="20"/>
                <w:color w:val="auto"/>
              </w:rPr>
            </w:pPr>
            <w:r>
              <w:rPr>
                <w:rFonts w:ascii="Arial" w:cs="Arial" w:eastAsia="Arial" w:hAnsi="Arial"/>
                <w:sz w:val="14"/>
                <w:szCs w:val="14"/>
                <w:color w:val="auto"/>
              </w:rPr>
              <w:t>Changes in operating assets and liabilities, net of impact of business combinations:</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Accounts receivable—net</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182"/>
        </w:trPr>
        <w:tc>
          <w:tcPr>
            <w:tcW w:w="8360" w:type="dxa"/>
            <w:vAlign w:val="bottom"/>
          </w:tcPr>
          <w:p>
            <w:pPr>
              <w:ind w:left="1440"/>
              <w:spacing w:after="0"/>
              <w:rPr>
                <w:sz w:val="20"/>
                <w:szCs w:val="20"/>
                <w:color w:val="auto"/>
              </w:rPr>
            </w:pPr>
            <w:r>
              <w:rPr>
                <w:rFonts w:ascii="Arial" w:cs="Arial" w:eastAsia="Arial" w:hAnsi="Arial"/>
                <w:sz w:val="14"/>
                <w:szCs w:val="14"/>
                <w:color w:val="auto"/>
              </w:rPr>
              <w:t>Inventory</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2"/>
        </w:trPr>
        <w:tc>
          <w:tcPr>
            <w:tcW w:w="8360" w:type="dxa"/>
            <w:vAlign w:val="bottom"/>
          </w:tcPr>
          <w:p>
            <w:pPr>
              <w:ind w:left="1440"/>
              <w:spacing w:after="0"/>
              <w:rPr>
                <w:sz w:val="20"/>
                <w:szCs w:val="20"/>
                <w:color w:val="auto"/>
              </w:rPr>
            </w:pPr>
            <w:r>
              <w:rPr>
                <w:rFonts w:ascii="Arial" w:cs="Arial" w:eastAsia="Arial" w:hAnsi="Arial"/>
                <w:sz w:val="14"/>
                <w:szCs w:val="14"/>
                <w:color w:val="auto"/>
              </w:rPr>
              <w:t>Deferred contract costs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(221.0)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Deferred tax assets</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182"/>
        </w:trPr>
        <w:tc>
          <w:tcPr>
            <w:tcW w:w="8360" w:type="dxa"/>
            <w:vAlign w:val="bottom"/>
          </w:tcPr>
          <w:p>
            <w:pPr>
              <w:ind w:left="144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Accounts payable</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82"/>
        </w:trPr>
        <w:tc>
          <w:tcPr>
            <w:tcW w:w="8360" w:type="dxa"/>
            <w:vAlign w:val="bottom"/>
          </w:tcPr>
          <w:p>
            <w:pPr>
              <w:ind w:left="1440"/>
              <w:spacing w:after="0"/>
              <w:rPr>
                <w:sz w:val="20"/>
                <w:szCs w:val="20"/>
                <w:color w:val="auto"/>
              </w:rPr>
            </w:pPr>
            <w:r>
              <w:rPr>
                <w:rFonts w:ascii="Arial" w:cs="Arial" w:eastAsia="Arial" w:hAnsi="Arial"/>
                <w:sz w:val="14"/>
                <w:szCs w:val="14"/>
                <w:color w:val="auto"/>
              </w:rPr>
              <w:t>Accrued liabilities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56.9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Accrued payroll and compensation</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2"/>
        </w:trPr>
        <w:tc>
          <w:tcPr>
            <w:tcW w:w="8360" w:type="dxa"/>
            <w:vAlign w:val="bottom"/>
          </w:tcPr>
          <w:p>
            <w:pPr>
              <w:ind w:left="1440"/>
              <w:spacing w:after="0"/>
              <w:rPr>
                <w:sz w:val="20"/>
                <w:szCs w:val="20"/>
                <w:color w:val="auto"/>
              </w:rPr>
            </w:pPr>
            <w:r>
              <w:rPr>
                <w:rFonts w:ascii="Arial" w:cs="Arial" w:eastAsia="Arial" w:hAnsi="Arial"/>
                <w:sz w:val="14"/>
                <w:szCs w:val="14"/>
                <w:color w:val="auto"/>
              </w:rPr>
              <w:t>Income taxes payable</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2"/>
        </w:trPr>
        <w:tc>
          <w:tcPr>
            <w:tcW w:w="8360" w:type="dxa"/>
            <w:vAlign w:val="bottom"/>
          </w:tcPr>
          <w:p>
            <w:pPr>
              <w:ind w:left="1440"/>
              <w:spacing w:after="0"/>
              <w:rPr>
                <w:sz w:val="20"/>
                <w:szCs w:val="20"/>
                <w:color w:val="auto"/>
              </w:rPr>
            </w:pPr>
            <w:r>
              <w:rPr>
                <w:rFonts w:ascii="Arial" w:cs="Arial" w:eastAsia="Arial" w:hAnsi="Arial"/>
                <w:sz w:val="14"/>
                <w:szCs w:val="14"/>
                <w:color w:val="auto"/>
              </w:rPr>
              <w:t>Deferred revenue</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742.8</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1,743.8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1,202.5</w:t>
            </w:r>
          </w:p>
        </w:tc>
        <w:tc>
          <w:tcPr>
            <w:tcW w:w="0" w:type="dxa"/>
            <w:vAlign w:val="bottom"/>
          </w:tcPr>
          <w:p>
            <w:pPr>
              <w:spacing w:after="0"/>
              <w:rPr>
                <w:sz w:val="1"/>
                <w:szCs w:val="1"/>
                <w:color w:val="auto"/>
              </w:rPr>
            </w:pPr>
          </w:p>
        </w:tc>
      </w:tr>
      <w:tr>
        <w:trPr>
          <w:trHeight w:val="162"/>
        </w:trPr>
        <w:tc>
          <w:tcPr>
            <w:tcW w:w="836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Purchases of investments</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(1,327.6)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(389.1)</w:t>
            </w:r>
          </w:p>
        </w:tc>
        <w:tc>
          <w:tcPr>
            <w:tcW w:w="0" w:type="dxa"/>
            <w:vAlign w:val="bottom"/>
          </w:tcPr>
          <w:p>
            <w:pPr>
              <w:spacing w:after="0"/>
              <w:rPr>
                <w:sz w:val="1"/>
                <w:szCs w:val="1"/>
                <w:color w:val="auto"/>
              </w:rPr>
            </w:pPr>
          </w:p>
        </w:tc>
      </w:tr>
      <w:tr>
        <w:trPr>
          <w:trHeight w:val="182"/>
        </w:trPr>
        <w:tc>
          <w:tcPr>
            <w:tcW w:w="8360" w:type="dxa"/>
            <w:vAlign w:val="bottom"/>
          </w:tcPr>
          <w:p>
            <w:pPr>
              <w:ind w:left="480"/>
              <w:spacing w:after="0"/>
              <w:rPr>
                <w:sz w:val="20"/>
                <w:szCs w:val="20"/>
                <w:color w:val="auto"/>
              </w:rPr>
            </w:pPr>
            <w:r>
              <w:rPr>
                <w:rFonts w:ascii="Arial" w:cs="Arial" w:eastAsia="Arial" w:hAnsi="Arial"/>
                <w:sz w:val="14"/>
                <w:szCs w:val="14"/>
                <w:color w:val="auto"/>
              </w:rPr>
              <w:t>Sales of investments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Maturities of investments</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931.5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1,182.9</w:t>
            </w:r>
          </w:p>
        </w:tc>
        <w:tc>
          <w:tcPr>
            <w:tcW w:w="0" w:type="dxa"/>
            <w:vAlign w:val="bottom"/>
          </w:tcPr>
          <w:p>
            <w:pPr>
              <w:spacing w:after="0"/>
              <w:rPr>
                <w:sz w:val="1"/>
                <w:szCs w:val="1"/>
                <w:color w:val="auto"/>
              </w:rPr>
            </w:pPr>
          </w:p>
        </w:tc>
      </w:tr>
      <w:tr>
        <w:trPr>
          <w:trHeight w:val="182"/>
        </w:trPr>
        <w:tc>
          <w:tcPr>
            <w:tcW w:w="8360" w:type="dxa"/>
            <w:vAlign w:val="bottom"/>
          </w:tcPr>
          <w:p>
            <w:pPr>
              <w:ind w:left="480"/>
              <w:spacing w:after="0"/>
              <w:rPr>
                <w:sz w:val="20"/>
                <w:szCs w:val="20"/>
                <w:color w:val="auto"/>
              </w:rPr>
            </w:pPr>
            <w:r>
              <w:rPr>
                <w:rFonts w:ascii="Arial" w:cs="Arial" w:eastAsia="Arial" w:hAnsi="Arial"/>
                <w:sz w:val="14"/>
                <w:szCs w:val="14"/>
                <w:color w:val="auto"/>
              </w:rPr>
              <w:t>Purchases of property and equipment</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(250.3)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Purchase of investment in privately held company</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360" w:type="dxa"/>
            <w:vAlign w:val="bottom"/>
          </w:tcPr>
          <w:p>
            <w:pPr>
              <w:ind w:left="48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546.5</w:t>
            </w:r>
          </w:p>
        </w:tc>
        <w:tc>
          <w:tcPr>
            <w:tcW w:w="0" w:type="dxa"/>
            <w:vAlign w:val="bottom"/>
          </w:tcPr>
          <w:p>
            <w:pPr>
              <w:spacing w:after="0"/>
              <w:rPr>
                <w:sz w:val="1"/>
                <w:szCs w:val="1"/>
                <w:color w:val="auto"/>
              </w:rPr>
            </w:pPr>
          </w:p>
        </w:tc>
      </w:tr>
      <w:tr>
        <w:trPr>
          <w:trHeight w:val="162"/>
        </w:trPr>
        <w:tc>
          <w:tcPr>
            <w:tcW w:w="836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Repurchase and retirement of common stock</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(604.3)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(1,991.2)</w:t>
            </w:r>
          </w:p>
        </w:tc>
        <w:tc>
          <w:tcPr>
            <w:tcW w:w="0" w:type="dxa"/>
            <w:vAlign w:val="bottom"/>
          </w:tcPr>
          <w:p>
            <w:pPr>
              <w:spacing w:after="0"/>
              <w:rPr>
                <w:sz w:val="1"/>
                <w:szCs w:val="1"/>
                <w:color w:val="auto"/>
              </w:rPr>
            </w:pPr>
          </w:p>
        </w:tc>
      </w:tr>
      <w:tr>
        <w:trPr>
          <w:trHeight w:val="182"/>
        </w:trPr>
        <w:tc>
          <w:tcPr>
            <w:tcW w:w="8360" w:type="dxa"/>
            <w:vAlign w:val="bottom"/>
          </w:tcPr>
          <w:p>
            <w:pPr>
              <w:ind w:left="480"/>
              <w:spacing w:after="0"/>
              <w:rPr>
                <w:sz w:val="20"/>
                <w:szCs w:val="20"/>
                <w:color w:val="auto"/>
              </w:rPr>
            </w:pPr>
            <w:r>
              <w:rPr>
                <w:rFonts w:ascii="Arial" w:cs="Arial" w:eastAsia="Arial" w:hAnsi="Arial"/>
                <w:sz w:val="14"/>
                <w:szCs w:val="14"/>
                <w:color w:val="auto"/>
              </w:rPr>
              <w:t>Proceeds from issuance of common stock</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Taxes paid related to net share settlement of equity awards</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(132.1)</w:t>
            </w:r>
          </w:p>
        </w:tc>
        <w:tc>
          <w:tcPr>
            <w:tcW w:w="0" w:type="dxa"/>
            <w:vAlign w:val="bottom"/>
          </w:tcPr>
          <w:p>
            <w:pPr>
              <w:spacing w:after="0"/>
              <w:rPr>
                <w:sz w:val="1"/>
                <w:szCs w:val="1"/>
                <w:color w:val="auto"/>
              </w:rPr>
            </w:pPr>
          </w:p>
        </w:tc>
      </w:tr>
      <w:tr>
        <w:trPr>
          <w:trHeight w:val="182"/>
        </w:trPr>
        <w:tc>
          <w:tcPr>
            <w:tcW w:w="8360" w:type="dxa"/>
            <w:vAlign w:val="bottom"/>
          </w:tcPr>
          <w:p>
            <w:pPr>
              <w:ind w:left="48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4"/>
                <w:szCs w:val="14"/>
                <w:color w:val="auto"/>
              </w:rPr>
              <w:t>Net cash used in financing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(2,102.9)</w:t>
            </w:r>
          </w:p>
        </w:tc>
        <w:tc>
          <w:tcPr>
            <w:tcW w:w="0" w:type="dxa"/>
            <w:vAlign w:val="bottom"/>
          </w:tcPr>
          <w:p>
            <w:pPr>
              <w:spacing w:after="0"/>
              <w:rPr>
                <w:sz w:val="1"/>
                <w:szCs w:val="1"/>
                <w:color w:val="auto"/>
              </w:rPr>
            </w:pPr>
          </w:p>
        </w:tc>
      </w:tr>
      <w:tr>
        <w:trPr>
          <w:trHeight w:val="176"/>
        </w:trPr>
        <w:tc>
          <w:tcPr>
            <w:tcW w:w="836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(355.1)</w:t>
            </w:r>
          </w:p>
        </w:tc>
        <w:tc>
          <w:tcPr>
            <w:tcW w:w="0" w:type="dxa"/>
            <w:vAlign w:val="bottom"/>
          </w:tcPr>
          <w:p>
            <w:pPr>
              <w:spacing w:after="0"/>
              <w:rPr>
                <w:sz w:val="1"/>
                <w:szCs w:val="1"/>
                <w:color w:val="auto"/>
              </w:rPr>
            </w:pPr>
          </w:p>
        </w:tc>
      </w:tr>
      <w:tr>
        <w:trPr>
          <w:trHeight w:val="182"/>
        </w:trPr>
        <w:tc>
          <w:tcPr>
            <w:tcW w:w="8360" w:type="dxa"/>
            <w:vAlign w:val="bottom"/>
          </w:tcPr>
          <w:p>
            <w:pPr>
              <w:ind w:left="20"/>
              <w:spacing w:after="0"/>
              <w:rPr>
                <w:sz w:val="20"/>
                <w:szCs w:val="20"/>
                <w:color w:val="auto"/>
              </w:rPr>
            </w:pPr>
            <w:r>
              <w:rPr>
                <w:rFonts w:ascii="Arial" w:cs="Arial" w:eastAsia="Arial" w:hAnsi="Arial"/>
                <w:sz w:val="14"/>
                <w:szCs w:val="14"/>
                <w:color w:val="auto"/>
              </w:rPr>
              <w:t>CASH AND CASH EQUIVALENTS—Beginning of period</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1,682.9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1,319.1</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2,186.8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3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Cash paid for income taxes—net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tcPr>
          <w:p>
            <w:pPr>
              <w:ind w:left="480"/>
              <w:spacing w:after="0"/>
              <w:rPr>
                <w:sz w:val="20"/>
                <w:szCs w:val="20"/>
                <w:color w:val="auto"/>
              </w:rPr>
            </w:pPr>
            <w:r>
              <w:rPr>
                <w:rFonts w:ascii="Arial" w:cs="Arial" w:eastAsia="Arial" w:hAnsi="Arial"/>
                <w:sz w:val="14"/>
                <w:szCs w:val="14"/>
                <w:color w:val="auto"/>
              </w:rPr>
              <w:t>Operating lease liabilities arising from obtaining right-of-use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INVESTING AND FINANCING ACTIVITIES:</w:t>
            </w:r>
          </w:p>
        </w:tc>
        <w:tc>
          <w:tcPr>
            <w:tcW w:w="1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360" w:type="dxa"/>
            <w:vAlign w:val="bottom"/>
          </w:tcPr>
          <w:p>
            <w:pPr>
              <w:ind w:left="48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Liability for purchase of property and equipment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60" w:type="dxa"/>
            <w:vAlign w:val="bottom"/>
          </w:tcPr>
          <w:p>
            <w:pPr>
              <w:ind w:left="480"/>
              <w:spacing w:after="0"/>
              <w:rPr>
                <w:sz w:val="20"/>
                <w:szCs w:val="20"/>
                <w:color w:val="auto"/>
              </w:rPr>
            </w:pPr>
            <w:r>
              <w:rPr>
                <w:rFonts w:ascii="Arial" w:cs="Arial" w:eastAsia="Arial" w:hAnsi="Arial"/>
                <w:sz w:val="14"/>
                <w:szCs w:val="14"/>
                <w:color w:val="auto"/>
              </w:rPr>
              <w:t>Liability incurred for repurchase of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b w:val="1"/>
          <w:bCs w:val="1"/>
          <w:color w:val="auto"/>
        </w:rPr>
        <w:t>Basis of Presentation and Preparation</w:t>
      </w:r>
      <w:r>
        <w:rPr>
          <w:rFonts w:ascii="Arial" w:cs="Arial" w:eastAsia="Arial" w:hAnsi="Arial"/>
          <w:sz w:val="16"/>
          <w:szCs w:val="16"/>
          <w:color w:val="auto"/>
        </w:rPr>
        <w:t>—The unaudited condensed consolidated financial statements of Fortinet, Inc. and its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2022, contained in our Annual Report on Form 10-K filed with the SEC on February 24, 2023. In the opinion of management, all adjustments, which include normal recurring adjustments, considered necessary for a fair presentation, have been included. The results of operations for the three and nine months ended September 30, 2023 are not necessarily indicative of the results to be expected for the full year or for any future periods. The condensed consolidated balance sheet as of December 31, 2022 is derived from the audited consolidated financial statements for the year ended December 31, 2022.</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Amounts related to income taxes payable have been reclassified in prior periods to conform with current period presentation.</w:t>
      </w:r>
    </w:p>
    <w:p>
      <w:pPr>
        <w:spacing w:after="0" w:line="252"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The condensed consolidated financial statements include the accounts of Fortinet, Inc. and its subsidiaries. We consolidate all legal entities in which we have an absolute controlling financial interest. All intercompany balances and transactions have been eliminated in consolidation.</w:t>
      </w:r>
    </w:p>
    <w:p>
      <w:pPr>
        <w:spacing w:after="0" w:line="151" w:lineRule="exact"/>
        <w:rPr>
          <w:sz w:val="20"/>
          <w:szCs w:val="20"/>
          <w:color w:val="auto"/>
        </w:rPr>
      </w:pPr>
    </w:p>
    <w:p>
      <w:pPr>
        <w:jc w:val="both"/>
        <w:ind w:right="520" w:firstLine="648"/>
        <w:spacing w:after="0" w:line="263" w:lineRule="auto"/>
        <w:rPr>
          <w:sz w:val="20"/>
          <w:szCs w:val="20"/>
          <w:color w:val="auto"/>
        </w:rPr>
      </w:pPr>
      <w:r>
        <w:rPr>
          <w:rFonts w:ascii="Arial" w:cs="Arial" w:eastAsia="Arial" w:hAnsi="Arial"/>
          <w:sz w:val="18"/>
          <w:szCs w:val="18"/>
          <w:color w:val="auto"/>
        </w:rPr>
        <w:t>The preparation of the condensed consolidated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97"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There have been no material changes to our significant accounting policies as of and for the three and nine months ended September 30, 2023, as compared to the significant accounting policies described in the Form 10-K.</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and Recently Issued Accounting Standards</w:t>
      </w:r>
    </w:p>
    <w:p>
      <w:pPr>
        <w:spacing w:after="0" w:line="24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There were no recently adopted accounting standards which would have a material effect on our condensed consolidated financial statements and accompanying disclosures, and no recently issued accounting standards that are expected to have a material impact on our condensed consolidated financial statements and accompanying disclosures.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920" w:type="dxa"/>
            <w:vAlign w:val="bottom"/>
            <w:gridSpan w:val="4"/>
          </w:tcPr>
          <w:p>
            <w:pPr>
              <w:jc w:val="right"/>
              <w:ind w:right="773"/>
              <w:spacing w:after="0"/>
              <w:rPr>
                <w:sz w:val="20"/>
                <w:szCs w:val="20"/>
                <w:color w:val="auto"/>
              </w:rPr>
            </w:pPr>
            <w:r>
              <w:rPr>
                <w:rFonts w:ascii="Arial" w:cs="Arial" w:eastAsia="Arial" w:hAnsi="Arial"/>
                <w:sz w:val="16"/>
                <w:szCs w:val="16"/>
                <w:b w:val="1"/>
                <w:bCs w:val="1"/>
                <w:color w:val="auto"/>
              </w:rPr>
              <w:t>Nine Months Ended</w:t>
            </w:r>
          </w:p>
        </w:tc>
      </w:tr>
      <w:tr>
        <w:trPr>
          <w:trHeight w:val="159"/>
        </w:trPr>
        <w:tc>
          <w:tcPr>
            <w:tcW w:w="49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3"/>
              <w:spacing w:after="0" w:line="158" w:lineRule="exact"/>
              <w:rPr>
                <w:sz w:val="20"/>
                <w:szCs w:val="20"/>
                <w:color w:val="auto"/>
              </w:rPr>
            </w:pPr>
            <w:r>
              <w:rPr>
                <w:rFonts w:ascii="Arial" w:cs="Arial" w:eastAsia="Arial" w:hAnsi="Arial"/>
                <w:sz w:val="16"/>
                <w:szCs w:val="16"/>
                <w:b w:val="1"/>
                <w:bCs w:val="1"/>
                <w:color w:val="auto"/>
                <w:w w:val="95"/>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53"/>
              <w:spacing w:after="0" w:line="158" w:lineRule="exact"/>
              <w:rPr>
                <w:sz w:val="20"/>
                <w:szCs w:val="20"/>
                <w:color w:val="auto"/>
              </w:rPr>
            </w:pPr>
            <w:r>
              <w:rPr>
                <w:rFonts w:ascii="Arial" w:cs="Arial" w:eastAsia="Arial" w:hAnsi="Arial"/>
                <w:sz w:val="16"/>
                <w:szCs w:val="16"/>
                <w:b w:val="1"/>
                <w:bCs w:val="1"/>
                <w:color w:val="auto"/>
                <w:w w:val="96"/>
              </w:rPr>
              <w:t>September 30,</w:t>
            </w:r>
          </w:p>
        </w:tc>
      </w:tr>
      <w:tr>
        <w:trPr>
          <w:trHeight w:val="213"/>
        </w:trPr>
        <w:tc>
          <w:tcPr>
            <w:tcW w:w="4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1,240.4</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Security subscription</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1,023.1</w:t>
            </w:r>
          </w:p>
        </w:tc>
      </w:tr>
      <w:tr>
        <w:trPr>
          <w:trHeight w:val="230"/>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Technical support and other</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870.9</w:t>
            </w:r>
          </w:p>
        </w:tc>
      </w:tr>
      <w:tr>
        <w:trPr>
          <w:trHeight w:val="223"/>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service revenue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1,894.0</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3,134.4</w:t>
            </w: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52"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During the three and nine months ended September 30, 2023, we recognized $514.3 million and $1.80 billion in service revenue that was included in the deferred revenue balance as of December 31, 2022, respectively. During the three and nine months ended September 30, 2022, we recognized $401.9 million and $1.37 billion in service revenue that was included in the deferred revenue balance as of December 31, 2021,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September 30, 2023, the aggregate amount of the transaction price allocated to remaining performance obligations was $5.30 billion, which was substantially comprised of deferred security subscription, technical support services revenue and unbilled contract revenue from non-cancellable contracts that will be recognized in future periods. We expect to recognize approximately $2.66 billion as revenue over the next 12 months and the remainder thereafter.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5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6"/>
          <w:szCs w:val="16"/>
          <w:color w:val="auto"/>
        </w:rPr>
        <w:t>Trade accounts receivable are recorded at the invoiced amount, net of an 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 Expected credit losses are recorded as general and administrative expenses on our consolidated statements of income.</w:t>
      </w:r>
    </w:p>
    <w:p>
      <w:pPr>
        <w:spacing w:after="0" w:line="175" w:lineRule="exact"/>
        <w:rPr>
          <w:sz w:val="20"/>
          <w:szCs w:val="20"/>
          <w:color w:val="auto"/>
        </w:rPr>
      </w:pPr>
    </w:p>
    <w:p>
      <w:pPr>
        <w:ind w:right="420" w:firstLine="583"/>
        <w:spacing w:after="0" w:line="246" w:lineRule="auto"/>
        <w:rPr>
          <w:sz w:val="20"/>
          <w:szCs w:val="20"/>
          <w:color w:val="auto"/>
        </w:rPr>
      </w:pPr>
      <w:r>
        <w:rPr>
          <w:rFonts w:ascii="Arial" w:cs="Arial" w:eastAsia="Arial" w:hAnsi="Arial"/>
          <w:sz w:val="18"/>
          <w:szCs w:val="18"/>
          <w:color w:val="auto"/>
        </w:rPr>
        <w:t>The allowance for credit losses was $5.3 million and $3.6 million as of September 30, 2023 and December 31, 2022, respectively. Provisions, write-offs and recoveries were not material during the nine months ended September 30, 2023 and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Amortization of deferred contract costs during the three months ended September 30, 2023 and 2022 were $68.0 million and $56.7 million, respectively. Amortization of deferred contract costs during the nine months ended September 30, 2023 and 2022 were $195.9 million and $163.8 million, respectively.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available-for-sale securities (in millions):</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6"/>
                <w:szCs w:val="16"/>
                <w:b w:val="1"/>
                <w:bCs w:val="1"/>
                <w:color w:val="auto"/>
                <w:w w:val="89"/>
              </w:rPr>
              <w:t>September 30, 2023</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59"/>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3"/>
                <w:szCs w:val="13"/>
                <w:color w:val="auto"/>
              </w:rPr>
            </w:pPr>
          </w:p>
        </w:tc>
        <w:tc>
          <w:tcPr>
            <w:tcW w:w="1360" w:type="dxa"/>
            <w:vAlign w:val="bottom"/>
            <w:gridSpan w:val="3"/>
          </w:tcPr>
          <w:p>
            <w:pPr>
              <w:jc w:val="center"/>
              <w:ind w:right="340"/>
              <w:spacing w:after="0" w:line="158" w:lineRule="exact"/>
              <w:rPr>
                <w:sz w:val="20"/>
                <w:szCs w:val="20"/>
                <w:color w:val="auto"/>
              </w:rPr>
            </w:pPr>
            <w:r>
              <w:rPr>
                <w:rFonts w:ascii="Arial" w:cs="Arial" w:eastAsia="Arial" w:hAnsi="Arial"/>
                <w:sz w:val="16"/>
                <w:szCs w:val="16"/>
                <w:b w:val="1"/>
                <w:bCs w:val="1"/>
                <w:color w:val="auto"/>
                <w:w w:val="91"/>
              </w:rPr>
              <w:t>Unrealized</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32"/>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3"/>
              </w:rPr>
              <w:t>Losses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r>
      <w:tr>
        <w:trPr>
          <w:trHeight w:val="22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399.7</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48"/>
        </w:trPr>
        <w:tc>
          <w:tcPr>
            <w:tcW w:w="49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08"/>
        </w:trPr>
        <w:tc>
          <w:tcPr>
            <w:tcW w:w="4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6"/>
                <w:szCs w:val="16"/>
                <w:b w:val="1"/>
                <w:bCs w:val="1"/>
                <w:color w:val="auto"/>
                <w:w w:val="90"/>
              </w:rPr>
              <w:t>December 31, 2022</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8"/>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3"/>
                <w:szCs w:val="13"/>
                <w:color w:val="auto"/>
              </w:rPr>
            </w:pPr>
          </w:p>
        </w:tc>
        <w:tc>
          <w:tcPr>
            <w:tcW w:w="1360" w:type="dxa"/>
            <w:vAlign w:val="bottom"/>
            <w:gridSpan w:val="3"/>
          </w:tcPr>
          <w:p>
            <w:pPr>
              <w:jc w:val="center"/>
              <w:ind w:right="32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32"/>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79"/>
              </w:rPr>
              <w:t>Losses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12"/>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288.9</w:t>
            </w: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4960" w:type="dxa"/>
            <w:vAlign w:val="bottom"/>
          </w:tcPr>
          <w:p>
            <w:pPr>
              <w:ind w:left="46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548.1</w:t>
            </w:r>
          </w:p>
        </w:tc>
      </w:tr>
      <w:tr>
        <w:trPr>
          <w:trHeight w:val="21"/>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60" w:firstLine="648"/>
        <w:spacing w:after="0" w:line="274" w:lineRule="auto"/>
        <w:rPr>
          <w:sz w:val="20"/>
          <w:szCs w:val="20"/>
          <w:color w:val="auto"/>
        </w:rPr>
      </w:pPr>
      <w:r>
        <w:rPr>
          <w:rFonts w:ascii="Arial" w:cs="Arial" w:eastAsia="Arial" w:hAnsi="Arial"/>
          <w:sz w:val="18"/>
          <w:szCs w:val="18"/>
          <w:color w:val="auto"/>
        </w:rPr>
        <w:t>The following tables show the gross unrealized losses and the related fair values of our available-for-sale securities that have been in a continuous unrealized loss position (in millions):</w:t>
      </w:r>
    </w:p>
    <w:tbl>
      <w:tblPr>
        <w:tblLayout w:type="fixed"/>
        <w:tblInd w:w="2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r>
      <w:tr>
        <w:trPr>
          <w:trHeight w:val="158"/>
        </w:trPr>
        <w:tc>
          <w:tcPr>
            <w:tcW w:w="4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3"/>
              <w:spacing w:after="0" w:line="158" w:lineRule="exact"/>
              <w:rPr>
                <w:sz w:val="20"/>
                <w:szCs w:val="20"/>
                <w:color w:val="auto"/>
              </w:rPr>
            </w:pPr>
            <w:r>
              <w:rPr>
                <w:rFonts w:ascii="Arial" w:cs="Arial" w:eastAsia="Arial" w:hAnsi="Arial"/>
                <w:sz w:val="16"/>
                <w:szCs w:val="16"/>
                <w:b w:val="1"/>
                <w:bCs w:val="1"/>
                <w:color w:val="auto"/>
                <w:w w:val="91"/>
              </w:rPr>
              <w:t>Unrealized</w:t>
            </w:r>
          </w:p>
        </w:tc>
      </w:tr>
      <w:tr>
        <w:trPr>
          <w:trHeight w:val="213"/>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94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4060" w:type="dxa"/>
            <w:vAlign w:val="bottom"/>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4"/>
        </w:trPr>
        <w:tc>
          <w:tcPr>
            <w:tcW w:w="4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0"/>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r>
      <w:tr>
        <w:trPr>
          <w:trHeight w:val="158"/>
        </w:trPr>
        <w:tc>
          <w:tcPr>
            <w:tcW w:w="4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3"/>
              <w:spacing w:after="0" w:line="158" w:lineRule="exact"/>
              <w:rPr>
                <w:sz w:val="20"/>
                <w:szCs w:val="20"/>
                <w:color w:val="auto"/>
              </w:rPr>
            </w:pPr>
            <w:r>
              <w:rPr>
                <w:rFonts w:ascii="Arial" w:cs="Arial" w:eastAsia="Arial" w:hAnsi="Arial"/>
                <w:sz w:val="16"/>
                <w:szCs w:val="16"/>
                <w:b w:val="1"/>
                <w:bCs w:val="1"/>
                <w:color w:val="auto"/>
                <w:w w:val="91"/>
              </w:rPr>
              <w:t>Unrealized</w:t>
            </w:r>
          </w:p>
        </w:tc>
      </w:tr>
      <w:tr>
        <w:trPr>
          <w:trHeight w:val="213"/>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94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40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(in millions):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6"/>
                <w:szCs w:val="16"/>
                <w:color w:val="auto"/>
              </w:rPr>
            </w:pPr>
          </w:p>
        </w:tc>
        <w:tc>
          <w:tcPr>
            <w:tcW w:w="1520" w:type="dxa"/>
            <w:vAlign w:val="bottom"/>
          </w:tcPr>
          <w:p>
            <w:pPr>
              <w:jc w:val="right"/>
              <w:ind w:right="334"/>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4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2022</w:t>
            </w:r>
          </w:p>
        </w:tc>
      </w:tr>
      <w:tr>
        <w:trPr>
          <w:trHeight w:val="22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within one to three years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r>
      <w:tr>
        <w:trPr>
          <w:trHeight w:val="248"/>
        </w:trPr>
        <w:tc>
          <w:tcPr>
            <w:tcW w:w="7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Available-for-sale securities are reported at fair value, with unrealized gains and losses and the related tax impact included as a separate component of equity (deficit) and in comprehensive income. We do not intend to sell any of the securities in an unrealized loss position and it is not more likely than not that we would be required to sell these securities before recovery of their amortized cost basis, which may be at maturity.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and losses on available-for-sale securities were insignificant in the periods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Equity Securities</w:t>
      </w:r>
    </w:p>
    <w:p>
      <w:pPr>
        <w:spacing w:after="0" w:line="239" w:lineRule="exact"/>
        <w:rPr>
          <w:sz w:val="20"/>
          <w:szCs w:val="20"/>
          <w:color w:val="auto"/>
        </w:rPr>
      </w:pPr>
    </w:p>
    <w:p>
      <w:pPr>
        <w:ind w:right="380" w:firstLine="648"/>
        <w:spacing w:after="0" w:line="256" w:lineRule="auto"/>
        <w:rPr>
          <w:sz w:val="20"/>
          <w:szCs w:val="20"/>
          <w:color w:val="auto"/>
        </w:rPr>
      </w:pPr>
      <w:r>
        <w:rPr>
          <w:rFonts w:ascii="Arial" w:cs="Arial" w:eastAsia="Arial" w:hAnsi="Arial"/>
          <w:sz w:val="16"/>
          <w:szCs w:val="16"/>
          <w:color w:val="auto"/>
        </w:rPr>
        <w:t>Our marketable equity securities were $19.8 million and $25.5 million as of September 30, 2023 and December 31, 2022. The changes in fair value of our marketable equity securities are recorded in other expense—net on the condensed consolidated statements of income. We recognized a</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$2.3 million and $5.7 million loss during the three and nine months ended September 30, 2023, respectively. We recognized a $2.6 million gain and a $11.7 million loss during the three and nine months ended September 30, 2022,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97" w:lineRule="exact"/>
        <w:rPr>
          <w:sz w:val="20"/>
          <w:szCs w:val="20"/>
          <w:color w:val="auto"/>
        </w:rPr>
      </w:pPr>
    </w:p>
    <w:p>
      <w:pPr>
        <w:ind w:left="1300" w:right="3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9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measure the fair value of money market funds, certain U.S. government and agency securities and marketable equity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52"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fair value of our financial assets measured at fair value on a recurring basis (in millions):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September 30, 2023</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1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Significant</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Significant</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Significant</w:t>
            </w:r>
          </w:p>
        </w:tc>
        <w:tc>
          <w:tcPr>
            <w:tcW w:w="120" w:type="dxa"/>
            <w:vAlign w:val="bottom"/>
          </w:tcPr>
          <w:p>
            <w:pPr>
              <w:spacing w:after="0"/>
              <w:rPr>
                <w:sz w:val="10"/>
                <w:szCs w:val="10"/>
                <w:color w:val="auto"/>
              </w:rPr>
            </w:pPr>
          </w:p>
        </w:tc>
        <w:tc>
          <w:tcPr>
            <w:tcW w:w="920" w:type="dxa"/>
            <w:vAlign w:val="bottom"/>
            <w:vMerge w:val="restart"/>
          </w:tcPr>
          <w:p>
            <w:pPr>
              <w:jc w:val="center"/>
              <w:ind w:right="40"/>
              <w:spacing w:after="0"/>
              <w:rPr>
                <w:sz w:val="20"/>
                <w:szCs w:val="20"/>
                <w:color w:val="auto"/>
              </w:rPr>
            </w:pPr>
            <w:r>
              <w:rPr>
                <w:rFonts w:ascii="Arial" w:cs="Arial" w:eastAsia="Arial" w:hAnsi="Arial"/>
                <w:sz w:val="13"/>
                <w:szCs w:val="13"/>
                <w:b w:val="1"/>
                <w:bCs w:val="1"/>
                <w:color w:val="auto"/>
                <w:w w:val="90"/>
              </w:rPr>
              <w:t>Significant</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4"/>
              </w:rPr>
              <w:t>Prices in</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760" w:type="dxa"/>
            <w:vAlign w:val="bottom"/>
            <w:vMerge w:val="restart"/>
          </w:tcPr>
          <w:p>
            <w:pPr>
              <w:jc w:val="center"/>
              <w:ind w:right="75"/>
              <w:spacing w:after="0"/>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2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Observable</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Unobservable</w:t>
            </w:r>
          </w:p>
        </w:tc>
        <w:tc>
          <w:tcPr>
            <w:tcW w:w="1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Observable</w:t>
            </w:r>
          </w:p>
        </w:tc>
        <w:tc>
          <w:tcPr>
            <w:tcW w:w="120" w:type="dxa"/>
            <w:vAlign w:val="bottom"/>
          </w:tcPr>
          <w:p>
            <w:pPr>
              <w:spacing w:after="0"/>
              <w:rPr>
                <w:sz w:val="10"/>
                <w:szCs w:val="10"/>
                <w:color w:val="auto"/>
              </w:rPr>
            </w:pPr>
          </w:p>
        </w:tc>
        <w:tc>
          <w:tcPr>
            <w:tcW w:w="920" w:type="dxa"/>
            <w:vAlign w:val="bottom"/>
          </w:tcPr>
          <w:p>
            <w:pPr>
              <w:jc w:val="center"/>
              <w:ind w:right="40"/>
              <w:spacing w:after="0" w:line="122" w:lineRule="exact"/>
              <w:rPr>
                <w:sz w:val="20"/>
                <w:szCs w:val="20"/>
                <w:color w:val="auto"/>
              </w:rPr>
            </w:pPr>
            <w:r>
              <w:rPr>
                <w:rFonts w:ascii="Arial" w:cs="Arial" w:eastAsia="Arial" w:hAnsi="Arial"/>
                <w:sz w:val="13"/>
                <w:szCs w:val="13"/>
                <w:b w:val="1"/>
                <w:bCs w:val="1"/>
                <w:color w:val="auto"/>
                <w:w w:val="88"/>
              </w:rPr>
              <w:t>Unobservable</w:t>
            </w: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35"/>
              <w:spacing w:after="0" w:line="122"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Remaining</w:t>
            </w:r>
          </w:p>
        </w:tc>
        <w:tc>
          <w:tcPr>
            <w:tcW w:w="160" w:type="dxa"/>
            <w:vAlign w:val="bottom"/>
          </w:tcPr>
          <w:p>
            <w:pPr>
              <w:spacing w:after="0"/>
              <w:rPr>
                <w:sz w:val="10"/>
                <w:szCs w:val="10"/>
                <w:color w:val="auto"/>
              </w:rPr>
            </w:pPr>
          </w:p>
        </w:tc>
        <w:tc>
          <w:tcPr>
            <w:tcW w:w="760" w:type="dxa"/>
            <w:vAlign w:val="bottom"/>
          </w:tcPr>
          <w:p>
            <w:pPr>
              <w:jc w:val="center"/>
              <w:ind w:right="75"/>
              <w:spacing w:after="0" w:line="122"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0"/>
                <w:szCs w:val="10"/>
                <w:color w:val="auto"/>
              </w:rPr>
            </w:pPr>
          </w:p>
        </w:tc>
        <w:tc>
          <w:tcPr>
            <w:tcW w:w="920" w:type="dxa"/>
            <w:vAlign w:val="bottom"/>
          </w:tcPr>
          <w:p>
            <w:pPr>
              <w:jc w:val="center"/>
              <w:ind w:right="40"/>
              <w:spacing w:after="0" w:line="122" w:lineRule="exact"/>
              <w:rPr>
                <w:sz w:val="20"/>
                <w:szCs w:val="20"/>
                <w:color w:val="auto"/>
              </w:rPr>
            </w:pPr>
            <w:r>
              <w:rPr>
                <w:rFonts w:ascii="Arial" w:cs="Arial" w:eastAsia="Arial" w:hAnsi="Arial"/>
                <w:sz w:val="13"/>
                <w:szCs w:val="13"/>
                <w:b w:val="1"/>
                <w:bCs w:val="1"/>
                <w:color w:val="auto"/>
                <w:w w:val="90"/>
              </w:rPr>
              <w:t>Remaining</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55"/>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9"/>
              </w:rPr>
              <w:t>Assets</w:t>
            </w: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Inputs</w:t>
            </w:r>
          </w:p>
        </w:tc>
        <w:tc>
          <w:tcPr>
            <w:tcW w:w="160" w:type="dxa"/>
            <w:vAlign w:val="bottom"/>
          </w:tcPr>
          <w:p>
            <w:pPr>
              <w:spacing w:after="0"/>
              <w:rPr>
                <w:sz w:val="15"/>
                <w:szCs w:val="15"/>
                <w:color w:val="auto"/>
              </w:rPr>
            </w:pPr>
          </w:p>
        </w:tc>
        <w:tc>
          <w:tcPr>
            <w:tcW w:w="760" w:type="dxa"/>
            <w:vAlign w:val="bottom"/>
          </w:tcPr>
          <w:p>
            <w:pPr>
              <w:jc w:val="center"/>
              <w:ind w:right="75"/>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5"/>
                <w:szCs w:val="15"/>
                <w:color w:val="auto"/>
              </w:rPr>
            </w:pPr>
          </w:p>
        </w:tc>
        <w:tc>
          <w:tcPr>
            <w:tcW w:w="920" w:type="dxa"/>
            <w:vAlign w:val="bottom"/>
          </w:tcPr>
          <w:p>
            <w:pPr>
              <w:jc w:val="center"/>
              <w:ind w:right="4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2"/>
              </w:rPr>
              <w:t>(Level 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5"/>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60" w:type="dxa"/>
            <w:vAlign w:val="bottom"/>
          </w:tcPr>
          <w:p>
            <w:pPr>
              <w:ind w:left="460"/>
              <w:spacing w:after="0" w:line="176" w:lineRule="exact"/>
              <w:rPr>
                <w:sz w:val="20"/>
                <w:szCs w:val="20"/>
                <w:color w:val="auto"/>
              </w:rPr>
            </w:pPr>
            <w:r>
              <w:rPr>
                <w:rFonts w:ascii="Arial" w:cs="Arial" w:eastAsia="Arial" w:hAnsi="Arial"/>
                <w:sz w:val="18"/>
                <w:szCs w:val="18"/>
                <w:color w:val="auto"/>
                <w:w w:val="97"/>
              </w:rPr>
              <w:t>U.S. government and agency</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460"/>
              <w:spacing w:after="0"/>
              <w:rPr>
                <w:sz w:val="20"/>
                <w:szCs w:val="20"/>
                <w:color w:val="auto"/>
              </w:rPr>
            </w:pPr>
            <w:r>
              <w:rPr>
                <w:rFonts w:ascii="Arial" w:cs="Arial" w:eastAsia="Arial" w:hAnsi="Arial"/>
                <w:sz w:val="18"/>
                <w:szCs w:val="18"/>
                <w:color w:val="auto"/>
              </w:rPr>
              <w:t>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259.3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760" w:type="dxa"/>
            <w:vAlign w:val="bottom"/>
          </w:tcPr>
          <w:p>
            <w:pPr>
              <w:ind w:left="460"/>
              <w:spacing w:after="0" w:line="176" w:lineRule="exact"/>
              <w:rPr>
                <w:sz w:val="20"/>
                <w:szCs w:val="20"/>
                <w:color w:val="auto"/>
              </w:rPr>
            </w:pPr>
            <w:r>
              <w:rPr>
                <w:rFonts w:ascii="Arial" w:cs="Arial" w:eastAsia="Arial" w:hAnsi="Arial"/>
                <w:sz w:val="18"/>
                <w:szCs w:val="18"/>
                <w:color w:val="auto"/>
                <w:w w:val="91"/>
              </w:rPr>
              <w:t>Certificates of deposit and term</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46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60" w:type="dxa"/>
            <w:vAlign w:val="bottom"/>
          </w:tcPr>
          <w:p>
            <w:pPr>
              <w:ind w:left="46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60" w:type="dxa"/>
            <w:vAlign w:val="bottom"/>
          </w:tcPr>
          <w:p>
            <w:pPr>
              <w:ind w:left="460"/>
              <w:spacing w:after="0"/>
              <w:rPr>
                <w:sz w:val="20"/>
                <w:szCs w:val="20"/>
                <w:color w:val="auto"/>
              </w:rPr>
            </w:pPr>
            <w:r>
              <w:rPr>
                <w:rFonts w:ascii="Arial" w:cs="Arial" w:eastAsia="Arial" w:hAnsi="Arial"/>
                <w:sz w:val="18"/>
                <w:szCs w:val="18"/>
                <w:color w:val="auto"/>
              </w:rPr>
              <w:t>Marketable equity securities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747.2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46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Marketable equity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4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Long-term investments</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transfers between Level 1 and Level 2 of the fair value hierarchy during the nine months ended September 30, 2023 and year ended December 31, 2022.</w:t>
      </w:r>
    </w:p>
    <w:p>
      <w:pPr>
        <w:spacing w:after="0" w:line="19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tab/>
        <w:t>INVENTORY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(in millions):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2022</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w:t>
            </w: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PROPERTY AND EQUIPMENT—Net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(in millions):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2022</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490.3</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Evaluation units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3"/>
        </w:trPr>
        <w:tc>
          <w:tcPr>
            <w:tcW w:w="7380" w:type="dxa"/>
            <w:vAlign w:val="bottom"/>
          </w:tcPr>
          <w:p>
            <w:pPr>
              <w:ind w:left="460"/>
              <w:spacing w:after="0"/>
              <w:rPr>
                <w:sz w:val="20"/>
                <w:szCs w:val="20"/>
                <w:color w:val="auto"/>
              </w:rPr>
            </w:pPr>
            <w:r>
              <w:rPr>
                <w:rFonts w:ascii="Arial" w:cs="Arial" w:eastAsia="Arial" w:hAnsi="Arial"/>
                <w:sz w:val="18"/>
                <w:szCs w:val="18"/>
                <w:color w:val="auto"/>
              </w:rPr>
              <w:t>Total property and equipment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1,370.1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1,178.7</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Property and equipment—net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898.5</w:t>
            </w: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During the three months ended June 30, 2023, we purchased certain real estate in Spain and the United States for a total purchase price of</w:t>
      </w:r>
    </w:p>
    <w:p>
      <w:pPr>
        <w:spacing w:after="0" w:line="1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$51.9 million. The purchases were accounted for under the asset acquisition method. The cost of the assets acquired was allocated to land and buildings and improvements based on their relative fair values. The total purchase price was allocated as $6.5 million to land and $45.4 million to buildings and improvements.</w:t>
      </w:r>
    </w:p>
    <w:p>
      <w:pPr>
        <w:spacing w:after="0" w:line="216"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color w:val="auto"/>
        </w:rPr>
        <w:t>During the three months ended September 30, 2023, we purchased certain real estate in Australia for a total purchase price of $41.3 million. The purchase was accounted for under the asset acquisition method. The cost of the assets acquired was allocated to land and construction-in-progress based on their relative fair values. The total purchase price was allocated as $21.5 million to land and $19.8 million to construction-in-progress.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expense was $23.9 million and $21.2 million during the three months ended September 30, 2023 and 2022,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$69.6 million and $59.4 million during the nine months ended September 30, 2023 and 2022, respectively.</w:t>
      </w:r>
    </w:p>
    <w:p>
      <w:pPr>
        <w:spacing w:after="0" w:line="234"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Linksys Holdings, Inc.</w:t>
      </w:r>
    </w:p>
    <w:p>
      <w:pPr>
        <w:spacing w:after="0" w:line="239" w:lineRule="exact"/>
        <w:rPr>
          <w:sz w:val="20"/>
          <w:szCs w:val="20"/>
          <w:color w:val="auto"/>
        </w:rPr>
      </w:pPr>
    </w:p>
    <w:p>
      <w:pPr>
        <w:ind w:right="100" w:firstLine="648"/>
        <w:spacing w:after="0" w:line="248" w:lineRule="auto"/>
        <w:rPr>
          <w:sz w:val="20"/>
          <w:szCs w:val="20"/>
          <w:color w:val="auto"/>
        </w:rPr>
      </w:pPr>
      <w:r>
        <w:rPr>
          <w:rFonts w:ascii="Arial" w:cs="Arial" w:eastAsia="Arial" w:hAnsi="Arial"/>
          <w:sz w:val="18"/>
          <w:szCs w:val="18"/>
          <w:color w:val="auto"/>
        </w:rPr>
        <w:t>During 2021, we invested $160 million in cash for shares of the Series A Preferred Stock of privately held Linksys Holdings, Inc. (“Linksys”), representing a 50.8% ownership interest in the outstanding common stock (on an as-converted basis). Linksys provides router connectivity solutions to the consumer and small business markets.</w:t>
      </w:r>
    </w:p>
    <w:p>
      <w:pPr>
        <w:spacing w:after="0" w:line="209" w:lineRule="exact"/>
        <w:rPr>
          <w:sz w:val="20"/>
          <w:szCs w:val="20"/>
          <w:color w:val="auto"/>
        </w:rPr>
      </w:pPr>
    </w:p>
    <w:p>
      <w:pPr>
        <w:ind w:right="100" w:firstLine="648"/>
        <w:spacing w:after="0" w:line="267" w:lineRule="auto"/>
        <w:rPr>
          <w:sz w:val="20"/>
          <w:szCs w:val="20"/>
          <w:color w:val="auto"/>
        </w:rPr>
      </w:pPr>
      <w:r>
        <w:rPr>
          <w:rFonts w:ascii="Arial" w:cs="Arial" w:eastAsia="Arial" w:hAnsi="Arial"/>
          <w:sz w:val="16"/>
          <w:szCs w:val="16"/>
          <w:color w:val="auto"/>
        </w:rPr>
        <w:t>We have concluded that our investment in Linksys is an in-substance common stock investment and that we do not hold an absolute controlling financial interest in Linksys, but that we have the ability to exercise significant influence over the operating and financial policies of Linksys. Determining that we have significant influence but not control over the operating and financial policies of Linksys required significant judgement of many factors, including but not limited to the ownership interest in Linksys, board representation, participation in policy-making processes and participation rights in certain significant financial and operating decisions of Linksys in the ordinary course of business. Therefore, we determined to account for this investment using the equity method of accounting. We record our share of Linksys’ financial results on a three-month lag basis. We determined that there was a basis difference between the cost of our investment in Linksys and the amount of underlying equity in net assets of Linksys. Our share of loss of Linksys’ financial results, as well as our share of the amortization of the basis differences, totaled $5.2 million and $6.3 million for the three months ended September 30, 2023 and 2022, respectively, and has been recorded in loss from equity method investment on the condensed consolidated statements of income. Our share of loss of Linksys’ financial results, as well as our share of the amortization of the basis differences, totaled $32.6 million and $22.9 million for the nine months ended September 30, 2023 and 2022, respectively, and has been recorded in loss from equity method investment on the condensed consolidated statements of income. The carrying amount of our Linksys investment was $51.6 million and $84.3 million as of September 30, 2023 and December 31, 2022, respectively, and the investment was included in other assets on our condensed consolidated balance sheets.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In the fourth quarter of 2022, we recorded a non-cash charge of $22.2 million related to other-than-temporary impairment (“OTTI”) recognized on our equity method investment in Linksys and our proportionate share of Linksys' financial results included a $17.5 million charge in connection with a valuation allowance established on deferred tax assets at Linksys. Due to the presence of impairment indicators, such as a series of operating losses, we evaluated our equity method investment for an OTTI during the three months ended September 30, 2023. We considered various factors in determining whether an OTTI has occurred, including the limited operating history available, our ability and intent to hold the investment until its fair value recovers, the implied revenue valuation multiples compared to guideline public companies, Linksys’ ability to achieve milestones and any notable operational and strategic changes. After the evaluation, we determined that an additional OTTI has not occurred as of September 30, 2023. However, we may be required to recognize an impairment loss in future reporting periods if and when our evaluation of the aforementioned factors indicates that the investment in Linksys is determined to be other than temporarily impaired. Such determination will be based on the prevailing facts and circumstances at that time, including the results and disclosures of Linksys.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w:t>
      </w:r>
    </w:p>
    <w:p>
      <w:pPr>
        <w:spacing w:after="0" w:line="239"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On August 1, 2023, we invested $8.5 million in cash for a 19.5% ownership interest in the outstanding common stock of a privately held company that provides rugged ethernet switches, 4G/5G industrial routers and media converters for critical infrastructure customers. We accounted for our investment as an equity method investment since we have the ability to exercise significant influence, but not control, over the operating and financial policies of the privately-held company.</w:t>
      </w:r>
    </w:p>
    <w:p>
      <w:pPr>
        <w:spacing w:after="0" w:line="215"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We will record our proportionate share of the company’s financial results on a three-month lag basis and will present it in loss from equity method investments—net on the condensed consolidated statements of income.</w:t>
      </w:r>
    </w:p>
    <w:p>
      <w:pPr>
        <w:spacing w:after="0" w:line="207"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Alaxala Networks Corporation</w:t>
      </w:r>
    </w:p>
    <w:p>
      <w:pPr>
        <w:spacing w:after="0" w:line="279"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On August 31, 2021, we closed an acquisition of 75% of equity interests as controlling interests in Alaxala Networks Corporation (“Alaxala”), a privately held network hardware equipment company in Japan, for $64.2 million in cash. On October 3, 2022, we acquired the remaining 25% of equity interests in Alaxala for $13.5 million in cash, and Alaxala became our wholly owned subsidiary. We acquired the equity interests in Alaxala to broaden our offering of secure switches integrated with our Core Platform and Enhanced Platform Technology functionality, and over time, to innovate and rebrand certain of Alaxala’s switches to offer a broader suite of secure switches globally.</w:t>
      </w:r>
    </w:p>
    <w:p>
      <w:pPr>
        <w:spacing w:after="0" w:line="200" w:lineRule="exact"/>
        <w:rPr>
          <w:sz w:val="20"/>
          <w:szCs w:val="20"/>
          <w:color w:val="auto"/>
        </w:rPr>
      </w:pPr>
    </w:p>
    <w:p>
      <w:pPr>
        <w:spacing w:after="0" w:line="26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tab/>
        <w:t>GOODWILL AND OTHER INTANGIBLE ASSETS—Net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carrying amount of goodwill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Amount</w:t>
            </w:r>
          </w:p>
        </w:tc>
      </w:tr>
      <w:tr>
        <w:trPr>
          <w:trHeight w:val="226"/>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2023</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impairments to goodwill during the nine months ended September 30, 2023 or during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(in millions, except years):</w:t>
      </w:r>
    </w:p>
    <w:p>
      <w:pPr>
        <w:spacing w:after="0" w:line="50" w:lineRule="exact"/>
        <w:rPr>
          <w:sz w:val="20"/>
          <w:szCs w:val="20"/>
          <w:color w:val="auto"/>
        </w:rPr>
      </w:pPr>
    </w:p>
    <w:p>
      <w:pPr>
        <w:ind w:left="7720"/>
        <w:spacing w:after="0"/>
        <w:rPr>
          <w:sz w:val="20"/>
          <w:szCs w:val="20"/>
          <w:color w:val="auto"/>
        </w:rPr>
      </w:pPr>
      <w:r>
        <w:rPr>
          <w:rFonts w:ascii="Arial" w:cs="Arial" w:eastAsia="Arial" w:hAnsi="Arial"/>
          <w:sz w:val="16"/>
          <w:szCs w:val="16"/>
          <w:b w:val="1"/>
          <w:bCs w:val="1"/>
          <w:color w:val="auto"/>
        </w:rPr>
        <w:t>September 30, 2023</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20"/>
              <w:spacing w:after="0" w:line="161" w:lineRule="exact"/>
              <w:rPr>
                <w:sz w:val="20"/>
                <w:szCs w:val="20"/>
                <w:color w:val="auto"/>
              </w:rPr>
            </w:pPr>
            <w:r>
              <w:rPr>
                <w:rFonts w:ascii="Arial" w:cs="Arial" w:eastAsia="Arial" w:hAnsi="Arial"/>
                <w:sz w:val="16"/>
                <w:szCs w:val="16"/>
                <w:b w:val="1"/>
                <w:bCs w:val="1"/>
                <w:color w:val="auto"/>
                <w:w w:val="89"/>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5540" w:type="dxa"/>
            <w:vAlign w:val="bottom"/>
          </w:tcPr>
          <w:p>
            <w:pPr>
              <w:ind w:left="460"/>
              <w:spacing w:after="0"/>
              <w:rPr>
                <w:sz w:val="20"/>
                <w:szCs w:val="20"/>
                <w:color w:val="auto"/>
              </w:rPr>
            </w:pPr>
            <w:r>
              <w:rPr>
                <w:rFonts w:ascii="Arial" w:cs="Arial" w:eastAsia="Arial" w:hAnsi="Arial"/>
                <w:sz w:val="18"/>
                <w:szCs w:val="18"/>
                <w:color w:val="auto"/>
              </w:rPr>
              <w:t>Customer relationships</w:t>
            </w:r>
          </w:p>
        </w:tc>
        <w:tc>
          <w:tcPr>
            <w:tcW w:w="14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740"/>
        <w:spacing w:after="0"/>
        <w:rPr>
          <w:sz w:val="20"/>
          <w:szCs w:val="20"/>
          <w:color w:val="auto"/>
        </w:rPr>
      </w:pPr>
      <w:r>
        <w:rPr>
          <w:rFonts w:ascii="Arial" w:cs="Arial" w:eastAsia="Arial" w:hAnsi="Arial"/>
          <w:sz w:val="16"/>
          <w:szCs w:val="16"/>
          <w:b w:val="1"/>
          <w:bCs w:val="1"/>
          <w:color w:val="auto"/>
        </w:rPr>
        <w:t>December 31, 2022</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20"/>
              <w:spacing w:after="0" w:line="161" w:lineRule="exact"/>
              <w:rPr>
                <w:sz w:val="20"/>
                <w:szCs w:val="20"/>
                <w:color w:val="auto"/>
              </w:rPr>
            </w:pPr>
            <w:r>
              <w:rPr>
                <w:rFonts w:ascii="Arial" w:cs="Arial" w:eastAsia="Arial" w:hAnsi="Arial"/>
                <w:sz w:val="16"/>
                <w:szCs w:val="16"/>
                <w:b w:val="1"/>
                <w:bCs w:val="1"/>
                <w:color w:val="auto"/>
                <w:w w:val="89"/>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5540" w:type="dxa"/>
            <w:vAlign w:val="bottom"/>
          </w:tcPr>
          <w:p>
            <w:pPr>
              <w:ind w:left="460"/>
              <w:spacing w:after="0"/>
              <w:rPr>
                <w:sz w:val="20"/>
                <w:szCs w:val="20"/>
                <w:color w:val="auto"/>
              </w:rPr>
            </w:pPr>
            <w:r>
              <w:rPr>
                <w:rFonts w:ascii="Arial" w:cs="Arial" w:eastAsia="Arial" w:hAnsi="Arial"/>
                <w:sz w:val="18"/>
                <w:szCs w:val="18"/>
                <w:color w:val="auto"/>
              </w:rPr>
              <w:t>Customer relationships</w:t>
            </w:r>
          </w:p>
        </w:tc>
        <w:tc>
          <w:tcPr>
            <w:tcW w:w="14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Amortization expense was $4.4 million and $5.2 million during the three months ended September 30, 2023 and 2022, respectively. Amortization expense was $13.6 million and $17.6 million during the nine months ended September 30, 2023 and 2022,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millions):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90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Amount</w:t>
            </w:r>
          </w:p>
        </w:tc>
      </w:tr>
      <w:tr>
        <w:trPr>
          <w:trHeight w:val="21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9000" w:type="dxa"/>
            <w:vAlign w:val="bottom"/>
          </w:tcPr>
          <w:p>
            <w:pPr>
              <w:ind w:left="340"/>
              <w:spacing w:after="0"/>
              <w:rPr>
                <w:sz w:val="20"/>
                <w:szCs w:val="20"/>
                <w:color w:val="auto"/>
              </w:rPr>
            </w:pPr>
            <w:r>
              <w:rPr>
                <w:rFonts w:ascii="Arial" w:cs="Arial" w:eastAsia="Arial" w:hAnsi="Arial"/>
                <w:sz w:val="18"/>
                <w:szCs w:val="18"/>
                <w:color w:val="auto"/>
              </w:rPr>
              <w:t>2023 (the remainder of 2023)</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9000" w:type="dxa"/>
            <w:vAlign w:val="bottom"/>
          </w:tcPr>
          <w:p>
            <w:pPr>
              <w:ind w:left="34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9000" w:type="dxa"/>
            <w:vAlign w:val="bottom"/>
          </w:tcPr>
          <w:p>
            <w:pPr>
              <w:ind w:left="340"/>
              <w:spacing w:after="0"/>
              <w:rPr>
                <w:sz w:val="20"/>
                <w:szCs w:val="20"/>
                <w:color w:val="auto"/>
              </w:rPr>
            </w:pPr>
            <w:r>
              <w:rPr>
                <w:rFonts w:ascii="Arial" w:cs="Arial" w:eastAsia="Arial" w:hAnsi="Arial"/>
                <w:sz w:val="18"/>
                <w:szCs w:val="18"/>
                <w:color w:val="auto"/>
              </w:rPr>
              <w:t>2027</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r>
      <w:tr>
        <w:trPr>
          <w:trHeight w:val="20"/>
        </w:trPr>
        <w:tc>
          <w:tcPr>
            <w:tcW w:w="9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43" w:lineRule="exact"/>
        <w:rPr>
          <w:sz w:val="20"/>
          <w:szCs w:val="20"/>
          <w:color w:val="auto"/>
        </w:rPr>
      </w:pPr>
    </w:p>
    <w:p>
      <w:pPr>
        <w:ind w:right="480" w:firstLine="648"/>
        <w:spacing w:after="0" w:line="284" w:lineRule="auto"/>
        <w:rPr>
          <w:sz w:val="20"/>
          <w:szCs w:val="20"/>
          <w:color w:val="auto"/>
        </w:rPr>
      </w:pPr>
      <w:r>
        <w:rPr>
          <w:rFonts w:ascii="Arial" w:cs="Arial" w:eastAsia="Arial" w:hAnsi="Arial"/>
          <w:sz w:val="16"/>
          <w:szCs w:val="16"/>
          <w:color w:val="auto"/>
        </w:rPr>
        <w:t>Basic net income per share is computed by dividing net income attributable to Fortinet, Inc., by the weighted-average number of shares of common stock outstanding during the period. Diluted net income per share is computed by dividing net income attributable to Fortinet, Inc. by the weighted-average number of shares of common stock outstanding during the period, plus the dilutive effects of restricted stock units (“RSUs”), stock options and performance stock units (“PSUs”). Dilutive shares of common stock are determined by applying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firstLine="648"/>
        <w:spacing w:after="0" w:line="274"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attributable to Fortinet, Inc. is (in millions, except per share amounts):</w:t>
      </w:r>
    </w:p>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76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1"/>
              <w:spacing w:after="0" w:line="158" w:lineRule="exact"/>
              <w:rPr>
                <w:sz w:val="20"/>
                <w:szCs w:val="20"/>
                <w:color w:val="auto"/>
              </w:rPr>
            </w:pPr>
            <w:r>
              <w:rPr>
                <w:rFonts w:ascii="Arial" w:cs="Arial" w:eastAsia="Arial" w:hAnsi="Arial"/>
                <w:sz w:val="16"/>
                <w:szCs w:val="16"/>
                <w:b w:val="1"/>
                <w:bCs w:val="1"/>
                <w:color w:val="auto"/>
                <w:w w:val="95"/>
              </w:rPr>
              <w:t>September 30,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11"/>
              <w:spacing w:after="0" w:line="158" w:lineRule="exact"/>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322.9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836.9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attributable to non-controlling interests</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543.5</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shares: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shares: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Effect of potentially dilutive securities: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880"/>
              <w:spacing w:after="0"/>
              <w:rPr>
                <w:sz w:val="20"/>
                <w:szCs w:val="20"/>
                <w:color w:val="auto"/>
              </w:rPr>
            </w:pPr>
            <w:r>
              <w:rPr>
                <w:rFonts w:ascii="Arial" w:cs="Arial" w:eastAsia="Arial" w:hAnsi="Arial"/>
                <w:sz w:val="18"/>
                <w:szCs w:val="18"/>
                <w:color w:val="auto"/>
              </w:rPr>
              <w:t>RSUs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 options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5120" w:type="dxa"/>
            <w:vAlign w:val="bottom"/>
          </w:tcPr>
          <w:p>
            <w:pPr>
              <w:ind w:left="880"/>
              <w:spacing w:after="0"/>
              <w:rPr>
                <w:sz w:val="20"/>
                <w:szCs w:val="20"/>
                <w:color w:val="auto"/>
              </w:rPr>
            </w:pPr>
            <w:r>
              <w:rPr>
                <w:rFonts w:ascii="Arial" w:cs="Arial" w:eastAsia="Arial" w:hAnsi="Arial"/>
                <w:sz w:val="18"/>
                <w:szCs w:val="18"/>
                <w:color w:val="auto"/>
              </w:rPr>
              <w:t>PSUs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51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Weighted-average shares used to compute diluted net income per</w:t>
            </w:r>
          </w:p>
        </w:tc>
        <w:tc>
          <w:tcPr>
            <w:tcW w:w="1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791.2</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798.6</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attributable to Fortinet, Inc.</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 attributable to Fortinet, Inc.:</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tcPr>
          <w:p>
            <w:pPr>
              <w:ind w:left="480"/>
              <w:spacing w:after="0" w:line="203"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weighted-average shares of common stock were excluded from the computation of diluted net income per share attributable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Fortinet, Inc. for the periods presented, as their effect would have been antidilutive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3240" w:type="dxa"/>
            <w:vAlign w:val="bottom"/>
            <w:gridSpan w:val="4"/>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2920" w:type="dxa"/>
            <w:vAlign w:val="bottom"/>
            <w:gridSpan w:val="3"/>
          </w:tcPr>
          <w:p>
            <w:pPr>
              <w:jc w:val="right"/>
              <w:ind w:right="674"/>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5080" w:type="dxa"/>
            <w:vAlign w:val="bottom"/>
          </w:tcPr>
          <w:p>
            <w:pPr>
              <w:spacing w:after="0"/>
              <w:rPr>
                <w:sz w:val="13"/>
                <w:szCs w:val="13"/>
                <w:color w:val="auto"/>
              </w:rPr>
            </w:pPr>
          </w:p>
        </w:tc>
        <w:tc>
          <w:tcPr>
            <w:tcW w:w="1620" w:type="dxa"/>
            <w:vAlign w:val="bottom"/>
            <w:tcBorders>
              <w:top w:val="single" w:sz="8" w:color="auto"/>
            </w:tcBorders>
            <w:gridSpan w:val="2"/>
          </w:tcPr>
          <w:p>
            <w:pPr>
              <w:ind w:left="260"/>
              <w:spacing w:after="0" w:line="158" w:lineRule="exact"/>
              <w:rPr>
                <w:sz w:val="20"/>
                <w:szCs w:val="20"/>
                <w:color w:val="auto"/>
              </w:rPr>
            </w:pPr>
            <w:r>
              <w:rPr>
                <w:rFonts w:ascii="Arial" w:cs="Arial" w:eastAsia="Arial" w:hAnsi="Arial"/>
                <w:sz w:val="16"/>
                <w:szCs w:val="16"/>
                <w:b w:val="1"/>
                <w:bCs w:val="1"/>
                <w:color w:val="auto"/>
              </w:rPr>
              <w:t>September 30,</w:t>
            </w:r>
          </w:p>
        </w:tc>
        <w:tc>
          <w:tcPr>
            <w:tcW w:w="1520" w:type="dxa"/>
            <w:vAlign w:val="bottom"/>
            <w:tcBorders>
              <w:top w:val="single" w:sz="8" w:color="auto"/>
            </w:tcBorders>
          </w:tcPr>
          <w:p>
            <w:pPr>
              <w:jc w:val="right"/>
              <w:ind w:right="174"/>
              <w:spacing w:after="0" w:line="158" w:lineRule="exact"/>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3"/>
                <w:szCs w:val="13"/>
                <w:color w:val="auto"/>
              </w:rPr>
            </w:pPr>
          </w:p>
        </w:tc>
        <w:tc>
          <w:tcPr>
            <w:tcW w:w="1520" w:type="dxa"/>
            <w:vAlign w:val="bottom"/>
            <w:tcBorders>
              <w:top w:val="single" w:sz="8" w:color="auto"/>
            </w:tcBorders>
            <w:gridSpan w:val="2"/>
          </w:tcPr>
          <w:p>
            <w:pPr>
              <w:ind w:left="220"/>
              <w:spacing w:after="0" w:line="158" w:lineRule="exact"/>
              <w:rPr>
                <w:sz w:val="20"/>
                <w:szCs w:val="20"/>
                <w:color w:val="auto"/>
              </w:rPr>
            </w:pPr>
            <w:r>
              <w:rPr>
                <w:rFonts w:ascii="Arial" w:cs="Arial" w:eastAsia="Arial" w:hAnsi="Arial"/>
                <w:sz w:val="16"/>
                <w:szCs w:val="16"/>
                <w:b w:val="1"/>
                <w:bCs w:val="1"/>
                <w:color w:val="auto"/>
              </w:rPr>
              <w:t>September 30,</w:t>
            </w:r>
          </w:p>
        </w:tc>
        <w:tc>
          <w:tcPr>
            <w:tcW w:w="1400" w:type="dxa"/>
            <w:vAlign w:val="bottom"/>
            <w:tcBorders>
              <w:top w:val="single" w:sz="8" w:color="auto"/>
            </w:tcBorders>
          </w:tcPr>
          <w:p>
            <w:pPr>
              <w:jc w:val="right"/>
              <w:ind w:right="114"/>
              <w:spacing w:after="0" w:line="158" w:lineRule="exact"/>
              <w:rPr>
                <w:sz w:val="20"/>
                <w:szCs w:val="20"/>
                <w:color w:val="auto"/>
              </w:rPr>
            </w:pPr>
            <w:r>
              <w:rPr>
                <w:rFonts w:ascii="Arial" w:cs="Arial" w:eastAsia="Arial" w:hAnsi="Arial"/>
                <w:sz w:val="16"/>
                <w:szCs w:val="16"/>
                <w:b w:val="1"/>
                <w:bCs w:val="1"/>
                <w:color w:val="auto"/>
              </w:rPr>
              <w:t>September 30,</w:t>
            </w:r>
          </w:p>
        </w:tc>
      </w:tr>
      <w:tr>
        <w:trPr>
          <w:trHeight w:val="213"/>
        </w:trPr>
        <w:tc>
          <w:tcPr>
            <w:tcW w:w="50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2022</w:t>
            </w:r>
          </w:p>
        </w:tc>
      </w:tr>
      <w:tr>
        <w:trPr>
          <w:trHeight w:val="22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and 2031 Senior 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5, 2021, we issued $1.0 billion aggregate principal amount of senior notes (collectively, the “Senior Notes”), consisting of</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As of September 30, 2023 and December 31, 2022, the Senior Notes were recorded as long-term debt, net of discount and issuance costs, which are amortized to interest expense over the respective contractual terms of these notes using the effective interest method.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outstanding debt is summarized below (in millions, except percentages):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Coupon Rate</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Effective Interest</w:t>
            </w:r>
          </w:p>
        </w:tc>
        <w:tc>
          <w:tcPr>
            <w:tcW w:w="16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1160" w:type="dxa"/>
            <w:vAlign w:val="bottom"/>
          </w:tcPr>
          <w:p>
            <w:pPr>
              <w:jc w:val="right"/>
              <w:ind w:right="9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Rate</w:t>
            </w:r>
          </w:p>
        </w:tc>
        <w:tc>
          <w:tcPr>
            <w:tcW w:w="160" w:type="dxa"/>
            <w:vAlign w:val="bottom"/>
          </w:tcPr>
          <w:p>
            <w:pPr>
              <w:spacing w:after="0"/>
              <w:rPr>
                <w:sz w:val="18"/>
                <w:szCs w:val="18"/>
                <w:color w:val="auto"/>
              </w:rPr>
            </w:pPr>
          </w:p>
        </w:tc>
        <w:tc>
          <w:tcPr>
            <w:tcW w:w="1200" w:type="dxa"/>
            <w:vAlign w:val="bottom"/>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60"/>
              <w:spacing w:after="0"/>
              <w:rPr>
                <w:sz w:val="20"/>
                <w:szCs w:val="20"/>
                <w:color w:val="auto"/>
              </w:rPr>
            </w:pPr>
            <w:r>
              <w:rPr>
                <w:rFonts w:ascii="Arial" w:cs="Arial" w:eastAsia="Arial" w:hAnsi="Arial"/>
                <w:sz w:val="18"/>
                <w:szCs w:val="18"/>
                <w:color w:val="auto"/>
              </w:rPr>
              <w:t>2026 Senior Notes</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2026</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1.0%</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2031 Senior Notes</w:t>
            </w: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2031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Less: Unamortized discount and debt issuance costs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20" w:firstLine="648"/>
        <w:spacing w:after="0" w:line="274" w:lineRule="auto"/>
        <w:rPr>
          <w:sz w:val="20"/>
          <w:szCs w:val="20"/>
          <w:color w:val="auto"/>
        </w:rPr>
      </w:pPr>
      <w:r>
        <w:rPr>
          <w:rFonts w:ascii="Arial" w:cs="Arial" w:eastAsia="Arial" w:hAnsi="Arial"/>
          <w:sz w:val="16"/>
          <w:szCs w:val="16"/>
          <w:color w:val="auto"/>
        </w:rPr>
        <w:t>As of September 30, 2023 and December 31, 2022, we accrued interest payable of $0.7 million and $4.7 million, respectively, and there are no financial covenants with which we must comply. During the three months ended September 30, 2023 and 2022, we recorded $4.5 million and $4.4 million of total interest expense in relation to these Senior Notes in each quarter, respectively. During the nine months ended September 30, 2023 and 2022, we recorded $13.5 million and $13.4 million of total interest expense in relation to the Senior Notes in each period, respectively. No interest costs were capitalized for the nine months ended September 30, 2023 and 2022, as the costs that qualified for capitalization were not material.</w:t>
      </w:r>
    </w:p>
    <w:p>
      <w:pPr>
        <w:spacing w:after="0" w:line="20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total estimated fair value of the outstanding Senior Notes was approximately $834.8 million, including accrued and unpaid interest, as of September 30, 2023. The fair value was determined based on observable market prices of identical instruments in less active markets. The estimated fair values are based on Level 2 inputs.</w:t>
      </w:r>
    </w:p>
    <w:p>
      <w:pPr>
        <w:spacing w:after="0" w:line="207"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inventory purchase commitments as of September 30, 2023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Total</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5"/>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purchase commitments</w:t>
            </w:r>
          </w:p>
        </w:tc>
        <w:tc>
          <w:tcPr>
            <w:tcW w:w="1500" w:type="dxa"/>
            <w:vAlign w:val="bottom"/>
            <w:shd w:val="clear" w:color="auto" w:fill="CCEEFF"/>
          </w:tcPr>
          <w:p>
            <w:pPr>
              <w:jc w:val="right"/>
              <w:ind w:right="1295"/>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r>
    </w:tbl>
    <w:p>
      <w:pPr>
        <w:spacing w:after="0" w:line="306" w:lineRule="exact"/>
        <w:rPr>
          <w:sz w:val="20"/>
          <w:szCs w:val="20"/>
          <w:color w:val="auto"/>
        </w:rPr>
      </w:pPr>
    </w:p>
    <w:p>
      <w:pPr>
        <w:ind w:right="100" w:firstLine="648"/>
        <w:spacing w:after="0" w:line="253"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and certain component suppliers procure components and build</w:t>
      </w:r>
      <w:r>
        <w:rPr>
          <w:rFonts w:ascii="Arial" w:cs="Arial" w:eastAsia="Arial" w:hAnsi="Arial"/>
          <w:sz w:val="17"/>
          <w:szCs w:val="17"/>
          <w:b w:val="1"/>
          <w:bCs w:val="1"/>
          <w:color w:val="auto"/>
        </w:rPr>
        <w:t xml:space="preserve"> </w:t>
      </w:r>
      <w:r>
        <w:rPr>
          <w:rFonts w:ascii="Arial" w:cs="Arial" w:eastAsia="Arial" w:hAnsi="Arial"/>
          <w:sz w:val="17"/>
          <w:szCs w:val="17"/>
          <w:color w:val="auto"/>
        </w:rPr>
        <w:t>our products based on our forecasts, the availability of various components and their capacity. These forecasts are based on estimates of future demand for our products, which are in turn based on historical trends and an analysis from our sales and marketing organizations, adjusted for lead times, changes in supplier delivery commitments and other supply chain matters and market conditions. In order to manage manufacturing lead times, plan for adequate component supply and incentivize suppliers to deliver, we may issue purchase orders to some of our independent contract manufacturers, which are non-cancelable. As of September 30, 2023, we had $820.6 million of open purchase orders with our independent contract manufacturers that consist of non-cancelable commitments. In certain instances, these agreements allow us the option to reschedule and adjust our requirements based on our business needs prior to firm orders being placed. We recorded a liability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for non-cancelable inventory purchase commitments for quantities in excess of our future estimated demand forecasts, consistent with the valuation of our excess and obsolete inventory. As of September 30, 2023, the liability for these inventory purchase commitments was $64.6 million and was included in accrued liabilities. As of December 31, 2022, the liability for these purchase commitments was not material. The expense related to such accrued liability for inventory purchase commitments was $36.9 million and $59.3 million during the three and nine months ended September 30, 2023, respectively, and was recorded in product cost of revenue on the condensed consolidated statements of income.</w:t>
      </w:r>
    </w:p>
    <w:p>
      <w:pPr>
        <w:spacing w:after="0" w:line="21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orders and contractual obligations in the ordinary course of business for which we have not received goods or services. A significant portion of our reported purchase commitments consist of non-cancelable commitments. In certain instances, contractual commitments allow us the option to cancel, reschedule and adjust our requirements based on our business needs prior to firm orders being placed. As of September 30, 2023, we had $76.8 million in other contractual commitments having a remaining term in excess of one year that are non-cancelable.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2023, we had $89.5 million in contractual commitments related to payments for operating leases.</w:t>
      </w:r>
    </w:p>
    <w:p>
      <w:pPr>
        <w:spacing w:after="0" w:line="235" w:lineRule="exact"/>
        <w:rPr>
          <w:sz w:val="20"/>
          <w:szCs w:val="20"/>
          <w:color w:val="auto"/>
        </w:rPr>
      </w:pPr>
    </w:p>
    <w:p>
      <w:pPr>
        <w:ind w:right="60" w:firstLine="648"/>
        <w:spacing w:after="0" w:line="251"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—We are involved in disputes, litigation, and other legal actions. For lawsuits where we are the defendant, we are in the process of</w:t>
      </w:r>
      <w:r>
        <w:rPr>
          <w:rFonts w:ascii="Arial" w:cs="Arial" w:eastAsia="Arial" w:hAnsi="Arial"/>
          <w:sz w:val="17"/>
          <w:szCs w:val="17"/>
          <w:b w:val="1"/>
          <w:bCs w:val="1"/>
          <w:color w:val="auto"/>
        </w:rPr>
        <w:t xml:space="preserve"> </w:t>
      </w:r>
      <w:r>
        <w:rPr>
          <w:rFonts w:ascii="Arial" w:cs="Arial" w:eastAsia="Arial" w:hAnsi="Arial"/>
          <w:sz w:val="17"/>
          <w:szCs w:val="17"/>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These accruals are generally based on a range of possible outcomes that require significant management judgement. If no amount within a range is a better estimate than any other, we accrue the minimum amount. Litigation loss contingency accruals associated with outstanding cases were not material as of September 30, 2023, and December 31, 2022.</w:t>
      </w:r>
    </w:p>
    <w:p>
      <w:pPr>
        <w:spacing w:after="0" w:line="210" w:lineRule="exact"/>
        <w:rPr>
          <w:sz w:val="20"/>
          <w:szCs w:val="20"/>
          <w:color w:val="auto"/>
        </w:rPr>
      </w:pPr>
    </w:p>
    <w:p>
      <w:pPr>
        <w:ind w:right="160" w:firstLine="648"/>
        <w:spacing w:after="0" w:line="274" w:lineRule="auto"/>
        <w:rPr>
          <w:sz w:val="20"/>
          <w:szCs w:val="20"/>
          <w:color w:val="auto"/>
        </w:rPr>
      </w:pPr>
      <w:r>
        <w:rPr>
          <w:rFonts w:ascii="Arial" w:cs="Arial" w:eastAsia="Arial" w:hAnsi="Arial"/>
          <w:sz w:val="16"/>
          <w:szCs w:val="16"/>
          <w:color w:val="auto"/>
        </w:rPr>
        <w:t>On March 21, 2019, we were sued by Alorica Inc. (“Alorica”) in Santa Clara County Superior Court in California. Alorica has alleged breach of warranty and misrepresentation claims, which we deny. Fact discovery closed during the quarter ended June 30, 2023. Although we believe that the ultimate outcome of this matter will not materially impact our financial position, results of operations or cash flows, legal proceedings are subject to inherent uncertainties, and an unfavorable ruling could occur, which may result in a material adverse impact on our business, financial position, results of operations and cash flows. No loss accrual had been recorded as of September 30, 2023 or December 31, 2022 related to this litigation.</w:t>
      </w:r>
    </w:p>
    <w:p>
      <w:pPr>
        <w:spacing w:after="0" w:line="20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Indemnification and Other Matters</w:t>
      </w:r>
      <w:r>
        <w:rPr>
          <w:rFonts w:ascii="Arial" w:cs="Arial" w:eastAsia="Arial" w:hAnsi="Arial"/>
          <w:sz w:val="17"/>
          <w:szCs w:val="17"/>
          <w:color w:val="auto"/>
        </w:rPr>
        <w:t>—Under the indemnification provisions of our standard sales contracts, we agree to defend our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third-party claims asserting various allegations such as product defects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03" w:lineRule="exact"/>
        <w:rPr>
          <w:sz w:val="20"/>
          <w:szCs w:val="20"/>
          <w:color w:val="auto"/>
        </w:rPr>
      </w:pPr>
    </w:p>
    <w:p>
      <w:pPr>
        <w:ind w:right="120" w:firstLine="648"/>
        <w:spacing w:after="0" w:line="249" w:lineRule="auto"/>
        <w:rPr>
          <w:sz w:val="20"/>
          <w:szCs w:val="20"/>
          <w:color w:val="auto"/>
        </w:rPr>
      </w:pPr>
      <w:r>
        <w:rPr>
          <w:rFonts w:ascii="Arial" w:cs="Arial" w:eastAsia="Arial" w:hAnsi="Arial"/>
          <w:sz w:val="18"/>
          <w:szCs w:val="18"/>
          <w:color w:val="auto"/>
        </w:rPr>
        <w:t>Similar to other security companies and companies in other industries, we have experienced and may experience in the future, cybersecurity threats, malicious activity directed against our information technology infrastructure or unauthorized attempts to gain access to our and our customers’ sensitive information and systems. We currently are unaware of any existing claims or proceedings related to these types of matters, including any that we believe are likely to have a material adverse effect on our financial position.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right="6060" w:hanging="652"/>
        <w:spacing w:after="0" w:line="534" w:lineRule="auto"/>
        <w:tabs>
          <w:tab w:leader="none" w:pos="46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PLANS AND SHARE REPURCHASE PROGRAM </w:t>
      </w:r>
      <w:r>
        <w:rPr>
          <w:rFonts w:ascii="Arial" w:cs="Arial" w:eastAsia="Arial" w:hAnsi="Arial"/>
          <w:sz w:val="18"/>
          <w:szCs w:val="18"/>
          <w:b w:val="1"/>
          <w:bCs w:val="1"/>
          <w:i w:val="1"/>
          <w:iCs w:val="1"/>
          <w:color w:val="auto"/>
        </w:rPr>
        <w:t>Stock-Based Compensation Plans</w:t>
      </w:r>
    </w:p>
    <w:p>
      <w:pPr>
        <w:spacing w:after="0" w:line="1"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We maintain the Amended and Restated Fortinet, Inc. 2009 Equity Incentive Plan (the “Amended Plan”) pursuant to which we have granted RSUs, stock options and PSUs. As of September 30, 2023, there were a total of 53.3 million shares of common stock available for grant under the Amended Plan.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right="500" w:firstLine="648"/>
        <w:spacing w:after="0" w:line="274"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tbl>
      <w:tblPr>
        <w:tblLayout w:type="fixed"/>
        <w:tblInd w:w="2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8"/>
        </w:trPr>
        <w:tc>
          <w:tcPr>
            <w:tcW w:w="7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73"/>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0" w:type="dxa"/>
            <w:vAlign w:val="bottom"/>
          </w:tcPr>
          <w:p>
            <w:pPr>
              <w:spacing w:after="0"/>
              <w:rPr>
                <w:sz w:val="1"/>
                <w:szCs w:val="1"/>
                <w:color w:val="auto"/>
              </w:rPr>
            </w:pPr>
          </w:p>
        </w:tc>
      </w:tr>
      <w:tr>
        <w:trPr>
          <w:trHeight w:val="162"/>
        </w:trPr>
        <w:tc>
          <w:tcPr>
            <w:tcW w:w="7580" w:type="dxa"/>
            <w:vAlign w:val="bottom"/>
          </w:tcPr>
          <w:p>
            <w:pPr>
              <w:spacing w:after="0"/>
              <w:rPr>
                <w:sz w:val="14"/>
                <w:szCs w:val="14"/>
                <w:color w:val="auto"/>
              </w:rPr>
            </w:pPr>
          </w:p>
        </w:tc>
        <w:tc>
          <w:tcPr>
            <w:tcW w:w="176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4"/>
                <w:szCs w:val="14"/>
                <w:color w:val="auto"/>
              </w:rPr>
            </w:pPr>
          </w:p>
        </w:tc>
        <w:tc>
          <w:tcPr>
            <w:tcW w:w="17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4"/>
              </w:rPr>
              <w:t>Grant Date Fair Value</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9"/>
              </w:rPr>
              <w:t>per Share</w:t>
            </w:r>
          </w:p>
        </w:tc>
        <w:tc>
          <w:tcPr>
            <w:tcW w:w="0" w:type="dxa"/>
            <w:vAlign w:val="bottom"/>
          </w:tcPr>
          <w:p>
            <w:pPr>
              <w:spacing w:after="0"/>
              <w:rPr>
                <w:sz w:val="1"/>
                <w:szCs w:val="1"/>
                <w:color w:val="auto"/>
              </w:rPr>
            </w:pP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29"/>
        </w:trPr>
        <w:tc>
          <w:tcPr>
            <w:tcW w:w="7580" w:type="dxa"/>
            <w:vAlign w:val="bottom"/>
          </w:tcPr>
          <w:p>
            <w:pPr>
              <w:ind w:left="46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Forfeited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Stock compensation expense is recognized on a straight-line basis over the vesting period of each RSU. As of September 30, 2023, total compensation expense related to unvested RSUs granted to employees and non-employees under the Amended Plan, but not yet recognized, was $460.9 million, with a weighted-average remaining vesting period of 2.7 years.</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condensed consolidated statements of cash flows.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5"/>
              <w:spacing w:after="0"/>
              <w:rPr>
                <w:sz w:val="20"/>
                <w:szCs w:val="20"/>
                <w:color w:val="auto"/>
              </w:rPr>
            </w:pPr>
            <w:r>
              <w:rPr>
                <w:rFonts w:ascii="Arial" w:cs="Arial" w:eastAsia="Arial" w:hAnsi="Arial"/>
                <w:sz w:val="16"/>
                <w:szCs w:val="16"/>
                <w:b w:val="1"/>
                <w:bCs w:val="1"/>
                <w:color w:val="auto"/>
              </w:rPr>
              <w:t>Nine Months Ended</w:t>
            </w:r>
          </w:p>
        </w:tc>
      </w:tr>
      <w:tr>
        <w:trPr>
          <w:trHeight w:val="159"/>
        </w:trPr>
        <w:tc>
          <w:tcPr>
            <w:tcW w:w="49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5"/>
              <w:spacing w:after="0" w:line="158" w:lineRule="exact"/>
              <w:rPr>
                <w:sz w:val="20"/>
                <w:szCs w:val="20"/>
                <w:color w:val="auto"/>
              </w:rPr>
            </w:pPr>
            <w:r>
              <w:rPr>
                <w:rFonts w:ascii="Arial" w:cs="Arial" w:eastAsia="Arial" w:hAnsi="Arial"/>
                <w:sz w:val="16"/>
                <w:szCs w:val="16"/>
                <w:b w:val="1"/>
                <w:bCs w:val="1"/>
                <w:color w:val="auto"/>
                <w:w w:val="95"/>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5"/>
              <w:spacing w:after="0" w:line="158" w:lineRule="exact"/>
              <w:rPr>
                <w:sz w:val="20"/>
                <w:szCs w:val="20"/>
                <w:color w:val="auto"/>
              </w:rPr>
            </w:pPr>
            <w:r>
              <w:rPr>
                <w:rFonts w:ascii="Arial" w:cs="Arial" w:eastAsia="Arial" w:hAnsi="Arial"/>
                <w:sz w:val="16"/>
                <w:szCs w:val="16"/>
                <w:b w:val="1"/>
                <w:bCs w:val="1"/>
                <w:color w:val="auto"/>
                <w:w w:val="95"/>
              </w:rPr>
              <w:t>September 30,</w:t>
            </w:r>
          </w:p>
        </w:tc>
      </w:tr>
      <w:tr>
        <w:trPr>
          <w:trHeight w:val="213"/>
        </w:trPr>
        <w:tc>
          <w:tcPr>
            <w:tcW w:w="4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2022</w:t>
            </w:r>
          </w:p>
        </w:tc>
      </w:tr>
      <w:tr>
        <w:trPr>
          <w:trHeight w:val="22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Amount withheld for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132.1</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Options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3400" w:type="dxa"/>
            <w:vAlign w:val="bottom"/>
            <w:gridSpan w:val="4"/>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3240" w:type="dxa"/>
            <w:vAlign w:val="bottom"/>
            <w:gridSpan w:val="3"/>
          </w:tcPr>
          <w:p>
            <w:pPr>
              <w:jc w:val="right"/>
              <w:ind w:right="833"/>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600" w:type="dxa"/>
            <w:vAlign w:val="bottom"/>
          </w:tcPr>
          <w:p>
            <w:pPr>
              <w:spacing w:after="0"/>
              <w:rPr>
                <w:sz w:val="13"/>
                <w:szCs w:val="13"/>
                <w:color w:val="auto"/>
              </w:rPr>
            </w:pPr>
          </w:p>
        </w:tc>
        <w:tc>
          <w:tcPr>
            <w:tcW w:w="1700" w:type="dxa"/>
            <w:vAlign w:val="bottom"/>
            <w:tcBorders>
              <w:top w:val="single" w:sz="8" w:color="auto"/>
            </w:tcBorders>
            <w:gridSpan w:val="2"/>
          </w:tcPr>
          <w:p>
            <w:pPr>
              <w:ind w:left="300"/>
              <w:spacing w:after="0" w:line="158" w:lineRule="exact"/>
              <w:rPr>
                <w:sz w:val="20"/>
                <w:szCs w:val="20"/>
                <w:color w:val="auto"/>
              </w:rPr>
            </w:pPr>
            <w:r>
              <w:rPr>
                <w:rFonts w:ascii="Arial" w:cs="Arial" w:eastAsia="Arial" w:hAnsi="Arial"/>
                <w:sz w:val="16"/>
                <w:szCs w:val="16"/>
                <w:b w:val="1"/>
                <w:bCs w:val="1"/>
                <w:color w:val="auto"/>
              </w:rPr>
              <w:t>September 30,</w:t>
            </w:r>
          </w:p>
        </w:tc>
        <w:tc>
          <w:tcPr>
            <w:tcW w:w="1600" w:type="dxa"/>
            <w:vAlign w:val="bottom"/>
            <w:tcBorders>
              <w:top w:val="single" w:sz="8" w:color="auto"/>
            </w:tcBorders>
          </w:tcPr>
          <w:p>
            <w:pPr>
              <w:jc w:val="right"/>
              <w:ind w:right="213"/>
              <w:spacing w:after="0" w:line="158" w:lineRule="exact"/>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3"/>
                <w:szCs w:val="13"/>
                <w:color w:val="auto"/>
              </w:rPr>
            </w:pPr>
          </w:p>
        </w:tc>
        <w:tc>
          <w:tcPr>
            <w:tcW w:w="1680" w:type="dxa"/>
            <w:vAlign w:val="bottom"/>
            <w:tcBorders>
              <w:top w:val="single" w:sz="8" w:color="auto"/>
            </w:tcBorders>
            <w:gridSpan w:val="2"/>
          </w:tcPr>
          <w:p>
            <w:pPr>
              <w:ind w:left="280"/>
              <w:spacing w:after="0" w:line="158" w:lineRule="exact"/>
              <w:rPr>
                <w:sz w:val="20"/>
                <w:szCs w:val="20"/>
                <w:color w:val="auto"/>
              </w:rPr>
            </w:pPr>
            <w:r>
              <w:rPr>
                <w:rFonts w:ascii="Arial" w:cs="Arial" w:eastAsia="Arial" w:hAnsi="Arial"/>
                <w:sz w:val="16"/>
                <w:szCs w:val="16"/>
                <w:b w:val="1"/>
                <w:bCs w:val="1"/>
                <w:color w:val="auto"/>
              </w:rPr>
              <w:t>September 30,</w:t>
            </w:r>
          </w:p>
        </w:tc>
        <w:tc>
          <w:tcPr>
            <w:tcW w:w="1560" w:type="dxa"/>
            <w:vAlign w:val="bottom"/>
            <w:tcBorders>
              <w:top w:val="single" w:sz="8" w:color="auto"/>
            </w:tcBorders>
          </w:tcPr>
          <w:p>
            <w:pPr>
              <w:jc w:val="right"/>
              <w:ind w:right="193"/>
              <w:spacing w:after="0" w:line="158" w:lineRule="exact"/>
              <w:rPr>
                <w:sz w:val="20"/>
                <w:szCs w:val="20"/>
                <w:color w:val="auto"/>
              </w:rPr>
            </w:pPr>
            <w:r>
              <w:rPr>
                <w:rFonts w:ascii="Arial" w:cs="Arial" w:eastAsia="Arial" w:hAnsi="Arial"/>
                <w:sz w:val="16"/>
                <w:szCs w:val="16"/>
                <w:b w:val="1"/>
                <w:bCs w:val="1"/>
                <w:color w:val="auto"/>
              </w:rPr>
              <w:t>September 30,</w:t>
            </w:r>
          </w:p>
        </w:tc>
      </w:tr>
      <w:tr>
        <w:trPr>
          <w:trHeight w:val="213"/>
        </w:trPr>
        <w:tc>
          <w:tcPr>
            <w:tcW w:w="46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r>
      <w:tr>
        <w:trPr>
          <w:trHeight w:val="22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600" w:type="dxa"/>
            <w:vAlign w:val="bottom"/>
          </w:tcPr>
          <w:p>
            <w:pPr>
              <w:jc w:val="right"/>
              <w:spacing w:after="0"/>
              <w:rPr>
                <w:sz w:val="20"/>
                <w:szCs w:val="20"/>
                <w:color w:val="auto"/>
              </w:rPr>
            </w:pPr>
            <w:r>
              <w:rPr>
                <w:rFonts w:ascii="Arial" w:cs="Arial" w:eastAsia="Arial" w:hAnsi="Arial"/>
                <w:sz w:val="18"/>
                <w:szCs w:val="18"/>
                <w:color w:val="auto"/>
              </w:rPr>
              <w:t>42.8 %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42.0 %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41.2 %</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60" w:firstLine="648"/>
        <w:spacing w:after="0" w:line="274"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tbl>
      <w:tblPr>
        <w:tblLayout w:type="fixed"/>
        <w:tblInd w:w="2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Weighted-</w:t>
            </w: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3"/>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4"/>
                <w:szCs w:val="14"/>
                <w:color w:val="auto"/>
              </w:rPr>
            </w:pPr>
          </w:p>
        </w:tc>
        <w:tc>
          <w:tcPr>
            <w:tcW w:w="940" w:type="dxa"/>
            <w:vAlign w:val="bottom"/>
            <w:vMerge w:val="restart"/>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Average</w:t>
            </w: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Exercise</w:t>
            </w: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4"/>
                <w:szCs w:val="14"/>
                <w:color w:val="auto"/>
              </w:rPr>
            </w:pPr>
          </w:p>
        </w:tc>
        <w:tc>
          <w:tcPr>
            <w:tcW w:w="94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6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160" w:type="dxa"/>
            <w:vAlign w:val="bottom"/>
          </w:tcPr>
          <w:p>
            <w:pPr>
              <w:spacing w:after="0"/>
              <w:rPr>
                <w:sz w:val="18"/>
                <w:szCs w:val="18"/>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30"/>
        </w:trPr>
        <w:tc>
          <w:tcPr>
            <w:tcW w:w="6240" w:type="dxa"/>
            <w:vAlign w:val="bottom"/>
          </w:tcPr>
          <w:p>
            <w:pPr>
              <w:ind w:left="46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60.59</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Forfeited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line="20" w:lineRule="exact"/>
              <w:rPr>
                <w:sz w:val="1"/>
                <w:szCs w:val="1"/>
                <w:color w:val="auto"/>
              </w:rPr>
            </w:pPr>
          </w:p>
        </w:tc>
      </w:tr>
      <w:tr>
        <w:trPr>
          <w:trHeight w:val="203"/>
        </w:trPr>
        <w:tc>
          <w:tcPr>
            <w:tcW w:w="624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expected to vest—September 30, 2023</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29.95</w:t>
            </w: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exercisable—September 30, 2023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market price of our common stock for all in-the-money stock options. Stock compensation expense is recognized on a straight-line basis over the vesting period of each stock option. As of September 30, 2023, total compensation expense related to unvested stock options granted to employees but not yet recognized was $61.4 million, with a weighted-average remaining vesting period of 2.6 years.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4"/>
              <w:spacing w:after="0"/>
              <w:rPr>
                <w:sz w:val="20"/>
                <w:szCs w:val="20"/>
                <w:color w:val="auto"/>
              </w:rPr>
            </w:pPr>
            <w:r>
              <w:rPr>
                <w:rFonts w:ascii="Arial" w:cs="Arial" w:eastAsia="Arial" w:hAnsi="Arial"/>
                <w:sz w:val="16"/>
                <w:szCs w:val="16"/>
                <w:b w:val="1"/>
                <w:bCs w:val="1"/>
                <w:color w:val="auto"/>
              </w:rPr>
              <w:t>Nine Months Ended</w:t>
            </w:r>
          </w:p>
        </w:tc>
      </w:tr>
      <w:tr>
        <w:trPr>
          <w:trHeight w:val="159"/>
        </w:trPr>
        <w:tc>
          <w:tcPr>
            <w:tcW w:w="49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4"/>
              <w:spacing w:after="0" w:line="158" w:lineRule="exact"/>
              <w:rPr>
                <w:sz w:val="20"/>
                <w:szCs w:val="20"/>
                <w:color w:val="auto"/>
              </w:rPr>
            </w:pPr>
            <w:r>
              <w:rPr>
                <w:rFonts w:ascii="Arial" w:cs="Arial" w:eastAsia="Arial" w:hAnsi="Arial"/>
                <w:sz w:val="16"/>
                <w:szCs w:val="16"/>
                <w:b w:val="1"/>
                <w:bCs w:val="1"/>
                <w:color w:val="auto"/>
                <w:w w:val="95"/>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4"/>
              <w:spacing w:after="0" w:line="158" w:lineRule="exact"/>
              <w:rPr>
                <w:sz w:val="20"/>
                <w:szCs w:val="20"/>
                <w:color w:val="auto"/>
              </w:rPr>
            </w:pPr>
            <w:r>
              <w:rPr>
                <w:rFonts w:ascii="Arial" w:cs="Arial" w:eastAsia="Arial" w:hAnsi="Arial"/>
                <w:sz w:val="16"/>
                <w:szCs w:val="16"/>
                <w:b w:val="1"/>
                <w:bCs w:val="1"/>
                <w:color w:val="auto"/>
                <w:w w:val="95"/>
              </w:rPr>
              <w:t>September 30,</w:t>
            </w:r>
          </w:p>
        </w:tc>
      </w:tr>
      <w:tr>
        <w:trPr>
          <w:trHeight w:val="213"/>
        </w:trPr>
        <w:tc>
          <w:tcPr>
            <w:tcW w:w="4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2022</w:t>
            </w:r>
          </w:p>
        </w:tc>
      </w:tr>
      <w:tr>
        <w:trPr>
          <w:trHeight w:val="22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Intrinsic value of options exercised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options vested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Market/Performance-Based PSUs</w:t>
      </w:r>
    </w:p>
    <w:p>
      <w:pPr>
        <w:spacing w:after="0" w:line="239" w:lineRule="exact"/>
        <w:rPr>
          <w:sz w:val="20"/>
          <w:szCs w:val="20"/>
          <w:color w:val="auto"/>
        </w:rPr>
      </w:pPr>
    </w:p>
    <w:p>
      <w:pPr>
        <w:ind w:right="220" w:firstLine="648"/>
        <w:spacing w:after="0" w:line="284" w:lineRule="auto"/>
        <w:rPr>
          <w:sz w:val="20"/>
          <w:szCs w:val="20"/>
          <w:color w:val="auto"/>
        </w:rPr>
      </w:pPr>
      <w:r>
        <w:rPr>
          <w:rFonts w:ascii="Arial" w:cs="Arial" w:eastAsia="Arial" w:hAnsi="Arial"/>
          <w:sz w:val="16"/>
          <w:szCs w:val="16"/>
          <w:color w:val="auto"/>
        </w:rPr>
        <w:t>We granted market/performance-based PSUs under the Amended Plan to certain of our executives. Based on the achievement of the market/performance-based vesting conditions during the performance period, the final settlement of the PSUs will range between 0% and 200% of the target shares underlying the PSUs based on the percentile ranking of our total stockholder return over one-, two-, three- and four-year periods among companies included in the S&amp;P 500 Index. 20%, 20%, 20% and 40% of the PSUs vest over one-, two-, three- and four-year service periods, respectively.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weighted-average assumptions relating to our PSUs for the three months ended March 31, 2023:</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Three Months Ended</w:t>
            </w:r>
          </w:p>
        </w:tc>
      </w:tr>
      <w:tr>
        <w:trPr>
          <w:trHeight w:val="158"/>
        </w:trPr>
        <w:tc>
          <w:tcPr>
            <w:tcW w:w="7980" w:type="dxa"/>
            <w:vAlign w:val="bottom"/>
          </w:tcPr>
          <w:p>
            <w:pPr>
              <w:spacing w:after="0"/>
              <w:rPr>
                <w:sz w:val="13"/>
                <w:szCs w:val="13"/>
                <w:color w:val="auto"/>
              </w:rPr>
            </w:pPr>
          </w:p>
        </w:tc>
        <w:tc>
          <w:tcPr>
            <w:tcW w:w="32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4"/>
              </w:rPr>
              <w:t>March 31,</w:t>
            </w:r>
          </w:p>
        </w:tc>
      </w:tr>
      <w:tr>
        <w:trPr>
          <w:trHeight w:val="213"/>
        </w:trPr>
        <w:tc>
          <w:tcPr>
            <w:tcW w:w="7980" w:type="dxa"/>
            <w:vAlign w:val="bottom"/>
            <w:tcBorders>
              <w:bottom w:val="single" w:sz="8" w:color="CCEEFF"/>
            </w:tcBorders>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r>
      <w:tr>
        <w:trPr>
          <w:trHeight w:val="22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3260" w:type="dxa"/>
            <w:vAlign w:val="bottom"/>
          </w:tcPr>
          <w:p>
            <w:pPr>
              <w:jc w:val="right"/>
              <w:spacing w:after="0"/>
              <w:rPr>
                <w:sz w:val="20"/>
                <w:szCs w:val="20"/>
                <w:color w:val="auto"/>
              </w:rPr>
            </w:pPr>
            <w:r>
              <w:rPr>
                <w:rFonts w:ascii="Arial" w:cs="Arial" w:eastAsia="Arial" w:hAnsi="Arial"/>
                <w:sz w:val="18"/>
                <w:szCs w:val="18"/>
                <w:color w:val="auto"/>
              </w:rPr>
              <w:t>47.5 %</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326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32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granted approximately 0.3 million shares of PSU awards with a grant date fair value of $90.96 per share to certain of our executives during the first quarter of 2023. The grant date fair value of these awards was determined using a Monte Carlo simulation pricing model. None of these PSU awards were vested or forfeited during the nine months ended September 30,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As of September 30, 2023, total compensation expense related to unvested PSUs that were granted to certain of our executives, but not yet recognized, was $19.4 million. This expense is expected to be amortized on a graded vesting method over a weighted-average vesting period of 2.4 years.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Stock-based compensation expense, including stock-based compensation expense related to awards classified as liabilities, is included in costs and expenses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7"/>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3"/>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center"/>
              <w:ind w:right="280"/>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93"/>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93"/>
              <w:spacing w:after="0" w:line="158" w:lineRule="exact"/>
              <w:rPr>
                <w:sz w:val="20"/>
                <w:szCs w:val="20"/>
                <w:color w:val="auto"/>
              </w:rPr>
            </w:pPr>
            <w:r>
              <w:rPr>
                <w:rFonts w:ascii="Arial" w:cs="Arial" w:eastAsia="Arial" w:hAnsi="Arial"/>
                <w:sz w:val="16"/>
                <w:szCs w:val="16"/>
                <w:b w:val="1"/>
                <w:bCs w:val="1"/>
                <w:color w:val="auto"/>
                <w:w w:val="91"/>
              </w:rPr>
              <w:t>September 30,</w:t>
            </w:r>
          </w:p>
        </w:tc>
      </w:tr>
      <w:tr>
        <w:trPr>
          <w:trHeight w:val="213"/>
        </w:trPr>
        <w:tc>
          <w:tcPr>
            <w:tcW w:w="4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2022</w:t>
            </w:r>
          </w:p>
        </w:tc>
      </w:tr>
      <w:tr>
        <w:trPr>
          <w:trHeight w:val="226"/>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Cost of service revenue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2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3"/>
        </w:trPr>
        <w:tc>
          <w:tcPr>
            <w:tcW w:w="4980" w:type="dxa"/>
            <w:vAlign w:val="bottom"/>
            <w:gridSpan w:val="2"/>
          </w:tcPr>
          <w:p>
            <w:pPr>
              <w:ind w:left="46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r>
      <w:tr>
        <w:trPr>
          <w:trHeight w:val="21"/>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19"/>
        </w:trPr>
        <w:tc>
          <w:tcPr>
            <w:tcW w:w="11240" w:type="dxa"/>
            <w:vAlign w:val="bottom"/>
            <w:gridSpan w:val="15"/>
          </w:tcPr>
          <w:p>
            <w:pPr>
              <w:ind w:left="660"/>
              <w:spacing w:after="0"/>
              <w:rPr>
                <w:sz w:val="20"/>
                <w:szCs w:val="20"/>
                <w:color w:val="auto"/>
              </w:rPr>
            </w:pPr>
            <w:r>
              <w:rPr>
                <w:rFonts w:ascii="Arial" w:cs="Arial" w:eastAsia="Arial" w:hAnsi="Arial"/>
                <w:sz w:val="18"/>
                <w:szCs w:val="18"/>
                <w:color w:val="auto"/>
                <w:w w:val="90"/>
              </w:rPr>
              <w:t>The following table summarizes stock-based compensation expense, including stock-based compensation expense related to awards classified as</w:t>
            </w: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liabilities, by award type (in millions):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4"/>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7"/>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24"/>
                <w:szCs w:val="24"/>
                <w:color w:val="auto"/>
              </w:rPr>
            </w:pPr>
          </w:p>
        </w:tc>
        <w:tc>
          <w:tcPr>
            <w:tcW w:w="2880" w:type="dxa"/>
            <w:vAlign w:val="bottom"/>
            <w:gridSpan w:val="4"/>
          </w:tcPr>
          <w:p>
            <w:pPr>
              <w:jc w:val="right"/>
              <w:ind w:right="753"/>
              <w:spacing w:after="0"/>
              <w:rPr>
                <w:sz w:val="20"/>
                <w:szCs w:val="20"/>
                <w:color w:val="auto"/>
              </w:rPr>
            </w:pPr>
            <w:r>
              <w:rPr>
                <w:rFonts w:ascii="Arial" w:cs="Arial" w:eastAsia="Arial" w:hAnsi="Arial"/>
                <w:sz w:val="16"/>
                <w:szCs w:val="16"/>
                <w:b w:val="1"/>
                <w:bCs w:val="1"/>
                <w:color w:val="auto"/>
              </w:rPr>
              <w:t>Nine Months Ended</w:t>
            </w:r>
          </w:p>
        </w:tc>
      </w:tr>
      <w:tr>
        <w:trPr>
          <w:trHeight w:val="159"/>
        </w:trPr>
        <w:tc>
          <w:tcPr>
            <w:tcW w:w="4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center"/>
              <w:ind w:right="280"/>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93"/>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93"/>
              <w:spacing w:after="0" w:line="158" w:lineRule="exact"/>
              <w:rPr>
                <w:sz w:val="20"/>
                <w:szCs w:val="20"/>
                <w:color w:val="auto"/>
              </w:rPr>
            </w:pPr>
            <w:r>
              <w:rPr>
                <w:rFonts w:ascii="Arial" w:cs="Arial" w:eastAsia="Arial" w:hAnsi="Arial"/>
                <w:sz w:val="16"/>
                <w:szCs w:val="16"/>
                <w:b w:val="1"/>
                <w:bCs w:val="1"/>
                <w:color w:val="auto"/>
                <w:w w:val="91"/>
              </w:rPr>
              <w:t>September 30,</w:t>
            </w:r>
          </w:p>
        </w:tc>
      </w:tr>
      <w:tr>
        <w:trPr>
          <w:trHeight w:val="213"/>
        </w:trPr>
        <w:tc>
          <w:tcPr>
            <w:tcW w:w="4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2022</w:t>
            </w:r>
          </w:p>
        </w:tc>
      </w:tr>
      <w:tr>
        <w:trPr>
          <w:trHeight w:val="226"/>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r>
      <w:tr>
        <w:trPr>
          <w:trHeight w:val="23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PSUs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gridSpan w:val="2"/>
          </w:tcPr>
          <w:p>
            <w:pPr>
              <w:ind w:left="46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w:t>
            </w: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33"/>
        </w:trPr>
        <w:tc>
          <w:tcPr>
            <w:tcW w:w="11240" w:type="dxa"/>
            <w:vAlign w:val="bottom"/>
            <w:gridSpan w:val="15"/>
          </w:tcPr>
          <w:p>
            <w:pPr>
              <w:ind w:left="660"/>
              <w:spacing w:after="0"/>
              <w:rPr>
                <w:sz w:val="20"/>
                <w:szCs w:val="20"/>
                <w:color w:val="auto"/>
              </w:rPr>
            </w:pPr>
            <w:r>
              <w:rPr>
                <w:rFonts w:ascii="Arial" w:cs="Arial" w:eastAsia="Arial" w:hAnsi="Arial"/>
                <w:sz w:val="18"/>
                <w:szCs w:val="18"/>
                <w:color w:val="auto"/>
                <w:w w:val="91"/>
              </w:rPr>
              <w:t>Total income tax benefit associated with stock-based compensation that is recognized in the condensed consolidated statements of income is as</w:t>
            </w: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follows (in millions):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1"/>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7"/>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24"/>
                <w:szCs w:val="24"/>
                <w:color w:val="auto"/>
              </w:rPr>
            </w:pPr>
          </w:p>
        </w:tc>
        <w:tc>
          <w:tcPr>
            <w:tcW w:w="2880" w:type="dxa"/>
            <w:vAlign w:val="bottom"/>
            <w:gridSpan w:val="4"/>
          </w:tcPr>
          <w:p>
            <w:pPr>
              <w:jc w:val="right"/>
              <w:ind w:right="753"/>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9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center"/>
              <w:ind w:right="320"/>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93"/>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93"/>
              <w:spacing w:after="0" w:line="158" w:lineRule="exact"/>
              <w:rPr>
                <w:sz w:val="20"/>
                <w:szCs w:val="20"/>
                <w:color w:val="auto"/>
              </w:rPr>
            </w:pPr>
            <w:r>
              <w:rPr>
                <w:rFonts w:ascii="Arial" w:cs="Arial" w:eastAsia="Arial" w:hAnsi="Arial"/>
                <w:sz w:val="16"/>
                <w:szCs w:val="16"/>
                <w:b w:val="1"/>
                <w:bCs w:val="1"/>
                <w:color w:val="auto"/>
                <w:w w:val="91"/>
              </w:rPr>
              <w:t>September 30,</w:t>
            </w:r>
          </w:p>
        </w:tc>
      </w:tr>
      <w:tr>
        <w:trPr>
          <w:trHeight w:val="213"/>
        </w:trPr>
        <w:tc>
          <w:tcPr>
            <w:tcW w:w="49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95"/>
              </w:rPr>
              <w:t>2023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2022</w:t>
            </w:r>
          </w:p>
        </w:tc>
      </w:tr>
      <w:tr>
        <w:trPr>
          <w:trHeight w:val="22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Income tax benefit associated with stock-based compensation</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39" w:lineRule="exact"/>
        <w:rPr>
          <w:sz w:val="20"/>
          <w:szCs w:val="20"/>
          <w:color w:val="auto"/>
        </w:rPr>
      </w:pPr>
    </w:p>
    <w:p>
      <w:pPr>
        <w:ind w:right="240" w:firstLine="648"/>
        <w:spacing w:after="0"/>
        <w:rPr>
          <w:sz w:val="20"/>
          <w:szCs w:val="20"/>
          <w:color w:val="auto"/>
        </w:rPr>
      </w:pPr>
      <w:r>
        <w:rPr>
          <w:rFonts w:ascii="Arial" w:cs="Arial" w:eastAsia="Arial" w:hAnsi="Arial"/>
          <w:sz w:val="18"/>
          <w:szCs w:val="18"/>
          <w:color w:val="auto"/>
        </w:rPr>
        <w:t>In February 2023, our board of directors approved an extension of the Repurchase Program originally approved by our board of directors in January 2016 to February 29, 2024. In April 2023 and July 2023, our board of directors approved $1.0 billion and $500.0 million increases in the authorized amount under the Repurchase Program, respectively, bringing the aggregate amount authorized to be repurchased to $6.75 billion of our outstanding common stock through February 29, 2024. Share repurchases may be made by us from time to time in privately negotiated transactions or in open-market transactions. The Repurchase Program does not require us to purchase a minimum number of shares, and may be suspended, modified or discontinued at any time without prior notice.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During the three and nine months ended September 30, 2023, we repurchased 10.4 million shares of common stock under the Repurchase Program in open-market transactions at a weighted-average price of $58.43 per share, for an aggregate purchase price of $605.2 million, which excludes a $2.8 million accrual related to the 1% excise tax imposed by the Inflation Reduction Act of 2022. As of September 30, 2023, $1.42 billion remained available for future share repurchases under the Repurchase Program.</w:t>
      </w:r>
    </w:p>
    <w:p>
      <w:pPr>
        <w:spacing w:after="0" w:line="22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INCOME TAXES</w:t>
      </w:r>
    </w:p>
    <w:p>
      <w:pPr>
        <w:spacing w:after="0" w:line="24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Our effective tax rate was 0% for the three months ended September 30, 2023, compared to an effective tax rate of 10% for the same period last year. Our effective tax rate was 5% for the nine months ended September 30, 2023, compared to an effective tax rate of 4% for the same period last year. The tax rates for the three months ended September 30, 2023 and 2022 were composed of U.S. federal and state taxes, withholding taxes and foreign taxes that amounted to $50.2 million and $75.5 million, respectively. The tax rate for the three months ended September 30, 2023 was impacted by a tax benefit of $41.9 million from the FDII deduction, and excess tax benefits from stock-based compensation expense of $8.6 million. The tax rate for the three months ended September 30, 2022 was impacted by a tax benefit of $28.9 million from the FDII deduction, and excess tax benefits from stock-based compensation expense of $19.3 million.</w:t>
      </w:r>
    </w:p>
    <w:p>
      <w:pPr>
        <w:spacing w:after="0" w:line="216"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The tax rates for the nine months ended September 30, 2023 and 2022 were composed of U.S. federal and state taxes, withholding taxes and foreign taxes that amounted to $220.9 million and $169.2 million, respectively. The tax rate for the nine months ended September 30, 2023 was impacted by a tax benefit of $105.9 million from the FDII deduction, excess tax benefits from stock-based compensation expense of $48.3 million, and the release of reserves of $18.1 million on uncertain tax positions and the accrued interest thereon due to the expiration of statutes of limitations. The tax rate for the nine months ended September 30, 2022 was impacted by a tax benefit of $62.6 million from the FDII deduction, excess tax benefits from stock-based compensation expense of $68.7 million, and the release of reserves of $16.3 million on uncertain tax positions and the accrued interest thereon due to the expiration of statutes of limitations.</w:t>
      </w:r>
    </w:p>
    <w:p>
      <w:pPr>
        <w:spacing w:after="0" w:line="218" w:lineRule="exact"/>
        <w:rPr>
          <w:sz w:val="20"/>
          <w:szCs w:val="20"/>
          <w:color w:val="auto"/>
        </w:rPr>
      </w:pPr>
    </w:p>
    <w:p>
      <w:pPr>
        <w:ind w:right="180" w:firstLine="648"/>
        <w:spacing w:after="0" w:line="253" w:lineRule="auto"/>
        <w:rPr>
          <w:sz w:val="20"/>
          <w:szCs w:val="20"/>
          <w:color w:val="auto"/>
        </w:rPr>
      </w:pPr>
      <w:r>
        <w:rPr>
          <w:rFonts w:ascii="Arial" w:cs="Arial" w:eastAsia="Arial" w:hAnsi="Arial"/>
          <w:sz w:val="17"/>
          <w:szCs w:val="17"/>
          <w:color w:val="auto"/>
        </w:rPr>
        <w:t>As of September 30, 2023 and December 31, 2022, unrecognized tax benefits were $65.8 million and $67.4 million, respectively. If recognized, $55.9 million of the unrecognized tax benefits as of September 30, 2023 would favorably affect our effective tax rate. It is our policy to include accrued interest and penalties related to unrecognized tax benefits in income tax expense. As of September 30, 2023 and December 31, 2022, accrued interest and penalties were $5.9 million and $9.3 million, respectively. It is reasonably possible that our gross unrecognized tax benefits will decrease by up to $1.8 million in the next 12 months, due to the lapse of statutes of limitation in various jurisdictions. This decrease, if recognized, would favorably impact our effective tax rate, and would be recognized as an additional tax benefit.</w:t>
      </w:r>
    </w:p>
    <w:p>
      <w:pPr>
        <w:spacing w:after="0" w:line="22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U.S. state and foreign jurisdictions. Generally, we are no longer subject to examination by U.S federal income tax authorities for tax years prior to 2015. We are no longer subject to U.S. state and foreign income tax examinations by tax authorities for tax years prior to 2010. We currently have ongoing tax audits in the United Kingdom, Canada, Germany and several other foreign jurisdictions. The focus of these audits is the inter-company profit allocation.</w:t>
      </w:r>
    </w:p>
    <w:p>
      <w:pPr>
        <w:spacing w:after="0" w:line="20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Effective January 1, 2022, research and development expenses are required to be capitalized and amortized for U.S. tax purposes, which delays the deductibility of these expenses, and increases our current provision.</w:t>
      </w:r>
    </w:p>
    <w:p>
      <w:pPr>
        <w:spacing w:after="0" w:line="198"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On January 4, 2022, the U.S. Treasury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On July 26, 2022, the U.S. Treasury released corrections to the final regulations. On July 21, 2023, the IRS released a notice that suspended the application of significant portions of the final regulations regarding the foreign tax credit for tax years 2022 and 2023. The notice released in July 2023 favorably impacted our ability to claim foreign tax credits in the United States for certain taxes imposed by certain foreign jurisdictions. As a result, our tax provision decreased by $39.8 million for the nine months ended September 30, 2023.</w:t>
      </w:r>
    </w:p>
    <w:p>
      <w:pPr>
        <w:spacing w:after="0" w:line="202"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On August 16, 2022, the United States enacted the Inflation Reduction Act of 2022 that provides for certain changes to the U.S. corporate income tax system, including a 15% minimum tax based on financial statement income for companies with three-year average annual adjusted financial statement income exceeding $1 billion, and a 1% excise tax on net repurchases of stock after December 31, 2022, if any. The applicable tax law changes have had no impact to our tax provision for the nine months ended September 30, 2023. We will continue to monitor the impact, if any, of these tax law changes on future periods.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pre-tax contributions. Our board of directors approved 50% matching contributions on employee contributions up to 4% of each employee’s eligible earnings. Our matching contributions to our 401(k) Plan and the RRSP for the three months ended September 30, 2023 and 2022 were $3.8 million and $3.2 million, respectively. Our matching contributions to our 401(k) Plan and the RRSP for the nine months ended September 30, 2023 and 2022 were $13.9 million and $9.8 million, respectively.</w:t>
      </w:r>
    </w:p>
    <w:p>
      <w:pPr>
        <w:spacing w:after="0" w:line="21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5"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Revenue by geographic region is based on the billing address of our customers. The following tables set forth revenue and property and equipment —net by geographic region (in millions):</w:t>
      </w: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ind w:left="7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9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3"/>
                <w:szCs w:val="13"/>
                <w:color w:val="auto"/>
              </w:rPr>
            </w:pPr>
          </w:p>
        </w:tc>
        <w:tc>
          <w:tcPr>
            <w:tcW w:w="132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9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513"/>
              <w:spacing w:after="0" w:line="17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472"/>
              <w:spacing w:after="0" w:line="175" w:lineRule="exact"/>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433"/>
              <w:spacing w:after="0" w:line="175" w:lineRule="exact"/>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472"/>
              <w:spacing w:after="0" w:line="175" w:lineRule="exact"/>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shd w:val="clear" w:color="auto" w:fill="CCEEFF"/>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gridSpan w:val="3"/>
          </w:tcPr>
          <w:p>
            <w:pPr>
              <w:ind w:left="18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344.1</w:t>
            </w:r>
          </w:p>
        </w:tc>
        <w:tc>
          <w:tcPr>
            <w:tcW w:w="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1,189.6</w:t>
            </w:r>
          </w:p>
        </w:tc>
        <w:tc>
          <w:tcPr>
            <w:tcW w:w="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4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40" w:type="dxa"/>
            <w:vAlign w:val="bottom"/>
            <w:gridSpan w:val="3"/>
          </w:tcPr>
          <w:p>
            <w:pPr>
              <w:ind w:left="420"/>
              <w:spacing w:after="0"/>
              <w:rPr>
                <w:sz w:val="20"/>
                <w:szCs w:val="20"/>
                <w:color w:val="auto"/>
              </w:rPr>
            </w:pPr>
            <w:r>
              <w:rPr>
                <w:rFonts w:ascii="Arial" w:cs="Arial" w:eastAsia="Arial" w:hAnsi="Arial"/>
                <w:sz w:val="18"/>
                <w:szCs w:val="18"/>
                <w:color w:val="auto"/>
              </w:rPr>
              <w:t>Total Americas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1,606.1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Europe, Middle East and Africa (“EMEA”)</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9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Asia Pacific (“APAC”)</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786.3</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3,889.7</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49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7"/>
                <w:szCs w:val="17"/>
                <w:color w:val="auto"/>
              </w:rPr>
              <w:t>—</w:t>
            </w:r>
            <w:r>
              <w:rPr>
                <w:rFonts w:ascii="Arial" w:cs="Arial" w:eastAsia="Arial" w:hAnsi="Arial"/>
                <w:sz w:val="16"/>
                <w:szCs w:val="16"/>
                <w:b w:val="1"/>
                <w:bCs w:val="1"/>
                <w:color w:val="auto"/>
              </w:rPr>
              <w:t>net</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9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513"/>
              <w:spacing w:after="0" w:line="175" w:lineRule="exact"/>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512"/>
              <w:spacing w:after="0" w:line="175" w:lineRule="exact"/>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gridSpan w:val="3"/>
          </w:tcPr>
          <w:p>
            <w:pPr>
              <w:ind w:left="200"/>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696.7</w:t>
            </w:r>
          </w:p>
        </w:tc>
        <w:tc>
          <w:tcPr>
            <w:tcW w:w="60" w:type="dxa"/>
            <w:vAlign w:val="bottom"/>
          </w:tcPr>
          <w:p>
            <w:pPr>
              <w:spacing w:after="0"/>
              <w:rPr>
                <w:sz w:val="19"/>
                <w:szCs w:val="19"/>
                <w:color w:val="auto"/>
              </w:rPr>
            </w:pPr>
          </w:p>
        </w:tc>
        <w:tc>
          <w:tcPr>
            <w:tcW w:w="2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9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Latin America</w:t>
            </w: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9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Americas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EMEA</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APAC</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40" w:type="dxa"/>
            <w:vAlign w:val="bottom"/>
            <w:gridSpan w:val="3"/>
          </w:tcPr>
          <w:p>
            <w:pPr>
              <w:ind w:left="440"/>
              <w:spacing w:after="0"/>
              <w:rPr>
                <w:sz w:val="20"/>
                <w:szCs w:val="20"/>
                <w:color w:val="auto"/>
              </w:rPr>
            </w:pPr>
            <w:r>
              <w:rPr>
                <w:rFonts w:ascii="Arial" w:cs="Arial" w:eastAsia="Arial" w:hAnsi="Arial"/>
                <w:sz w:val="18"/>
                <w:szCs w:val="18"/>
                <w:color w:val="auto"/>
              </w:rPr>
              <w:t>Total property and equipment—net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The following distributors accounted for 10% or more of our revenue: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3420" w:type="dxa"/>
            <w:vAlign w:val="bottom"/>
            <w:gridSpan w:val="4"/>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3220" w:type="dxa"/>
            <w:vAlign w:val="bottom"/>
            <w:gridSpan w:val="3"/>
          </w:tcPr>
          <w:p>
            <w:pPr>
              <w:jc w:val="right"/>
              <w:ind w:right="834"/>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600" w:type="dxa"/>
            <w:vAlign w:val="bottom"/>
          </w:tcPr>
          <w:p>
            <w:pPr>
              <w:spacing w:after="0"/>
              <w:rPr>
                <w:sz w:val="13"/>
                <w:szCs w:val="13"/>
                <w:color w:val="auto"/>
              </w:rPr>
            </w:pPr>
          </w:p>
        </w:tc>
        <w:tc>
          <w:tcPr>
            <w:tcW w:w="1720" w:type="dxa"/>
            <w:vAlign w:val="bottom"/>
            <w:tcBorders>
              <w:top w:val="single" w:sz="8" w:color="auto"/>
            </w:tcBorders>
            <w:gridSpan w:val="2"/>
          </w:tcPr>
          <w:p>
            <w:pPr>
              <w:ind w:left="300"/>
              <w:spacing w:after="0" w:line="158" w:lineRule="exact"/>
              <w:rPr>
                <w:sz w:val="20"/>
                <w:szCs w:val="20"/>
                <w:color w:val="auto"/>
              </w:rPr>
            </w:pPr>
            <w:r>
              <w:rPr>
                <w:rFonts w:ascii="Arial" w:cs="Arial" w:eastAsia="Arial" w:hAnsi="Arial"/>
                <w:sz w:val="16"/>
                <w:szCs w:val="16"/>
                <w:b w:val="1"/>
                <w:bCs w:val="1"/>
                <w:color w:val="auto"/>
              </w:rPr>
              <w:t>September 30,</w:t>
            </w:r>
          </w:p>
        </w:tc>
        <w:tc>
          <w:tcPr>
            <w:tcW w:w="1600" w:type="dxa"/>
            <w:vAlign w:val="bottom"/>
            <w:tcBorders>
              <w:top w:val="single" w:sz="8" w:color="auto"/>
            </w:tcBorders>
          </w:tcPr>
          <w:p>
            <w:pPr>
              <w:jc w:val="right"/>
              <w:ind w:right="214"/>
              <w:spacing w:after="0" w:line="158" w:lineRule="exact"/>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3"/>
                <w:szCs w:val="13"/>
                <w:color w:val="auto"/>
              </w:rPr>
            </w:pPr>
          </w:p>
        </w:tc>
        <w:tc>
          <w:tcPr>
            <w:tcW w:w="1660" w:type="dxa"/>
            <w:vAlign w:val="bottom"/>
            <w:tcBorders>
              <w:top w:val="single" w:sz="8" w:color="auto"/>
            </w:tcBorders>
            <w:gridSpan w:val="2"/>
          </w:tcPr>
          <w:p>
            <w:pPr>
              <w:ind w:left="280"/>
              <w:spacing w:after="0" w:line="158" w:lineRule="exact"/>
              <w:rPr>
                <w:sz w:val="20"/>
                <w:szCs w:val="20"/>
                <w:color w:val="auto"/>
              </w:rPr>
            </w:pPr>
            <w:r>
              <w:rPr>
                <w:rFonts w:ascii="Arial" w:cs="Arial" w:eastAsia="Arial" w:hAnsi="Arial"/>
                <w:sz w:val="16"/>
                <w:szCs w:val="16"/>
                <w:b w:val="1"/>
                <w:bCs w:val="1"/>
                <w:color w:val="auto"/>
              </w:rPr>
              <w:t>September 30,</w:t>
            </w:r>
          </w:p>
        </w:tc>
        <w:tc>
          <w:tcPr>
            <w:tcW w:w="1560" w:type="dxa"/>
            <w:vAlign w:val="bottom"/>
            <w:tcBorders>
              <w:top w:val="single" w:sz="8" w:color="auto"/>
            </w:tcBorders>
          </w:tcPr>
          <w:p>
            <w:pPr>
              <w:jc w:val="right"/>
              <w:ind w:right="194"/>
              <w:spacing w:after="0" w:line="158" w:lineRule="exact"/>
              <w:rPr>
                <w:sz w:val="20"/>
                <w:szCs w:val="20"/>
                <w:color w:val="auto"/>
              </w:rPr>
            </w:pPr>
            <w:r>
              <w:rPr>
                <w:rFonts w:ascii="Arial" w:cs="Arial" w:eastAsia="Arial" w:hAnsi="Arial"/>
                <w:sz w:val="16"/>
                <w:szCs w:val="16"/>
                <w:b w:val="1"/>
                <w:bCs w:val="1"/>
                <w:color w:val="auto"/>
              </w:rPr>
              <w:t>September 30,</w:t>
            </w:r>
          </w:p>
        </w:tc>
      </w:tr>
      <w:tr>
        <w:trPr>
          <w:trHeight w:val="213"/>
        </w:trPr>
        <w:tc>
          <w:tcPr>
            <w:tcW w:w="46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2022</w:t>
            </w:r>
          </w:p>
        </w:tc>
      </w:tr>
      <w:tr>
        <w:trPr>
          <w:trHeight w:val="22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Distributor A</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Distributor B</w:t>
            </w:r>
          </w:p>
        </w:tc>
        <w:tc>
          <w:tcPr>
            <w:tcW w:w="160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Distributor C</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bl>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distributors accounted for 10% or more of net accounts receivable:</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760" w:type="dxa"/>
            <w:vAlign w:val="bottom"/>
            <w:gridSpan w:val="2"/>
          </w:tcPr>
          <w:p>
            <w:pPr>
              <w:ind w:left="340"/>
              <w:spacing w:after="0"/>
              <w:rPr>
                <w:sz w:val="20"/>
                <w:szCs w:val="20"/>
                <w:color w:val="auto"/>
              </w:rPr>
            </w:pPr>
            <w:r>
              <w:rPr>
                <w:rFonts w:ascii="Arial" w:cs="Arial" w:eastAsia="Arial" w:hAnsi="Arial"/>
                <w:sz w:val="16"/>
                <w:szCs w:val="16"/>
                <w:b w:val="1"/>
                <w:bCs w:val="1"/>
                <w:color w:val="auto"/>
              </w:rPr>
              <w:t>September 30,</w:t>
            </w:r>
          </w:p>
        </w:tc>
        <w:tc>
          <w:tcPr>
            <w:tcW w:w="1660" w:type="dxa"/>
            <w:vAlign w:val="bottom"/>
          </w:tcPr>
          <w:p>
            <w:pPr>
              <w:jc w:val="right"/>
              <w:ind w:right="274"/>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78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2022</w:t>
            </w:r>
          </w:p>
        </w:tc>
      </w:tr>
      <w:tr>
        <w:trPr>
          <w:trHeight w:val="22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Distributor 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Distributor B</w:t>
            </w:r>
          </w:p>
        </w:tc>
        <w:tc>
          <w:tcPr>
            <w:tcW w:w="166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Distributor C</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bl>
    <w:p>
      <w:pPr>
        <w:spacing w:after="0" w:line="200" w:lineRule="exact"/>
        <w:rPr>
          <w:sz w:val="20"/>
          <w:szCs w:val="20"/>
          <w:color w:val="auto"/>
        </w:rPr>
      </w:pPr>
    </w:p>
    <w:p>
      <w:pPr>
        <w:spacing w:after="0" w:line="34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39" w:lineRule="exact"/>
        <w:rPr>
          <w:sz w:val="20"/>
          <w:szCs w:val="20"/>
          <w:color w:val="auto"/>
        </w:rPr>
      </w:pPr>
    </w:p>
    <w:p>
      <w:pPr>
        <w:ind w:right="240" w:firstLine="567"/>
        <w:spacing w:after="0" w:line="248" w:lineRule="auto"/>
        <w:rPr>
          <w:sz w:val="20"/>
          <w:szCs w:val="20"/>
          <w:color w:val="auto"/>
        </w:rPr>
      </w:pPr>
      <w:r>
        <w:rPr>
          <w:rFonts w:ascii="Arial" w:cs="Arial" w:eastAsia="Arial" w:hAnsi="Arial"/>
          <w:sz w:val="18"/>
          <w:szCs w:val="18"/>
          <w:color w:val="auto"/>
        </w:rPr>
        <w:t>Subsequent to September 30, 2023 through the filing of this Quarterly Report on Form 10-Q, we repurchased 11.2 million shares of our common stock at an average price of $54.87 per share for an aggregate purchase price of $613.5 million under the Repurchase Program, which excludes a $5.7 million accrual related to the 1% excise tax imposed by the Inflation Reduction Act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11"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and service categories from year to year and between quarters;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from certain products and services;</w:t>
      </w:r>
    </w:p>
    <w:p>
      <w:pPr>
        <w:spacing w:after="0" w:line="252" w:lineRule="exact"/>
        <w:rPr>
          <w:rFonts w:ascii="Arial" w:cs="Arial" w:eastAsia="Arial" w:hAnsi="Arial"/>
          <w:sz w:val="18"/>
          <w:szCs w:val="18"/>
          <w:i w:val="1"/>
          <w:iCs w:val="1"/>
          <w:color w:val="auto"/>
        </w:rPr>
      </w:pPr>
    </w:p>
    <w:p>
      <w:pPr>
        <w:ind w:left="1300" w:right="120" w:hanging="644"/>
        <w:spacing w:after="0" w:line="277" w:lineRule="auto"/>
        <w:tabs>
          <w:tab w:leader="none" w:pos="129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or decreasing inflation or stagflation, and rising interest rates in many geographies and changes in currency exchange rates and currency regulations;</w:t>
      </w:r>
    </w:p>
    <w:p>
      <w:pPr>
        <w:spacing w:after="0" w:line="197"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52" w:lineRule="exact"/>
        <w:rPr>
          <w:rFonts w:ascii="Arial" w:cs="Arial" w:eastAsia="Arial" w:hAnsi="Arial"/>
          <w:sz w:val="18"/>
          <w:szCs w:val="18"/>
          <w:i w:val="1"/>
          <w:iCs w:val="1"/>
          <w:color w:val="auto"/>
        </w:rPr>
      </w:pPr>
    </w:p>
    <w:p>
      <w:pPr>
        <w:ind w:left="1300" w:right="500" w:hanging="644"/>
        <w:spacing w:after="0" w:line="277" w:lineRule="auto"/>
        <w:tabs>
          <w:tab w:leader="none" w:pos="129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macroeconomic, geopolitical factors and other disruption on our manufacturing or sales, including public health issues, wars and natural disasters;</w:t>
      </w:r>
    </w:p>
    <w:p>
      <w:pPr>
        <w:spacing w:after="0" w:line="197"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real estate investments and management, expansions and enhancements of current properties;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government regulation, tariffs and other policies;</w:t>
      </w:r>
    </w:p>
    <w:p>
      <w:pPr>
        <w:spacing w:after="0" w:line="252" w:lineRule="exact"/>
        <w:rPr>
          <w:rFonts w:ascii="Arial" w:cs="Arial" w:eastAsia="Arial" w:hAnsi="Arial"/>
          <w:sz w:val="18"/>
          <w:szCs w:val="18"/>
          <w:i w:val="1"/>
          <w:iCs w:val="1"/>
          <w:color w:val="auto"/>
        </w:rPr>
      </w:pPr>
    </w:p>
    <w:p>
      <w:pPr>
        <w:ind w:left="1300" w:right="560" w:hanging="644"/>
        <w:spacing w:after="0" w:line="261"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pricing of our products and services, sales productivity, pipeline and capacity, functionality, value and technology improvements in our service offerings;</w:t>
      </w:r>
    </w:p>
    <w:p>
      <w:pPr>
        <w:spacing w:after="0" w:line="211" w:lineRule="exact"/>
        <w:rPr>
          <w:rFonts w:ascii="Arial" w:cs="Arial" w:eastAsia="Arial" w:hAnsi="Arial"/>
          <w:sz w:val="18"/>
          <w:szCs w:val="18"/>
          <w:color w:val="auto"/>
        </w:rPr>
      </w:pPr>
    </w:p>
    <w:p>
      <w:pPr>
        <w:ind w:left="1300" w:hanging="644"/>
        <w:spacing w:after="0" w:line="259"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growing our solution sales through channel partners to businesses, service providers and government organizations, our ability to execute these sales and the complexity of providing solutions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13" w:lineRule="exact"/>
        <w:rPr>
          <w:rFonts w:ascii="Arial" w:cs="Arial" w:eastAsia="Arial" w:hAnsi="Arial"/>
          <w:sz w:val="18"/>
          <w:szCs w:val="18"/>
          <w:color w:val="auto"/>
        </w:rPr>
      </w:pPr>
    </w:p>
    <w:p>
      <w:pPr>
        <w:ind w:left="1300" w:right="660" w:hanging="644"/>
        <w:spacing w:after="0" w:line="277" w:lineRule="auto"/>
        <w:tabs>
          <w:tab w:leader="none" w:pos="129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anticipate market changes related to cloud-based solutions and to sell, support and meet service level agreements related to cloud-based solutions;</w:t>
      </w:r>
    </w:p>
    <w:p>
      <w:pPr>
        <w:spacing w:after="0" w:line="197" w:lineRule="exact"/>
        <w:rPr>
          <w:rFonts w:ascii="Arial" w:cs="Arial" w:eastAsia="Arial" w:hAnsi="Arial"/>
          <w:sz w:val="18"/>
          <w:szCs w:val="18"/>
          <w:i w:val="1"/>
          <w:iCs w:val="1"/>
          <w:color w:val="auto"/>
        </w:rPr>
      </w:pPr>
    </w:p>
    <w:p>
      <w:pPr>
        <w:ind w:left="1300" w:right="300" w:hanging="644"/>
        <w:spacing w:after="0" w:line="277" w:lineRule="auto"/>
        <w:tabs>
          <w:tab w:leader="none" w:pos="129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supply chain constraints, component availability and other factors affecting our manufacturing capacity, delivery, cost and inventory management;</w:t>
      </w:r>
    </w:p>
    <w:p>
      <w:pPr>
        <w:spacing w:after="0" w:line="197"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forecasts of future demand and targeted inventory levels, including changing market drivers and demands;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of backlog from prior quarters, including its effect on growth of in-quarter billings and revenue;</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instability in the global banking system;</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hire properly qualified and effective sales, support and engineering employees;</w:t>
      </w:r>
    </w:p>
    <w:p>
      <w:pPr>
        <w:spacing w:after="0" w:line="252" w:lineRule="exact"/>
        <w:rPr>
          <w:rFonts w:ascii="Arial" w:cs="Arial" w:eastAsia="Arial" w:hAnsi="Arial"/>
          <w:sz w:val="18"/>
          <w:szCs w:val="18"/>
          <w:color w:val="auto"/>
        </w:rPr>
      </w:pPr>
    </w:p>
    <w:p>
      <w:pPr>
        <w:ind w:left="1300" w:hanging="644"/>
        <w:spacing w:after="0" w:line="263" w:lineRule="auto"/>
        <w:tabs>
          <w:tab w:leader="none" w:pos="129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risks and expectations related to acquisitions and equity interests in private and public companies, including integration issues related to go-to-market plans, product plans, employees of such companies, controls and processes and the acquired technology, and risks of negative impact by such acquisitions and equity investments on our financial results;</w:t>
      </w:r>
    </w:p>
    <w:p>
      <w:pPr>
        <w:spacing w:after="0" w:line="21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trends in revenue, cost of revenue and gross margin, including expectations regarding product revenue and service revenue growth;</w:t>
      </w:r>
    </w:p>
    <w:p>
      <w:pPr>
        <w:spacing w:after="0" w:line="248" w:lineRule="exact"/>
        <w:rPr>
          <w:rFonts w:ascii="Arial" w:cs="Arial" w:eastAsia="Arial" w:hAnsi="Arial"/>
          <w:sz w:val="16"/>
          <w:szCs w:val="16"/>
          <w:color w:val="auto"/>
        </w:rPr>
      </w:pPr>
    </w:p>
    <w:p>
      <w:pPr>
        <w:ind w:left="1300" w:right="20" w:hanging="644"/>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w:t>
      </w:r>
    </w:p>
    <w:p>
      <w:pPr>
        <w:sectPr>
          <w:pgSz w:w="11900" w:h="16838" w:orient="portrait"/>
          <w:cols w:equalWidth="0" w:num="1">
            <w:col w:w="11180"/>
          </w:cols>
          <w:pgMar w:left="320" w:top="283" w:right="39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plans and strategy for the acceleration of our points of presence (“PoP”) deployment;</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our operating expenses will increase year over year in absolute dollars during the remainder of 2023;</w:t>
      </w:r>
    </w:p>
    <w:p>
      <w:pPr>
        <w:spacing w:after="0" w:line="252" w:lineRule="exact"/>
        <w:rPr>
          <w:rFonts w:ascii="Arial" w:cs="Arial" w:eastAsia="Arial" w:hAnsi="Arial"/>
          <w:sz w:val="18"/>
          <w:szCs w:val="18"/>
          <w:i w:val="1"/>
          <w:iCs w:val="1"/>
          <w:color w:val="auto"/>
        </w:rPr>
      </w:pPr>
    </w:p>
    <w:p>
      <w:pPr>
        <w:ind w:left="1300" w:right="100" w:hanging="644"/>
        <w:spacing w:after="0" w:line="277" w:lineRule="auto"/>
        <w:tabs>
          <w:tab w:leader="none" w:pos="129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proceeds from the exercise of stock options in future years will be adversely impacted by the increased mix of restricted stock units and performance stock units versus stock options granted or a decline in our stock price;</w:t>
      </w:r>
    </w:p>
    <w:p>
      <w:pPr>
        <w:spacing w:after="0" w:line="197" w:lineRule="exact"/>
        <w:rPr>
          <w:rFonts w:ascii="Arial" w:cs="Arial" w:eastAsia="Arial" w:hAnsi="Arial"/>
          <w:sz w:val="18"/>
          <w:szCs w:val="18"/>
          <w:i w:val="1"/>
          <w:iCs w:val="1"/>
          <w:color w:val="auto"/>
        </w:rPr>
      </w:pPr>
    </w:p>
    <w:p>
      <w:pPr>
        <w:ind w:left="1300" w:right="100" w:hanging="644"/>
        <w:spacing w:after="0" w:line="277" w:lineRule="auto"/>
        <w:tabs>
          <w:tab w:leader="none" w:pos="129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uncertain tax benefits and our effective domestic and global tax rates, the impact of interpretations of or changes to tax law, and the timing of tax payments;</w:t>
      </w:r>
    </w:p>
    <w:p>
      <w:pPr>
        <w:spacing w:after="0" w:line="197" w:lineRule="exact"/>
        <w:rPr>
          <w:rFonts w:ascii="Arial" w:cs="Arial" w:eastAsia="Arial" w:hAnsi="Arial"/>
          <w:sz w:val="18"/>
          <w:szCs w:val="18"/>
          <w:i w:val="1"/>
          <w:iCs w:val="1"/>
          <w:color w:val="auto"/>
        </w:rPr>
      </w:pPr>
    </w:p>
    <w:p>
      <w:pPr>
        <w:ind w:left="1300" w:hanging="644"/>
        <w:spacing w:after="0" w:line="261"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expectations regarding spending related to real estate acquisitions and development, including data center, office building and warehouse investments, as well as other capital expenditures and to the impact on free cash flow and expenses;</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estimates of a range of 2023 spending on capital expenditures;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expected outcomes and liabilities in litigation;</w:t>
      </w:r>
    </w:p>
    <w:p>
      <w:pPr>
        <w:spacing w:after="0" w:line="252" w:lineRule="exact"/>
        <w:rPr>
          <w:rFonts w:ascii="Arial" w:cs="Arial" w:eastAsia="Arial" w:hAnsi="Arial"/>
          <w:sz w:val="18"/>
          <w:szCs w:val="18"/>
          <w:color w:val="auto"/>
        </w:rPr>
      </w:pPr>
    </w:p>
    <w:p>
      <w:pPr>
        <w:ind w:left="1300" w:right="260" w:hanging="644"/>
        <w:spacing w:after="0" w:line="261"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Fortinet is a global leader in cybersecurity solutions for customers, with a focus on three solution areas: secure networking, universal secure access service edge (“SASE”) and security operations (“SecOps”). Our mission is to secure people, devices and data everywhere. As of September 30, 2023, over 700,000 customers trusted our solutions, including enterprises (such as in the financial services, retail and operational technology market segments), communication and security service providers, government organizations and small and medium-sized businesses.</w:t>
      </w:r>
    </w:p>
    <w:p>
      <w:pPr>
        <w:spacing w:after="0" w:line="185" w:lineRule="exact"/>
        <w:rPr>
          <w:sz w:val="20"/>
          <w:szCs w:val="20"/>
          <w:color w:val="auto"/>
        </w:rPr>
      </w:pPr>
    </w:p>
    <w:p>
      <w:pPr>
        <w:jc w:val="both"/>
        <w:ind w:right="120" w:firstLine="648"/>
        <w:spacing w:after="0" w:line="270" w:lineRule="auto"/>
        <w:rPr>
          <w:sz w:val="20"/>
          <w:szCs w:val="20"/>
          <w:color w:val="auto"/>
        </w:rPr>
      </w:pPr>
      <w:r>
        <w:rPr>
          <w:rFonts w:ascii="Arial" w:cs="Arial" w:eastAsia="Arial" w:hAnsi="Arial"/>
          <w:sz w:val="17"/>
          <w:szCs w:val="17"/>
          <w:color w:val="auto"/>
        </w:rPr>
        <w:t>Our products and solutions are designed to converge networking and security into a single solution and consolidate cybersecurity point products into an integrated platform through the combination of our single operating system and, where applicable, ASIC compute power. This allows customers to realize automated protection, improve detection and response times, and achieve visibility across solutions.</w:t>
      </w:r>
    </w:p>
    <w:p>
      <w:pPr>
        <w:spacing w:after="0" w:line="191"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We are a global company headquartered in Sunnyvale, California and the majority of our research and development is in the United States and Canada. Our North American development teams are responsible for a number of technologies, including development of our operating system, ASIC technologies and the complete suite of our platform products including firewalls, switches and access points, SASE solutions, and SecOps solutions such as Security Information and Event Management, Security Orchestration, Automation and Response, Endpoint Detection and Response, and Network Detection and Response. As a U.S. company with a large international customer base, we offer a global footprint of support and centers of excellence around the world and across time zones from North America to Europe to Asia. As of September 30, 2023, we held 1,290 patents.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help secure and enable our customers, we focus on the following three solution sets:</w:t>
      </w:r>
    </w:p>
    <w:p>
      <w:pPr>
        <w:spacing w:after="0" w:line="239" w:lineRule="exact"/>
        <w:rPr>
          <w:sz w:val="20"/>
          <w:szCs w:val="20"/>
          <w:color w:val="auto"/>
        </w:rPr>
      </w:pPr>
    </w:p>
    <w:p>
      <w:pPr>
        <w:ind w:left="660" w:hanging="328"/>
        <w:spacing w:after="0" w:line="267"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Secure Networking</w:t>
      </w:r>
      <w:r>
        <w:rPr>
          <w:rFonts w:ascii="Arial" w:cs="Arial" w:eastAsia="Arial" w:hAnsi="Arial"/>
          <w:sz w:val="16"/>
          <w:szCs w:val="16"/>
          <w:color w:val="auto"/>
        </w:rPr>
        <w:t>—Our Secure Networking solutions focus on the convergence of networking and security via our network firewall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switches, access points and other secure connectivity solutions. FortiOS is our networking and security operating system that is consistent across our firewalls and secure connectivity solutions and supports over 30 functions that can be delivered via a physical, virtual, cloud or SaaS solution. When delivered via our network firewall appliances, functionality is accelerated through our proprietary ASIC technology, which consists of three processors. First, a seventh-generation network processor, FortiNP7, accelerates the processing of firewall traffic and offloads this function from the central processing unit (“CPU”). Second, a ninth-generation content processor, FortiCP9, helps the CPU perform deep-packet inspection functions such as intrusion prevention and antivirus. To scale further, multiple CPUs, NP7s and CP9s can be placed in larger firewalls to deliver more processing power. Third, the CPU, network processor and content processor functions are all combined in a single ASIC, our fifth-generation security processor, FortiSP5. These proprietary ASICs, combined with off-the-shelf CPUs and ASICs, allow our systems to scale, run multiple applications at higher performance, lower power consumption and perform more processor-intensive operations, such as inspecting encrypted traffic, including streaming video. The Network Firewall solution consists of FortiGate data center, hyperscale and distributed firewalls, as well as encrypted applications (SSL inspection, Virtual Private Network and IPsec connectivity). Our ability to converge networking and security also enables the ethernet to become an extension of a company’s security infrastructure through FortiSwitch and FortiLink. Our wireless LAN solution leverages secure networking to provide secure wireless access for the enterprise LAN edge. FortiExtender secures 5G/LTE and remote ethernet extenders to connect and secure any branch environment. The Secure Connectivity solution consists of FortiSwitch Local Area Network, FortiAP Wireless Local Area Network - Access Points and FortiExtender 5G Connectivity Gateways.</w:t>
      </w:r>
    </w:p>
    <w:p>
      <w:pPr>
        <w:spacing w:after="0" w:line="194" w:lineRule="exact"/>
        <w:rPr>
          <w:rFonts w:ascii="Arial" w:cs="Arial" w:eastAsia="Arial" w:hAnsi="Arial"/>
          <w:sz w:val="16"/>
          <w:szCs w:val="16"/>
          <w:color w:val="auto"/>
        </w:rPr>
      </w:pPr>
    </w:p>
    <w:p>
      <w:pPr>
        <w:ind w:left="660" w:hanging="328"/>
        <w:spacing w:after="0" w:line="253"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Universal Secure Access Service Edge (SASE)</w:t>
      </w:r>
      <w:r>
        <w:rPr>
          <w:rFonts w:ascii="Arial" w:cs="Arial" w:eastAsia="Arial" w:hAnsi="Arial"/>
          <w:sz w:val="17"/>
          <w:szCs w:val="17"/>
          <w:color w:val="auto"/>
        </w:rPr>
        <w:t>—As applications move to the cloud and work from anywhere becomes established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workplace, cloud delivery is needed to enable secure access to applications on any cloud. The Fortinet Universal SASE solution is a single-vendor SASE solution that includes Firewall, SD-WAN, Secure Web Gateway, Cloud Access Services Broker, Data Loss Prevention, Zero Trust Network Access and Cloud security, including Web Application Firewalls, Virtualized Firewalls and Cloud-Native Firewalls. These functions are delivered through our FortiOS operating systems, which can deploy the full SASE stack through the cloud or on our ASIC-driven appliances. All functions can be managed through a unified management console.</w:t>
      </w:r>
    </w:p>
    <w:p>
      <w:pPr>
        <w:spacing w:after="0" w:line="208" w:lineRule="exact"/>
        <w:rPr>
          <w:rFonts w:ascii="Arial" w:cs="Arial" w:eastAsia="Arial" w:hAnsi="Arial"/>
          <w:sz w:val="17"/>
          <w:szCs w:val="17"/>
          <w:color w:val="auto"/>
        </w:rPr>
      </w:pPr>
    </w:p>
    <w:p>
      <w:pPr>
        <w:ind w:left="660" w:hanging="328"/>
        <w:spacing w:after="0" w:line="257"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Security Operations (SecOps)</w:t>
      </w:r>
      <w:r>
        <w:rPr>
          <w:rFonts w:ascii="Arial" w:cs="Arial" w:eastAsia="Arial" w:hAnsi="Arial"/>
          <w:sz w:val="17"/>
          <w:szCs w:val="17"/>
          <w:color w:val="auto"/>
        </w:rPr>
        <w:t>—Fortinet’s Security Operations solutions comply with the NIST cybersecurity framework of identify, protect,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detect, respond and recover, and are delivered as a platform that automates detection and response to accelerate discovery and remediation. </w:t>
      </w:r>
      <w:r>
        <w:rPr>
          <w:rFonts w:ascii="Arial" w:cs="Arial" w:eastAsia="Arial" w:hAnsi="Arial"/>
          <w:sz w:val="17"/>
          <w:szCs w:val="17"/>
          <w:color w:val="333333"/>
        </w:rPr>
        <w:t>The</w:t>
      </w:r>
      <w:r>
        <w:rPr>
          <w:rFonts w:ascii="Arial" w:cs="Arial" w:eastAsia="Arial" w:hAnsi="Arial"/>
          <w:sz w:val="17"/>
          <w:szCs w:val="17"/>
          <w:color w:val="auto"/>
        </w:rPr>
        <w:t xml:space="preserve"> </w:t>
      </w:r>
      <w:r>
        <w:rPr>
          <w:rFonts w:ascii="Arial" w:cs="Arial" w:eastAsia="Arial" w:hAnsi="Arial"/>
          <w:sz w:val="17"/>
          <w:szCs w:val="17"/>
          <w:color w:val="333333"/>
        </w:rPr>
        <w:t>Security Operations solution con</w:t>
      </w:r>
      <w:r>
        <w:rPr>
          <w:rFonts w:ascii="Arial" w:cs="Arial" w:eastAsia="Arial" w:hAnsi="Arial"/>
          <w:sz w:val="17"/>
          <w:szCs w:val="17"/>
          <w:color w:val="000000"/>
        </w:rPr>
        <w:t>sists of FortiSIEM Security Information and Event Management, FortiSOAR Security Orchestration, Automation</w:t>
      </w:r>
      <w:r>
        <w:rPr>
          <w:rFonts w:ascii="Arial" w:cs="Arial" w:eastAsia="Arial" w:hAnsi="Arial"/>
          <w:sz w:val="17"/>
          <w:szCs w:val="17"/>
          <w:color w:val="333333"/>
        </w:rPr>
        <w:t xml:space="preserve"> </w:t>
      </w:r>
      <w:r>
        <w:rPr>
          <w:rFonts w:ascii="Arial" w:cs="Arial" w:eastAsia="Arial" w:hAnsi="Arial"/>
          <w:sz w:val="17"/>
          <w:szCs w:val="17"/>
          <w:color w:val="000000"/>
        </w:rPr>
        <w:t>and Response, FortiEDR Endpoint Detection and Response, FortiXDR Extended Detection and Response, FortiMDR Managed Detection and Response Service, FortiNDR Network Detection and Response, FortiRecon Digital Risk Protection, FortiDeceptor Deception technology, FortiGuard SoCaaS, FortiSandbox Sandboxing Services and FortiGuard Incident Response Services.</w:t>
      </w:r>
    </w:p>
    <w:p>
      <w:pPr>
        <w:spacing w:after="0" w:line="202"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Our AI-driven threat intelligence and security service, known as FortiGuard Labs, is our cybersecurity threat intelligence and research organization comprised of experienced threat hunters, researchers, analysts, engineers and data scientists, who develop and utilize machine learning and AI technologies to provide timely protection updates and actionable threat intelligence for the benefit of our customers. FortiGuard Security Services are a suite of AI-enabled security capabilities that consist of FortiGuard application security services, content security services, device security services, NOC/SOC security services and web security services.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52" w:lineRule="exact"/>
        <w:rPr>
          <w:sz w:val="20"/>
          <w:szCs w:val="20"/>
          <w:color w:val="auto"/>
        </w:rPr>
      </w:pPr>
    </w:p>
    <w:p>
      <w:pPr>
        <w:ind w:left="660" w:right="140" w:hanging="328"/>
        <w:spacing w:after="0" w:line="25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revenue was $1.33 billion and $3.89 billion during the three and nine months ended September 30, 2023, an increase of 16% and 24%, respectively, compared to $1.15 billion and $3.13 billion in the same periods last year. Product revenue was $465.9 million and $1.44 billion during the three and nine months ended September 30, 2023, a decrease of 1% and an increase of 16%, respectively, compared to $468.7 million and $1.24 billion in the same periods last year. Service revenue was $868.7 million and $2.45 billion during the three and nine months ended September 30, 2023, an increase of 28% and 29%, in each period respectively, compared to $680.8 million and $1.89 billion in the same periods last year.</w:t>
      </w:r>
    </w:p>
    <w:p>
      <w:pPr>
        <w:spacing w:after="0" w:line="219"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gross profit was $1.02 billion and $2.97 billion during the three and nine months ended September 30, 2023, an increase of 17% and 26%, respectively, compared to $866.5 million and $2.35 billion in the same periods last year.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right="2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income was $303.2 million and $855.7 million during the three and nine months ended September 30, 2023, an increase of 14% and 40%, respectively, compared to $265.5 million and $611.8 million in the same periods last year.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Cash, cash equivalents, short-term and long-term investments and marketable equity securities were $3.17 billion as of September 30, 2023.</w:t>
      </w:r>
    </w:p>
    <w:p>
      <w:pPr>
        <w:spacing w:after="0" w:line="275" w:lineRule="exact"/>
        <w:rPr>
          <w:rFonts w:ascii="Arial" w:cs="Arial" w:eastAsia="Arial" w:hAnsi="Arial"/>
          <w:sz w:val="16"/>
          <w:szCs w:val="16"/>
          <w:color w:val="auto"/>
        </w:rPr>
      </w:pPr>
    </w:p>
    <w:p>
      <w:pPr>
        <w:ind w:left="660" w:right="24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nine months ended September 30, 2023, we repurchased 10.4 million shares of common stock under our Share Repurchase Program (the “Repurchase Program”), for a total purchase price of $605.2 million, which excludes a $2.8 million accrual related to the 1% excise tax imposed by the Inflation Reduction Act of 2022.</w:t>
      </w:r>
    </w:p>
    <w:p>
      <w:pPr>
        <w:spacing w:after="0" w:line="210" w:lineRule="exact"/>
        <w:rPr>
          <w:rFonts w:ascii="Arial" w:cs="Arial" w:eastAsia="Arial" w:hAnsi="Arial"/>
          <w:sz w:val="18"/>
          <w:szCs w:val="18"/>
          <w:color w:val="auto"/>
        </w:rPr>
      </w:pPr>
    </w:p>
    <w:p>
      <w:pPr>
        <w:ind w:left="660" w:right="26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Deferred revenue was $5.29 billion as of September 30, 2023, an increase of $645.0 million, or 14%, compared to $4.64 billion as of December 31, 2022 and an increase of $1.09 billion, or 26%, compared to $4.19 billion as of September 30, 2022. Deferred revenue was $4.19 billion as of September 30, 2022, an increase of $740.6 million, or 21%, compared to $3.45 billion as of December 31, 2021 and an increase of $1.09 billion, or 35%, compared to $3.11 billion as of September 30, 2021.</w:t>
      </w:r>
    </w:p>
    <w:p>
      <w:pPr>
        <w:spacing w:after="0" w:line="213" w:lineRule="exact"/>
        <w:rPr>
          <w:rFonts w:ascii="Arial" w:cs="Arial" w:eastAsia="Arial" w:hAnsi="Arial"/>
          <w:sz w:val="18"/>
          <w:szCs w:val="18"/>
          <w:color w:val="auto"/>
        </w:rPr>
      </w:pPr>
    </w:p>
    <w:p>
      <w:pPr>
        <w:ind w:left="660" w:right="12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Short-term deferred revenue was $2.65 billion as of September 30, 2023, an increase of $298.0 million, or 13%, compared to $2.35 billion as of December 31, 2022 and an increase of $518.3 million, or 24%, compared to $2.13 billion as of September 30, 2022. Short-term deferred revenue was $2.13 billion as of September 30, 2022, an increase of $351.6 million, or 20%, compared to $1.78 billion as of December 31, 2021 and an increase of $512.9 million, or 32%, compared to $1.62 billion as of September 30, 2021.</w:t>
      </w:r>
    </w:p>
    <w:p>
      <w:pPr>
        <w:spacing w:after="0" w:line="213"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$1.74 billion during the nine months ended September 30, 2023, an increase of $541.3 million, or 45%, compared to the same period last year.</w:t>
      </w:r>
    </w:p>
    <w:p>
      <w:pPr>
        <w:spacing w:after="0" w:line="197"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On a geographic basis, revenue continues to be diversified, which remains a key strength of our business. During the three months ended September 30, 2023, the Americas region, the Europe, Middle East and Africa (“EMEA”) region and the Asia Pacific (“APAC”) region contributed 41%, 38% and 21% of our total revenue, respectively, and increased 17%, 15% and 16% compared to the same period last year, respectively. During the nine months ended September 30, 2023, the Americas region, the EMEA region and the APAC region contributed 41%, 39% and 20% of our total revenue, respectively, and increased 27%, 27% and 14% compared to the same period last year, respectively.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 growth was driven by growth in service revenue.</w:t>
      </w:r>
    </w:p>
    <w:p>
      <w:pPr>
        <w:spacing w:after="0" w:line="23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Product revenue decreased 1% during the three months ended September 30, 2023 compared to the same period last year, reflecting product lead times and backlog aligning with historical levels and decreased demand for our network security products as product demand returns to normal levels following approximately two years of elevated growth. Product revenue increased 16%, during the nine months ended September 30, 2023 compared to the same period last year, which was consistent with an elevated cyber threat landscape, the convergence of security and networking, the impact of certain historical pricing actions, improving supply chain dynamics and changes in the backlog balance.</w:t>
      </w:r>
    </w:p>
    <w:p>
      <w:pPr>
        <w:spacing w:after="0" w:line="195"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Service revenue growth of 28% and 29%, during the three and nine months ended September 30, 2023 compared to the same periods last year, respectively, was primarily driven by the strength of our security subscription revenue, which grew 34% in each period.</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billings were diversified on a geographic basis. During the three months ended September 30, 2023, approximately 50% of our billings in the aggregate were from over 100 countries that each individually contributed less than 3% of our billings.</w:t>
      </w:r>
    </w:p>
    <w:p>
      <w:pPr>
        <w:spacing w:after="0" w:line="184"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Operating expenses as a percentage of revenue increased 1.2 percentage points during the three months ended September 30, 2023 compared to the same period last year, mainly driven by an increase in personnel-related costs. Operating expenses as a percentage of revenue decreased 1.1 percentage points during the nine months ended September 30, 2023 compared to the same period last year, benefiting from the favorable impact of foreign currency fluctuations. Headcount increased to 13,618 employees and contractors as of September 30, 2023, an 8% increase compared to 12,595 as of December 31, 2022.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Macroeconomic Developments</w:t>
      </w:r>
    </w:p>
    <w:p>
      <w:pPr>
        <w:spacing w:after="0" w:line="239" w:lineRule="exact"/>
        <w:rPr>
          <w:sz w:val="20"/>
          <w:szCs w:val="20"/>
          <w:color w:val="auto"/>
        </w:rPr>
      </w:pPr>
    </w:p>
    <w:p>
      <w:pPr>
        <w:ind w:right="40" w:firstLine="405"/>
        <w:spacing w:after="0"/>
        <w:rPr>
          <w:sz w:val="20"/>
          <w:szCs w:val="20"/>
          <w:color w:val="auto"/>
        </w:rPr>
      </w:pPr>
      <w:r>
        <w:rPr>
          <w:rFonts w:ascii="Arial" w:cs="Arial" w:eastAsia="Arial" w:hAnsi="Arial"/>
          <w:sz w:val="18"/>
          <w:szCs w:val="18"/>
          <w:color w:val="212529"/>
        </w:rPr>
        <w:t>Our overall performance depends in part on worldwide economic and geopolitical conditions and their impact on customer behavior. Worsening economic conditions, including inflation, higher interest rates, slower growth, any recession, fluctuations in foreign exchange rates, instability in the global banking industry, and other changes in economic conditions, may result in decreased sales productivity and growth and adversely affect our results of operations and financial performance. We have seen certain impacts on our business, results of operations, financial condition, cash flows, liquidity and capital and financial resources such as longer sales cycles, delayed purchases and increased commitments with certain suppliers and increases inventory and inventory purchase commitment reserves.</w:t>
      </w:r>
    </w:p>
    <w:p>
      <w:pPr>
        <w:spacing w:after="0" w:line="216" w:lineRule="exact"/>
        <w:rPr>
          <w:sz w:val="20"/>
          <w:szCs w:val="20"/>
          <w:color w:val="auto"/>
        </w:rPr>
      </w:pPr>
    </w:p>
    <w:p>
      <w:pPr>
        <w:ind w:right="60" w:firstLine="405"/>
        <w:spacing w:after="0"/>
        <w:rPr>
          <w:sz w:val="20"/>
          <w:szCs w:val="20"/>
          <w:color w:val="auto"/>
        </w:rPr>
      </w:pPr>
      <w:r>
        <w:rPr>
          <w:rFonts w:ascii="Arial" w:cs="Arial" w:eastAsia="Arial" w:hAnsi="Arial"/>
          <w:sz w:val="18"/>
          <w:szCs w:val="18"/>
          <w:color w:val="212529"/>
        </w:rPr>
        <w:t xml:space="preserve">Our days sales outstanding decreased to 68 days in the </w:t>
      </w:r>
      <w:r>
        <w:rPr>
          <w:rFonts w:ascii="Arial" w:cs="Arial" w:eastAsia="Arial" w:hAnsi="Arial"/>
          <w:sz w:val="18"/>
          <w:szCs w:val="18"/>
          <w:color w:val="000000"/>
        </w:rPr>
        <w:t>third</w:t>
      </w:r>
      <w:r>
        <w:rPr>
          <w:rFonts w:ascii="Arial" w:cs="Arial" w:eastAsia="Arial" w:hAnsi="Arial"/>
          <w:sz w:val="18"/>
          <w:szCs w:val="18"/>
          <w:color w:val="212529"/>
        </w:rPr>
        <w:t xml:space="preserve"> quarter of 2023, compared to 75 days in the same period last year. The accounts receivable allowance for credit losses was </w:t>
      </w:r>
      <w:r>
        <w:rPr>
          <w:rFonts w:ascii="Arial" w:cs="Arial" w:eastAsia="Arial" w:hAnsi="Arial"/>
          <w:sz w:val="18"/>
          <w:szCs w:val="18"/>
          <w:color w:val="000000"/>
        </w:rPr>
        <w:t>$5.3 million</w:t>
      </w:r>
      <w:r>
        <w:rPr>
          <w:rFonts w:ascii="Arial" w:cs="Arial" w:eastAsia="Arial" w:hAnsi="Arial"/>
          <w:sz w:val="18"/>
          <w:szCs w:val="18"/>
          <w:color w:val="212529"/>
        </w:rPr>
        <w:t xml:space="preserve"> as of </w:t>
      </w:r>
      <w:r>
        <w:rPr>
          <w:rFonts w:ascii="Arial" w:cs="Arial" w:eastAsia="Arial" w:hAnsi="Arial"/>
          <w:sz w:val="18"/>
          <w:szCs w:val="18"/>
          <w:color w:val="000000"/>
        </w:rPr>
        <w:t>September 30, 2023</w:t>
      </w:r>
      <w:r>
        <w:rPr>
          <w:rFonts w:ascii="Arial" w:cs="Arial" w:eastAsia="Arial" w:hAnsi="Arial"/>
          <w:sz w:val="18"/>
          <w:szCs w:val="18"/>
          <w:color w:val="212529"/>
        </w:rPr>
        <w:t xml:space="preserve">, an increase of $1.7 million compared to </w:t>
      </w:r>
      <w:r>
        <w:rPr>
          <w:rFonts w:ascii="Arial" w:cs="Arial" w:eastAsia="Arial" w:hAnsi="Arial"/>
          <w:sz w:val="18"/>
          <w:szCs w:val="18"/>
          <w:color w:val="000000"/>
        </w:rPr>
        <w:t>$3.6 million</w:t>
      </w:r>
      <w:r>
        <w:rPr>
          <w:rFonts w:ascii="Arial" w:cs="Arial" w:eastAsia="Arial" w:hAnsi="Arial"/>
          <w:sz w:val="18"/>
          <w:szCs w:val="18"/>
          <w:color w:val="212529"/>
        </w:rPr>
        <w:t xml:space="preserve"> as of December 31, 2022, primarily due to an increase in past due invoices over 60 and 90 days.</w:t>
      </w:r>
    </w:p>
    <w:p>
      <w:pPr>
        <w:spacing w:after="0" w:line="216" w:lineRule="exact"/>
        <w:rPr>
          <w:sz w:val="20"/>
          <w:szCs w:val="20"/>
          <w:color w:val="auto"/>
        </w:rPr>
      </w:pPr>
    </w:p>
    <w:p>
      <w:pPr>
        <w:ind w:right="20" w:firstLine="405"/>
        <w:spacing w:after="0" w:line="259" w:lineRule="auto"/>
        <w:rPr>
          <w:sz w:val="20"/>
          <w:szCs w:val="20"/>
          <w:color w:val="auto"/>
        </w:rPr>
      </w:pPr>
      <w:r>
        <w:rPr>
          <w:rFonts w:ascii="Arial" w:cs="Arial" w:eastAsia="Arial" w:hAnsi="Arial"/>
          <w:sz w:val="17"/>
          <w:szCs w:val="17"/>
          <w:color w:val="212529"/>
        </w:rPr>
        <w:t>Worsening economic conditions may have a material negative impact on our results in future periods and may negatively impact our billings, revenue and costs, and may decrease growth and profitability. The extent of the impact of economic conditions on our operational and financial performance will depend on ongoing developments, including those discussed above and others identified in Part II, Item 1A “Risk Factors” in this Form 10-Q. Given the dynamic nature of these circumstances, the full impact of worsening economic conditions on our business and operations, results of operations, financial condition, cash flows, liquidity and capital and financial resources cannot be reasonably estimated at this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typically sell our security solutions to distributors that sell to networking security focused resellers and to certain service providers and managed security service providers (“MSSPs”), who, in turn, sell to end-customers or use our products and services to provide hosted solutions to other enterprises. At times, we also sell directly to certain large enterprise customers, large service providers and major systems integrators. In addition, we sell our software licenses and services via different cloud service provider platforms, directly and through our channel partners. Our end-customers are located in over 100 countries and include small, medium and large enterprises and government organizations across a wide range of industries, including financial services, government, healthcare, manufacturing, retail, technology and telecommunications. An end-customer deployment may involve as few as one or as many as thousands of Core Platform products as well as Enhanced Platform Technology products, depending on the end-customer’s size and security requirements.</w:t>
      </w:r>
    </w:p>
    <w:p>
      <w:pPr>
        <w:spacing w:after="0" w:line="221" w:lineRule="exact"/>
        <w:rPr>
          <w:sz w:val="20"/>
          <w:szCs w:val="20"/>
          <w:color w:val="auto"/>
        </w:rPr>
      </w:pPr>
    </w:p>
    <w:p>
      <w:pPr>
        <w:ind w:right="360" w:firstLine="648"/>
        <w:spacing w:after="0" w:line="294" w:lineRule="auto"/>
        <w:rPr>
          <w:sz w:val="20"/>
          <w:szCs w:val="20"/>
          <w:color w:val="auto"/>
        </w:rPr>
      </w:pPr>
      <w:r>
        <w:rPr>
          <w:rFonts w:ascii="Arial" w:cs="Arial" w:eastAsia="Arial" w:hAnsi="Arial"/>
          <w:sz w:val="16"/>
          <w:szCs w:val="16"/>
          <w:color w:val="auto"/>
        </w:rPr>
        <w:t>Our customers purchase our hardware products and software licenses, as well as our FortiGuard and other security subscription and FortiCare technical support services. We generally invoice at the time of our sale for the total price of the products and services. Standard payment terms are generally no more than 60 days, though we may offer extended payment terms to certain distributors or related to certain transactions.</w:t>
      </w:r>
    </w:p>
    <w:p>
      <w:pPr>
        <w:spacing w:after="0" w:line="174" w:lineRule="exact"/>
        <w:rPr>
          <w:sz w:val="20"/>
          <w:szCs w:val="20"/>
          <w:color w:val="auto"/>
        </w:rPr>
      </w:pPr>
    </w:p>
    <w:p>
      <w:pPr>
        <w:ind w:right="140" w:firstLine="648"/>
        <w:spacing w:after="0" w:line="262" w:lineRule="auto"/>
        <w:rPr>
          <w:sz w:val="20"/>
          <w:szCs w:val="20"/>
          <w:color w:val="auto"/>
        </w:rPr>
      </w:pPr>
      <w:r>
        <w:rPr>
          <w:rFonts w:ascii="Arial" w:cs="Arial" w:eastAsia="Arial" w:hAnsi="Arial"/>
          <w:sz w:val="17"/>
          <w:szCs w:val="17"/>
          <w:color w:val="auto"/>
        </w:rPr>
        <w:t>We also offer our products hosted in our own data centers, PoPs and through co-locations and major cloud service providers, including Google Cloud, Amazon Web Services and Microsoft Azure. We have also recognized revenue from customers who deploy our products in a bring-your-own-license (“BYOL”) arrangements at cloud service providers or at private clouds. In a BYOL arrangement, a customer purchases a software license through our channel partners and deploys the software in a cloud provider’s environment, in third-party clouds or in their private cloud.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monitor several key metrics, including the key financial metrics set forth below, to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 provided by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80"/>
        <w:spacing w:after="0" w:line="274" w:lineRule="auto"/>
        <w:rPr>
          <w:sz w:val="20"/>
          <w:szCs w:val="20"/>
          <w:color w:val="auto"/>
        </w:rPr>
      </w:pPr>
      <w:r>
        <w:rPr>
          <w:rFonts w:ascii="Arial" w:cs="Arial" w:eastAsia="Arial" w:hAnsi="Arial"/>
          <w:sz w:val="18"/>
          <w:szCs w:val="18"/>
          <w:color w:val="auto"/>
        </w:rPr>
        <w:t>operating activities below under “—Liquidity and Capital Resources.” Deferred revenue, billings (non-GAAP), and free cash flow (non-GAAP) are discussed immediately below the following table:</w:t>
      </w: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6"/>
                <w:szCs w:val="16"/>
                <w:b w:val="1"/>
                <w:bCs w:val="1"/>
                <w:color w:val="auto"/>
              </w:rPr>
              <w:t>Three Months Ended Or As Of</w:t>
            </w:r>
          </w:p>
        </w:tc>
      </w:tr>
      <w:tr>
        <w:trPr>
          <w:trHeight w:val="210"/>
        </w:trPr>
        <w:tc>
          <w:tcPr>
            <w:tcW w:w="8060" w:type="dxa"/>
            <w:vAlign w:val="bottom"/>
          </w:tcPr>
          <w:p>
            <w:pPr>
              <w:spacing w:after="0"/>
              <w:rPr>
                <w:sz w:val="18"/>
                <w:szCs w:val="18"/>
                <w:color w:val="auto"/>
              </w:rPr>
            </w:pPr>
          </w:p>
        </w:tc>
        <w:tc>
          <w:tcPr>
            <w:tcW w:w="15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w w:val="93"/>
              </w:rPr>
              <w:t>September 30, 2023</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2022</w:t>
            </w:r>
          </w:p>
        </w:tc>
      </w:tr>
      <w:tr>
        <w:trPr>
          <w:trHeight w:val="226"/>
        </w:trPr>
        <w:tc>
          <w:tcPr>
            <w:tcW w:w="8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(in millions)</w:t>
            </w:r>
          </w:p>
        </w:tc>
        <w:tc>
          <w:tcPr>
            <w:tcW w:w="860" w:type="dxa"/>
            <w:vAlign w:val="bottom"/>
          </w:tcPr>
          <w:p>
            <w:pPr>
              <w:spacing w:after="0"/>
              <w:rPr>
                <w:sz w:val="19"/>
                <w:szCs w:val="19"/>
                <w:color w:val="auto"/>
              </w:rPr>
            </w:pP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1,334.6</w:t>
            </w:r>
          </w:p>
        </w:tc>
        <w:tc>
          <w:tcPr>
            <w:tcW w:w="7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1,149.5</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Deferred revenue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5,285.3</w:t>
            </w:r>
          </w:p>
        </w:tc>
        <w:tc>
          <w:tcPr>
            <w:tcW w:w="7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4,193.5</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Billings (non-GAAP)</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1,491.3</w:t>
            </w:r>
          </w:p>
        </w:tc>
        <w:tc>
          <w:tcPr>
            <w:tcW w:w="7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1,411.0</w:t>
            </w: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551.2</w:t>
            </w:r>
          </w:p>
        </w:tc>
        <w:tc>
          <w:tcPr>
            <w:tcW w:w="7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483.0</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481.1</w:t>
            </w:r>
          </w:p>
        </w:tc>
        <w:tc>
          <w:tcPr>
            <w:tcW w:w="7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r>
    </w:tbl>
    <w:p>
      <w:pPr>
        <w:spacing w:after="0" w:line="310"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our deferred revenue balance consists of the unrecognized portion of service revenue from FortiGuard and other security subscriptions and FortiCare technical support service contracts, which is recognized as revenue ratably over the service term. We monitor our deferred revenue balance, short-term and total deferred revenue growth and the mix of short-term and long-term deferred revenue because deferred revenue represents a significant portion of free cash flow and of revenue to be recognized in future periods. Deferred revenue was $5.29 billion as of September 30, 2023, an increase of $645.0 million, or 14%, from December 31, 2022. Short term deferred revenue was $2.65 billion as of September 30, 2023, an increase of $298.0 million, or 13%, from December 31, 2022.</w:t>
      </w:r>
    </w:p>
    <w:p>
      <w:pPr>
        <w:spacing w:after="0" w:line="216"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i w:val="1"/>
          <w:iCs w:val="1"/>
          <w:color w:val="auto"/>
        </w:rPr>
        <w:t xml:space="preserve">Billings (non-GAAP). </w:t>
      </w:r>
      <w:r>
        <w:rPr>
          <w:rFonts w:ascii="Arial" w:cs="Arial" w:eastAsia="Arial" w:hAnsi="Arial"/>
          <w:sz w:val="18"/>
          <w:szCs w:val="18"/>
          <w:color w:val="auto"/>
        </w:rPr>
        <w:t>We define billings as revenue recognized in accordance with GAAP plus the change in deferred revenue from the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end of the period. We consider billings to be a useful metric for management and investors because billings drive current and future revenue, which is an important indicator of the health and viability of our business. There are several limitations related to the use of billings instead of GAAP revenue. First, billings include amounts that have not yet been recognized as revenue and are impacted by the term of FortiGuard security subscription and FortiCare technical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$1.49 billion for the three months ended September 30, 2023, an increase of 6% compared to $1.41 billion in the same period last year.</w:t>
      </w:r>
    </w:p>
    <w:p>
      <w:pPr>
        <w:spacing w:after="0" w:line="207"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During the three months ended September 30, 2023, our billings and product revenue fell below our expectations due to a slowdown in secure networking growth, along with challenges in sales execution and marketing programs. In addition, we believe secure networking growth in the near term may be below historical growth rates. In response to the slowdown in the secure networking market, we plan to shift our marketing and sales teams’ focus towards the faster growing SecOps and SASE markets over the next several quarters, while maintaining our continued focus on leading innovation in secure networking and the convergence of security and networking.</w:t>
      </w:r>
    </w:p>
    <w:p>
      <w:pPr>
        <w:spacing w:after="0" w:line="2" w:lineRule="exact"/>
        <w:rPr>
          <w:sz w:val="20"/>
          <w:szCs w:val="20"/>
          <w:color w:val="auto"/>
        </w:rPr>
      </w:pPr>
    </w:p>
    <w:p>
      <w:pPr>
        <w:ind w:right="640" w:firstLine="648"/>
        <w:spacing w:after="0" w:line="243" w:lineRule="auto"/>
        <w:rPr>
          <w:sz w:val="20"/>
          <w:szCs w:val="20"/>
          <w:color w:val="auto"/>
        </w:rPr>
      </w:pPr>
      <w:r>
        <w:rPr>
          <w:rFonts w:ascii="Arial" w:cs="Arial" w:eastAsia="Arial" w:hAnsi="Arial"/>
          <w:sz w:val="18"/>
          <w:szCs w:val="18"/>
          <w:color w:val="auto"/>
        </w:rPr>
        <w:t>We anticipate limited near-term growth in the secure networking market and shifting sales and marketing focus may result in certain risks, including go-to-market challenges, increased sales turnover and other execution challenges.</w:t>
      </w:r>
    </w:p>
    <w:p>
      <w:pPr>
        <w:spacing w:after="0" w:line="213" w:lineRule="exact"/>
        <w:rPr>
          <w:sz w:val="20"/>
          <w:szCs w:val="20"/>
          <w:color w:val="auto"/>
        </w:rPr>
      </w:pPr>
    </w:p>
    <w:p>
      <w:pPr>
        <w:ind w:right="240" w:firstLine="648"/>
        <w:spacing w:after="0" w:line="262" w:lineRule="auto"/>
        <w:rPr>
          <w:sz w:val="20"/>
          <w:szCs w:val="20"/>
          <w:color w:val="auto"/>
        </w:rPr>
      </w:pPr>
      <w:r>
        <w:rPr>
          <w:rFonts w:ascii="Arial" w:cs="Arial" w:eastAsia="Arial" w:hAnsi="Arial"/>
          <w:sz w:val="17"/>
          <w:szCs w:val="17"/>
          <w:color w:val="auto"/>
        </w:rPr>
        <w:t>Our backlog has fluctuated over past quarters and any decrease in growth or negative growth of in-quarter billings and revenue may not be reflected by our aggregate billings and revenue. As we have fulfilled, shipped and billed during a quarter to satisfy backlog, this has increased our aggregate billings and revenue during any particular quarter, and as the supply chain challenges normalize, the growth comparisons versus prior quarters where backlog contributed more to billings have become more challenging and may become increasingly challenging.</w:t>
      </w:r>
    </w:p>
    <w:p>
      <w:pPr>
        <w:spacing w:after="0" w:line="213" w:lineRule="exact"/>
        <w:rPr>
          <w:sz w:val="20"/>
          <w:szCs w:val="20"/>
          <w:color w:val="auto"/>
        </w:rPr>
      </w:pPr>
    </w:p>
    <w:p>
      <w:pPr>
        <w:ind w:right="400" w:firstLine="648"/>
        <w:spacing w:after="0" w:line="274" w:lineRule="auto"/>
        <w:rPr>
          <w:sz w:val="20"/>
          <w:szCs w:val="20"/>
          <w:color w:val="auto"/>
        </w:rPr>
      </w:pPr>
      <w:r>
        <w:rPr>
          <w:rFonts w:ascii="Arial" w:cs="Arial" w:eastAsia="Arial" w:hAnsi="Arial"/>
          <w:sz w:val="18"/>
          <w:szCs w:val="18"/>
          <w:color w:val="auto"/>
        </w:rPr>
        <w:t>A reconciliation of revenue, the most directly comparable financial measure calculated and presented in accordance with GAAP, to billings is provided below:</w:t>
      </w: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Borders>
              <w:bottom w:val="single" w:sz="8" w:color="auto"/>
            </w:tcBorders>
          </w:tcPr>
          <w:p>
            <w:pPr>
              <w:spacing w:after="0"/>
              <w:rPr>
                <w:sz w:val="18"/>
                <w:szCs w:val="18"/>
                <w:color w:val="auto"/>
              </w:rPr>
            </w:pPr>
          </w:p>
        </w:tc>
      </w:tr>
      <w:tr>
        <w:trPr>
          <w:trHeight w:val="210"/>
        </w:trPr>
        <w:tc>
          <w:tcPr>
            <w:tcW w:w="8060" w:type="dxa"/>
            <w:vAlign w:val="bottom"/>
          </w:tcPr>
          <w:p>
            <w:pPr>
              <w:spacing w:after="0"/>
              <w:rPr>
                <w:sz w:val="18"/>
                <w:szCs w:val="18"/>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September 30, 2023</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September 30, 2022</w:t>
            </w:r>
          </w:p>
        </w:tc>
      </w:tr>
      <w:tr>
        <w:trPr>
          <w:trHeight w:val="226"/>
        </w:trPr>
        <w:tc>
          <w:tcPr>
            <w:tcW w:w="8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gridSpan w:val="3"/>
          </w:tcPr>
          <w:p>
            <w:pPr>
              <w:jc w:val="right"/>
              <w:ind w:right="293"/>
              <w:spacing w:after="0"/>
              <w:rPr>
                <w:sz w:val="20"/>
                <w:szCs w:val="20"/>
                <w:color w:val="auto"/>
              </w:rPr>
            </w:pPr>
            <w:r>
              <w:rPr>
                <w:rFonts w:ascii="Arial" w:cs="Arial" w:eastAsia="Arial" w:hAnsi="Arial"/>
                <w:sz w:val="18"/>
                <w:szCs w:val="18"/>
                <w:b w:val="1"/>
                <w:bCs w:val="1"/>
                <w:color w:val="auto"/>
              </w:rPr>
              <w:t>(in millions)</w:t>
            </w:r>
          </w:p>
        </w:tc>
        <w:tc>
          <w:tcPr>
            <w:tcW w:w="720" w:type="dxa"/>
            <w:vAlign w:val="bottom"/>
          </w:tcPr>
          <w:p>
            <w:pPr>
              <w:spacing w:after="0"/>
              <w:rPr>
                <w:sz w:val="19"/>
                <w:szCs w:val="19"/>
                <w:color w:val="auto"/>
              </w:rPr>
            </w:pP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Billings: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1,334.6</w:t>
            </w:r>
          </w:p>
        </w:tc>
        <w:tc>
          <w:tcPr>
            <w:tcW w:w="120" w:type="dxa"/>
            <w:vAlign w:val="bottom"/>
          </w:tcPr>
          <w:p>
            <w:pPr>
              <w:spacing w:after="0"/>
              <w:rPr>
                <w:sz w:val="19"/>
                <w:szCs w:val="19"/>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1,149.5</w:t>
            </w:r>
          </w:p>
        </w:tc>
      </w:tr>
      <w:tr>
        <w:trPr>
          <w:trHeight w:val="230"/>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Change in deferred revenue</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Total billings (non-GAAP)</w:t>
            </w: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1,491.3</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1,411.0</w:t>
            </w:r>
          </w:p>
        </w:tc>
      </w:tr>
      <w:tr>
        <w:trPr>
          <w:trHeight w:val="20"/>
        </w:trPr>
        <w:tc>
          <w:tcPr>
            <w:tcW w:w="8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Free cash flow (non-GAAP). </w:t>
      </w:r>
      <w:r>
        <w:rPr>
          <w:rFonts w:ascii="Arial" w:cs="Arial" w:eastAsia="Arial" w:hAnsi="Arial"/>
          <w:sz w:val="17"/>
          <w:szCs w:val="17"/>
          <w:color w:val="auto"/>
        </w:rPr>
        <w:t>We define free cash flow as net cash provided by operating activities minus purchases of property and equipment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r>
      <w:tr>
        <w:trPr>
          <w:trHeight w:val="210"/>
        </w:trPr>
        <w:tc>
          <w:tcPr>
            <w:tcW w:w="8060" w:type="dxa"/>
            <w:vAlign w:val="bottom"/>
          </w:tcPr>
          <w:p>
            <w:pPr>
              <w:spacing w:after="0"/>
              <w:rPr>
                <w:sz w:val="18"/>
                <w:szCs w:val="18"/>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93"/>
              </w:rPr>
              <w:t>September 30, 2023</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September 30, 2022</w:t>
            </w:r>
          </w:p>
        </w:tc>
      </w:tr>
      <w:tr>
        <w:trPr>
          <w:trHeight w:val="226"/>
        </w:trPr>
        <w:tc>
          <w:tcPr>
            <w:tcW w:w="8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60" w:type="dxa"/>
            <w:vAlign w:val="bottom"/>
            <w:gridSpan w:val="3"/>
          </w:tcPr>
          <w:p>
            <w:pPr>
              <w:jc w:val="right"/>
              <w:ind w:right="312"/>
              <w:spacing w:after="0"/>
              <w:rPr>
                <w:sz w:val="20"/>
                <w:szCs w:val="20"/>
                <w:color w:val="auto"/>
              </w:rPr>
            </w:pPr>
            <w:r>
              <w:rPr>
                <w:rFonts w:ascii="Arial" w:cs="Arial" w:eastAsia="Arial" w:hAnsi="Arial"/>
                <w:sz w:val="18"/>
                <w:szCs w:val="18"/>
                <w:b w:val="1"/>
                <w:bCs w:val="1"/>
                <w:color w:val="auto"/>
              </w:rPr>
              <w:t>(in millions)</w:t>
            </w:r>
          </w:p>
        </w:tc>
        <w:tc>
          <w:tcPr>
            <w:tcW w:w="700" w:type="dxa"/>
            <w:vAlign w:val="bottom"/>
          </w:tcPr>
          <w:p>
            <w:pPr>
              <w:spacing w:after="0"/>
              <w:rPr>
                <w:sz w:val="19"/>
                <w:szCs w:val="19"/>
                <w:color w:val="auto"/>
              </w:rPr>
            </w:pP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551.2</w:t>
            </w:r>
          </w:p>
        </w:tc>
        <w:tc>
          <w:tcPr>
            <w:tcW w:w="120" w:type="dxa"/>
            <w:vAlign w:val="bottom"/>
          </w:tcPr>
          <w:p>
            <w:pPr>
              <w:spacing w:after="0"/>
              <w:rPr>
                <w:sz w:val="19"/>
                <w:szCs w:val="19"/>
                <w:color w:val="auto"/>
              </w:rPr>
            </w:pP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483.0</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property and equipment</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Free cash flow (non-GAAP)</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481.1</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9"/>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460" w:type="dxa"/>
            <w:vAlign w:val="bottom"/>
            <w:tcBorders>
              <w:bottom w:val="single" w:sz="8" w:color="auto"/>
            </w:tcBorders>
          </w:tcPr>
          <w:p>
            <w:pPr>
              <w:jc w:val="right"/>
              <w:ind w:right="272"/>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(628.9)</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ind w:right="612"/>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(526.6)</w:t>
            </w:r>
          </w:p>
        </w:tc>
      </w:tr>
      <w:tr>
        <w:trPr>
          <w:trHeight w:val="20"/>
        </w:trPr>
        <w:tc>
          <w:tcPr>
            <w:tcW w:w="8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There were no material changes to our critical accounting policies and estimates as of and for the three and nine months ended September 30, 2023, as compared to the critical accounting policies and estimates described in our Annual Report on Form 10-K filed with the SEC on February 24, 2023 (the “Form 10-K”).</w:t>
      </w:r>
    </w:p>
    <w:p>
      <w:pPr>
        <w:spacing w:after="0" w:line="21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See Note 1 of the notes to condensed consolidated financial statements included in Part I, Item 1 of this Quarterly Report on Form 10-Q for information regarding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 and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5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15"/>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6"/>
                <w:szCs w:val="16"/>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465.9</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468.7</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420" w:type="dxa"/>
            <w:vAlign w:val="bottom"/>
          </w:tcPr>
          <w:p>
            <w:pPr>
              <w:ind w:left="104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1,334.6</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1,149.5</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16 %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by geography:</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545.6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467.6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78.0</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17 %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Arial" w:cs="Arial" w:eastAsia="Arial" w:hAnsi="Arial"/>
                <w:sz w:val="18"/>
                <w:szCs w:val="18"/>
                <w:color w:val="auto"/>
              </w:rPr>
              <w:t>APAC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276.8</w:t>
            </w:r>
          </w:p>
        </w:tc>
        <w:tc>
          <w:tcPr>
            <w:tcW w:w="1460" w:type="dxa"/>
            <w:vAlign w:val="bottom"/>
            <w:gridSpan w:val="3"/>
          </w:tcPr>
          <w:p>
            <w:pPr>
              <w:jc w:val="right"/>
              <w:ind w:right="13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238.0</w:t>
            </w:r>
          </w:p>
        </w:tc>
        <w:tc>
          <w:tcPr>
            <w:tcW w:w="1460" w:type="dxa"/>
            <w:vAlign w:val="bottom"/>
            <w:gridSpan w:val="3"/>
          </w:tcPr>
          <w:p>
            <w:pPr>
              <w:jc w:val="right"/>
              <w:ind w:right="13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w:t>
            </w:r>
          </w:p>
        </w:tc>
        <w:tc>
          <w:tcPr>
            <w:tcW w:w="1420" w:type="dxa"/>
            <w:vAlign w:val="bottom"/>
          </w:tcPr>
          <w:p>
            <w:pPr>
              <w:ind w:left="10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420" w:type="dxa"/>
            <w:vAlign w:val="bottom"/>
            <w:tcBorders>
              <w:top w:val="single" w:sz="8" w:color="CCEEFF"/>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2"/>
              </w:rPr>
              <w:t>16 %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Total revenue increased $185.1 million, or 16%, during the three months ended September 30, 2023 compared to the same period last year. We continued to experience large organic revenue growth (i.e., revenue growth excluding attribution from recent acquisitions) with diversification of revenue geographically, and across both customers and industries. Revenue from all regions grew, with the Americas contributing the largest portion of the increase on an absolute dollar basis and on a percentage basis.</w:t>
      </w:r>
    </w:p>
    <w:p>
      <w:pPr>
        <w:spacing w:after="0" w:line="215" w:lineRule="exact"/>
        <w:rPr>
          <w:sz w:val="20"/>
          <w:szCs w:val="20"/>
          <w:color w:val="auto"/>
        </w:rPr>
      </w:pPr>
    </w:p>
    <w:p>
      <w:pPr>
        <w:ind w:right="480" w:firstLine="648"/>
        <w:spacing w:after="0"/>
        <w:rPr>
          <w:sz w:val="20"/>
          <w:szCs w:val="20"/>
          <w:color w:val="auto"/>
        </w:rPr>
      </w:pPr>
      <w:r>
        <w:rPr>
          <w:rFonts w:ascii="Arial" w:cs="Arial" w:eastAsia="Arial" w:hAnsi="Arial"/>
          <w:sz w:val="18"/>
          <w:szCs w:val="18"/>
          <w:color w:val="auto"/>
        </w:rPr>
        <w:t>Product revenue decreased $2.8 million, or 1%, during the three months ended September 30, 2023 compared to the same period last year, reflecting product lead times and backlog aligning with historical levels, and decreased demand for our network security products as product demand returns to normal levels following approximately two years of elevated growth.</w:t>
      </w:r>
    </w:p>
    <w:p>
      <w:pPr>
        <w:spacing w:after="0" w:line="216"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Service revenue increased $187.9 million, or 28%, during the three months ended September 30, 2023 compared to the same period last year. Security subscription revenue increased $124.8 million, or 34%, and technical support and other services revenue increased $63.1 million, or 20%, during the three months ended September 30, 2023 compared to the same period last year. The increases were primarily due to pricing actions in prior periods and the recognition of revenue from our growing deferred revenue balance related to security subscriptions. Security subscriptions outpaced technical support growth due to expansion of our SaaS-based security subscription service offerings. We expect that our ability to grow our service revenue will be impacted by slowing product revenue growth in recent periods and our ability to provide converged networking and security SASE solutions and to consolidate point products with our integrated SecOps platform of products to our customers.</w:t>
      </w:r>
    </w:p>
    <w:p>
      <w:pPr>
        <w:spacing w:after="0" w:line="207"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Of the service revenue recognized during the three months ended September 30, 2023, 88% was included in the deferred revenue balance as of June 30, 2023. Of the service revenue recognized during the three months ended September 30, 2022, 88% was included in the deferred revenue balance as of June 30, 2022. We expect service revenue will continue to benefit from previous pricing actions. However, there are risks to service revenue growth rates, including customers reducing their spending, pricing actions, supply chain constraints, renewal rates, customers taking longer to buy their service and other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153"/>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6"/>
                <w:szCs w:val="16"/>
                <w:color w:val="auto"/>
              </w:rPr>
            </w:pPr>
          </w:p>
        </w:tc>
        <w:tc>
          <w:tcPr>
            <w:tcW w:w="1400" w:type="dxa"/>
            <w:vAlign w:val="bottom"/>
            <w:vMerge w:val="restart"/>
          </w:tcPr>
          <w:p>
            <w:pPr>
              <w:jc w:val="right"/>
              <w:ind w:right="532"/>
              <w:spacing w:after="0"/>
              <w:rPr>
                <w:sz w:val="20"/>
                <w:szCs w:val="20"/>
                <w:color w:val="auto"/>
              </w:rPr>
            </w:pPr>
            <w:r>
              <w:rPr>
                <w:rFonts w:ascii="Arial" w:cs="Arial" w:eastAsia="Arial" w:hAnsi="Arial"/>
                <w:sz w:val="16"/>
                <w:szCs w:val="16"/>
                <w:b w:val="1"/>
                <w:bCs w:val="1"/>
                <w:color w:val="auto"/>
              </w:rPr>
              <w:t>Change</w:t>
            </w:r>
          </w:p>
        </w:tc>
        <w:tc>
          <w:tcPr>
            <w:tcW w:w="202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(in millions, except percentages)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53"/>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33"/>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13.1</w:t>
            </w:r>
          </w:p>
        </w:tc>
        <w:tc>
          <w:tcPr>
            <w:tcW w:w="20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2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 (%):</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gross margin</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240" w:firstLine="648"/>
        <w:spacing w:after="0" w:line="248" w:lineRule="auto"/>
        <w:rPr>
          <w:sz w:val="20"/>
          <w:szCs w:val="20"/>
          <w:color w:val="auto"/>
        </w:rPr>
      </w:pPr>
      <w:r>
        <w:rPr>
          <w:rFonts w:ascii="Arial" w:cs="Arial" w:eastAsia="Arial" w:hAnsi="Arial"/>
          <w:sz w:val="18"/>
          <w:szCs w:val="18"/>
          <w:color w:val="auto"/>
        </w:rPr>
        <w:t>Total gross margin increased 0.8 percentage points during the three months ended September 30, 2023 compared to the same period last year, primarily driven by a shift in the revenue mix and increased service gross margin, partially offset by decreased product gross margin. As a percentage of total revenue, the revenue mix shifted 5.9 percentage points from product revenue to service revenue.</w:t>
      </w:r>
    </w:p>
    <w:p>
      <w:pPr>
        <w:spacing w:after="0" w:line="195" w:lineRule="exact"/>
        <w:rPr>
          <w:sz w:val="20"/>
          <w:szCs w:val="20"/>
          <w:color w:val="auto"/>
        </w:rPr>
      </w:pPr>
    </w:p>
    <w:p>
      <w:pPr>
        <w:ind w:right="160" w:firstLine="648"/>
        <w:spacing w:after="0" w:line="243" w:lineRule="auto"/>
        <w:rPr>
          <w:sz w:val="20"/>
          <w:szCs w:val="20"/>
          <w:color w:val="auto"/>
        </w:rPr>
      </w:pPr>
      <w:r>
        <w:rPr>
          <w:rFonts w:ascii="Arial" w:cs="Arial" w:eastAsia="Arial" w:hAnsi="Arial"/>
          <w:sz w:val="18"/>
          <w:szCs w:val="18"/>
          <w:color w:val="auto"/>
        </w:rPr>
        <w:t>Product gross margin decreased 3.1 percentage points during the three months ended September 30, 2023 compared to the same period last year, primarily due to inventory and inventory purchase commitments related reserves expense, partially offset by lower expedite fees, freight expenses and a shift in revenue mix from hardware to software. Cost of product revenue was comprised primarily of third-party contract manufacturers’ costs, costs of materials used in production and inventory reserves.</w:t>
      </w:r>
    </w:p>
    <w:p>
      <w:pPr>
        <w:spacing w:after="0" w:line="215"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Service gross margin increased 0.7 percentage points during the three months ended September 30, 2023 compared to the same period last year. Cost of service revenue was comprised primarily of personnel-related costs and costs of hosted solutions. The increase in service gross margin was primarily driven by pricing actions in earlier periods. We continue to expand our hosted solutions, including SASE architectures. We consider our single vendor SASE solution opening to be a new market, and one where our SD-WAN installed base can be leveraged as a market access point. We significantly expanded our PoP deployment through our recently announced partnership with Google Cloud. We are making investments in our own PoPs as well as working with third-party service providers. In addition, we continue to expand our SecOps capabilities with AI technology, additional functions and enhanced integration.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5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25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2023</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794"/>
              <w:spacing w:after="0"/>
              <w:rPr>
                <w:sz w:val="20"/>
                <w:szCs w:val="20"/>
                <w:color w:val="auto"/>
              </w:rPr>
            </w:pPr>
            <w:r>
              <w:rPr>
                <w:rFonts w:ascii="Arial" w:cs="Arial" w:eastAsia="Arial" w:hAnsi="Arial"/>
                <w:sz w:val="16"/>
                <w:szCs w:val="16"/>
                <w:b w:val="1"/>
                <w:bCs w:val="1"/>
                <w:color w:val="auto"/>
                <w:w w:val="95"/>
              </w:rPr>
              <w:t>2022</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6"/>
                <w:szCs w:val="16"/>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vMerge w:val="continue"/>
          </w:tcPr>
          <w:p>
            <w:pPr>
              <w:spacing w:after="0"/>
              <w:rPr>
                <w:sz w:val="18"/>
                <w:szCs w:val="18"/>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89"/>
              </w:rPr>
              <w:t>Revenue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8"/>
              </w:rPr>
              <w:t>(in millions, except percentages)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22.6</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17 %</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1420" w:type="dxa"/>
            <w:vAlign w:val="bottom"/>
          </w:tcPr>
          <w:p>
            <w:pPr>
              <w:ind w:left="10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IP matter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7"/>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19 %</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Percentages have been rounded for presentation purposes and may differ from unrounded results.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3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7"/>
          <w:szCs w:val="17"/>
          <w:color w:val="auto"/>
        </w:rPr>
        <w:t>Research and development expense increased $22.6 million, or 17%, during the three months ended September 30, 2023 compared to the same period last year, primarily due to a $18.8 million increase in personnel-related costs as a result of increased headcount to support the development of new products and continued enhancements to our existing products. In addition, we incurred an increase of $2.5 million of depreciation and other occupancy costs. We currently intend to continue investing in our research and development organization and expect our research and development expense to increase in absolute dollars year over year during the remainder of 2023.</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39" w:lineRule="exact"/>
        <w:rPr>
          <w:sz w:val="20"/>
          <w:szCs w:val="20"/>
          <w:color w:val="auto"/>
        </w:rPr>
      </w:pPr>
    </w:p>
    <w:p>
      <w:pPr>
        <w:ind w:right="240" w:firstLine="648"/>
        <w:spacing w:after="0" w:line="280" w:lineRule="auto"/>
        <w:rPr>
          <w:sz w:val="20"/>
          <w:szCs w:val="20"/>
          <w:color w:val="auto"/>
        </w:rPr>
      </w:pPr>
      <w:r>
        <w:rPr>
          <w:rFonts w:ascii="Arial" w:cs="Arial" w:eastAsia="Arial" w:hAnsi="Arial"/>
          <w:sz w:val="16"/>
          <w:szCs w:val="16"/>
          <w:color w:val="auto"/>
        </w:rPr>
        <w:t>Sales and marketing expense increased $77.3 million, or 18%, during the three months ended September 30, 2023 compared to the same period last year, primarily due to a $62.0 million increase in personnel-related costs as we increased our sales and pipeline generation capacity. The increase in</w:t>
      </w:r>
    </w:p>
    <w:p>
      <w:pPr>
        <w:spacing w:after="0"/>
        <w:rPr>
          <w:sz w:val="20"/>
          <w:szCs w:val="20"/>
          <w:color w:val="auto"/>
        </w:rPr>
      </w:pPr>
      <w:r>
        <w:rPr>
          <w:rFonts w:ascii="Arial" w:cs="Arial" w:eastAsia="Arial" w:hAnsi="Arial"/>
          <w:sz w:val="16"/>
          <w:szCs w:val="16"/>
          <w:color w:val="auto"/>
        </w:rPr>
        <w:t>headcount is expected to help drive global market revenue increases</w:t>
      </w:r>
      <w:r>
        <w:rPr>
          <w:rFonts w:ascii="Arial" w:cs="Arial" w:eastAsia="Arial" w:hAnsi="Arial"/>
          <w:sz w:val="19"/>
          <w:szCs w:val="19"/>
          <w:color w:val="auto"/>
        </w:rPr>
        <w:t>.</w:t>
      </w:r>
      <w:r>
        <w:rPr>
          <w:rFonts w:ascii="Arial" w:cs="Arial" w:eastAsia="Arial" w:hAnsi="Arial"/>
          <w:sz w:val="16"/>
          <w:szCs w:val="16"/>
          <w:color w:val="auto"/>
        </w:rPr>
        <w:t xml:space="preserve"> In addition, we incurred increases in depreciation and other occupancy expense of</w:t>
      </w:r>
    </w:p>
    <w:p>
      <w:pPr>
        <w:spacing w:after="0" w:line="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$3.4 million and travel expense of $3.2 million. We currently intend to continue making investments in sales and marketing resources critical to support our future growth and expect our sales and marketing expenses to increase in absolute dollars year over year during the remainder of 2023.</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39"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General and administrative expense increased $12.8 million, or 31%, during the three months ended September 30, 2023 compared to the same period last year, primarily due to an increase of $8.2 million in legal related fees and other professional service fees, $2.8 million in personnel-related costs and an increase of $1.5 million in provision for expected credit losses. We currently expect general and administrative expenses to increase in absolute dollars year over year during the remainder of 2023.</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39"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We generated operating income of $303.2 million during the three months ended September 30, 2023, an increase of $37.7 million, or 14%, compared to $265.5 million in the same period last year. Operating margin was 22.7% during the three months ended September 30, 2023, compared to 23.1% in the same period last year. The decrease in operating margin was primarily due to 0.6 percentage points increase in sales and marketing expense and 0.5 percentage points increase in general and administrative expense as a percentage of revenue, respectively, partially offset by 0.8 percentage points increase in gross margin.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center"/>
              <w:ind w:right="235"/>
              <w:spacing w:after="0"/>
              <w:rPr>
                <w:sz w:val="20"/>
                <w:szCs w:val="20"/>
                <w:color w:val="auto"/>
              </w:rPr>
            </w:pPr>
            <w:r>
              <w:rPr>
                <w:rFonts w:ascii="Arial" w:cs="Arial" w:eastAsia="Arial" w:hAnsi="Arial"/>
                <w:sz w:val="16"/>
                <w:szCs w:val="16"/>
                <w:b w:val="1"/>
                <w:bCs w:val="1"/>
                <w:color w:val="auto"/>
                <w:w w:val="91"/>
              </w:rPr>
              <w:t>September 30,</w:t>
            </w:r>
          </w:p>
        </w:tc>
        <w:tc>
          <w:tcPr>
            <w:tcW w:w="300" w:type="dxa"/>
            <w:vAlign w:val="bottom"/>
          </w:tcPr>
          <w:p>
            <w:pPr>
              <w:spacing w:after="0"/>
              <w:rPr>
                <w:sz w:val="16"/>
                <w:szCs w:val="16"/>
                <w:color w:val="auto"/>
              </w:rPr>
            </w:pPr>
          </w:p>
        </w:tc>
        <w:tc>
          <w:tcPr>
            <w:tcW w:w="1540" w:type="dxa"/>
            <w:vAlign w:val="bottom"/>
          </w:tcPr>
          <w:p>
            <w:pPr>
              <w:jc w:val="center"/>
              <w:ind w:right="155"/>
              <w:spacing w:after="0"/>
              <w:rPr>
                <w:sz w:val="20"/>
                <w:szCs w:val="20"/>
                <w:color w:val="auto"/>
              </w:rPr>
            </w:pPr>
            <w:r>
              <w:rPr>
                <w:rFonts w:ascii="Arial" w:cs="Arial" w:eastAsia="Arial" w:hAnsi="Arial"/>
                <w:sz w:val="16"/>
                <w:szCs w:val="16"/>
                <w:b w:val="1"/>
                <w:bCs w:val="1"/>
                <w:color w:val="auto"/>
                <w:w w:val="89"/>
              </w:rPr>
              <w:t>September 30,</w:t>
            </w:r>
          </w:p>
        </w:tc>
        <w:tc>
          <w:tcPr>
            <w:tcW w:w="480" w:type="dxa"/>
            <w:vAlign w:val="bottom"/>
          </w:tcPr>
          <w:p>
            <w:pPr>
              <w:spacing w:after="0"/>
              <w:rPr>
                <w:sz w:val="16"/>
                <w:szCs w:val="16"/>
                <w:color w:val="auto"/>
              </w:rPr>
            </w:pPr>
          </w:p>
        </w:tc>
        <w:tc>
          <w:tcPr>
            <w:tcW w:w="17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Change</w:t>
            </w:r>
          </w:p>
        </w:tc>
        <w:tc>
          <w:tcPr>
            <w:tcW w:w="170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3"/>
          </w:tcPr>
          <w:p>
            <w:pPr>
              <w:ind w:left="560"/>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37.0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center"/>
              <w:ind w:left="1095"/>
              <w:spacing w:after="0"/>
              <w:rPr>
                <w:sz w:val="20"/>
                <w:szCs w:val="20"/>
                <w:color w:val="auto"/>
              </w:rPr>
            </w:pPr>
            <w:r>
              <w:rPr>
                <w:rFonts w:ascii="Arial" w:cs="Arial" w:eastAsia="Arial" w:hAnsi="Arial"/>
                <w:sz w:val="18"/>
                <w:szCs w:val="18"/>
                <w:color w:val="auto"/>
                <w:w w:val="95"/>
              </w:rPr>
              <w:t>4.6</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32.4</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704 %</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Pr>
          <w:p>
            <w:pPr>
              <w:ind w:left="1160"/>
              <w:spacing w:after="0"/>
              <w:rPr>
                <w:sz w:val="20"/>
                <w:szCs w:val="20"/>
                <w:color w:val="auto"/>
              </w:rPr>
            </w:pPr>
            <w:r>
              <w:rPr>
                <w:rFonts w:ascii="Arial" w:cs="Arial" w:eastAsia="Arial" w:hAnsi="Arial"/>
                <w:sz w:val="18"/>
                <w:szCs w:val="18"/>
                <w:color w:val="auto"/>
              </w:rPr>
              <w:t>(5.4)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center"/>
              <w:ind w:left="1075"/>
              <w:spacing w:after="0"/>
              <w:rPr>
                <w:sz w:val="20"/>
                <w:szCs w:val="20"/>
                <w:color w:val="auto"/>
              </w:rPr>
            </w:pPr>
            <w:r>
              <w:rPr>
                <w:rFonts w:ascii="Arial" w:cs="Arial" w:eastAsia="Arial" w:hAnsi="Arial"/>
                <w:sz w:val="18"/>
                <w:szCs w:val="18"/>
                <w:color w:val="auto"/>
                <w:w w:val="91"/>
              </w:rPr>
              <w:t>(4.5)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ind w:left="1040"/>
              <w:spacing w:after="0"/>
              <w:rPr>
                <w:sz w:val="20"/>
                <w:szCs w:val="20"/>
                <w:color w:val="auto"/>
              </w:rPr>
            </w:pPr>
            <w:r>
              <w:rPr>
                <w:rFonts w:ascii="Arial" w:cs="Arial" w:eastAsia="Arial" w:hAnsi="Arial"/>
                <w:sz w:val="18"/>
                <w:szCs w:val="18"/>
                <w:color w:val="auto"/>
              </w:rPr>
              <w:t>(0.9)</w:t>
            </w:r>
          </w:p>
        </w:tc>
        <w:tc>
          <w:tcPr>
            <w:tcW w:w="170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center"/>
              <w:ind w:left="1075"/>
              <w:spacing w:after="0"/>
              <w:rPr>
                <w:sz w:val="20"/>
                <w:szCs w:val="20"/>
                <w:color w:val="auto"/>
              </w:rPr>
            </w:pPr>
            <w:r>
              <w:rPr>
                <w:rFonts w:ascii="Arial" w:cs="Arial" w:eastAsia="Arial" w:hAnsi="Arial"/>
                <w:sz w:val="18"/>
                <w:szCs w:val="18"/>
                <w:color w:val="auto"/>
                <w:w w:val="91"/>
              </w:rPr>
              <w:t>(0.9)</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(6.1)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678 %</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Interest income increased $32.4 million during the three months ended September 30, 2023 compared to the same period last year, as a result of higher interest rates and greater investment balances. Interest income varies depending on our average investment balances during the period, types and mix of investments, and market interest rates. Interest expense remained comparatively flat during the three months ended September 30, 2023 compared to the same period last year. The $6.1 million decrease in Other expense—net during the three months ended September 30, 2023 compared to the same period last year, was primarily due to a $4.9 million loss on marketable equity securities and $0.9 million increase in foreign currency exchange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3"/>
          </w:tcPr>
          <w:p>
            <w:pPr>
              <w:jc w:val="right"/>
              <w:ind w:right="1115"/>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center"/>
              <w:ind w:right="235"/>
              <w:spacing w:after="0"/>
              <w:rPr>
                <w:sz w:val="20"/>
                <w:szCs w:val="20"/>
                <w:color w:val="auto"/>
              </w:rPr>
            </w:pPr>
            <w:r>
              <w:rPr>
                <w:rFonts w:ascii="Arial" w:cs="Arial" w:eastAsia="Arial" w:hAnsi="Arial"/>
                <w:sz w:val="16"/>
                <w:szCs w:val="16"/>
                <w:b w:val="1"/>
                <w:bCs w:val="1"/>
                <w:color w:val="auto"/>
                <w:w w:val="89"/>
              </w:rPr>
              <w:t>September 30,</w:t>
            </w:r>
          </w:p>
        </w:tc>
        <w:tc>
          <w:tcPr>
            <w:tcW w:w="340" w:type="dxa"/>
            <w:vAlign w:val="bottom"/>
          </w:tcPr>
          <w:p>
            <w:pPr>
              <w:spacing w:after="0"/>
              <w:rPr>
                <w:sz w:val="16"/>
                <w:szCs w:val="16"/>
                <w:color w:val="auto"/>
              </w:rPr>
            </w:pPr>
          </w:p>
        </w:tc>
        <w:tc>
          <w:tcPr>
            <w:tcW w:w="1600" w:type="dxa"/>
            <w:vAlign w:val="bottom"/>
          </w:tcPr>
          <w:p>
            <w:pPr>
              <w:jc w:val="right"/>
              <w:ind w:right="375"/>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Pr>
          <w:p>
            <w:pPr>
              <w:spacing w:after="0"/>
              <w:rPr>
                <w:sz w:val="16"/>
                <w:szCs w:val="16"/>
                <w:color w:val="auto"/>
              </w:rPr>
            </w:pPr>
          </w:p>
        </w:tc>
        <w:tc>
          <w:tcPr>
            <w:tcW w:w="1680" w:type="dxa"/>
            <w:vAlign w:val="bottom"/>
            <w:vMerge w:val="restart"/>
          </w:tcPr>
          <w:p>
            <w:pPr>
              <w:jc w:val="right"/>
              <w:ind w:right="815"/>
              <w:spacing w:after="0"/>
              <w:rPr>
                <w:sz w:val="20"/>
                <w:szCs w:val="20"/>
                <w:color w:val="auto"/>
              </w:rPr>
            </w:pPr>
            <w:r>
              <w:rPr>
                <w:rFonts w:ascii="Arial" w:cs="Arial" w:eastAsia="Arial" w:hAnsi="Arial"/>
                <w:sz w:val="16"/>
                <w:szCs w:val="16"/>
                <w:b w:val="1"/>
                <w:bCs w:val="1"/>
                <w:color w:val="auto"/>
              </w:rPr>
              <w:t>Change</w:t>
            </w:r>
          </w:p>
        </w:tc>
        <w:tc>
          <w:tcPr>
            <w:tcW w:w="1660" w:type="dxa"/>
            <w:vAlign w:val="bottom"/>
            <w:vMerge w:val="restart"/>
          </w:tcPr>
          <w:p>
            <w:pPr>
              <w:jc w:val="right"/>
              <w:ind w:right="47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20" w:type="dxa"/>
            <w:vAlign w:val="bottom"/>
            <w:gridSpan w:val="3"/>
          </w:tcPr>
          <w:p>
            <w:pPr>
              <w:jc w:val="right"/>
              <w:ind w:right="975"/>
              <w:spacing w:after="0"/>
              <w:rPr>
                <w:sz w:val="20"/>
                <w:szCs w:val="20"/>
                <w:color w:val="auto"/>
              </w:rPr>
            </w:pPr>
            <w:r>
              <w:rPr>
                <w:rFonts w:ascii="Arial" w:cs="Arial" w:eastAsia="Arial" w:hAnsi="Arial"/>
                <w:sz w:val="16"/>
                <w:szCs w:val="16"/>
                <w:b w:val="1"/>
                <w:bCs w:val="1"/>
                <w:color w:val="auto"/>
              </w:rPr>
              <w:t>(in millions, except percentages)</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27.3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(27.6)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10 %</w:t>
            </w: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160" w:firstLine="648"/>
        <w:spacing w:after="0" w:line="262" w:lineRule="auto"/>
        <w:rPr>
          <w:sz w:val="20"/>
          <w:szCs w:val="20"/>
          <w:color w:val="auto"/>
        </w:rPr>
      </w:pPr>
      <w:r>
        <w:rPr>
          <w:rFonts w:ascii="Arial" w:cs="Arial" w:eastAsia="Arial" w:hAnsi="Arial"/>
          <w:sz w:val="17"/>
          <w:szCs w:val="17"/>
          <w:color w:val="auto"/>
        </w:rPr>
        <w:t>Our effective tax rate was 0% for the three months ended September 30, 2023 compared to an effective tax rate of 10% for the same period last year. The benefit from income taxes for the three months ended September 30, 2023 was primarily comprised of U.S. federal and state taxes, withholding taxes and foreign taxes totaling $50.2 million, which were favorably affected by a tax benefit of $41.9 million from the foreign-derived intangible income deduction (the “FDII deduction”) and excess tax benefits from stock-based compensation expense of $8.6 million.</w:t>
      </w:r>
    </w:p>
    <w:p>
      <w:pPr>
        <w:spacing w:after="0" w:line="199" w:lineRule="exact"/>
        <w:rPr>
          <w:sz w:val="20"/>
          <w:szCs w:val="20"/>
          <w:color w:val="auto"/>
        </w:rPr>
      </w:pPr>
    </w:p>
    <w:p>
      <w:pPr>
        <w:jc w:val="both"/>
        <w:ind w:right="100" w:firstLine="648"/>
        <w:spacing w:after="0" w:line="248" w:lineRule="auto"/>
        <w:rPr>
          <w:sz w:val="20"/>
          <w:szCs w:val="20"/>
          <w:color w:val="auto"/>
        </w:rPr>
      </w:pPr>
      <w:r>
        <w:rPr>
          <w:rFonts w:ascii="Arial" w:cs="Arial" w:eastAsia="Arial" w:hAnsi="Arial"/>
          <w:sz w:val="18"/>
          <w:szCs w:val="18"/>
          <w:color w:val="auto"/>
        </w:rPr>
        <w:t>The provision for income taxes for the three months ended September 30, 2022 was comprised of U.S. federal and state taxes, withholding taxes, and foreign taxes totaling $75.5 million, which were favorably affected by a tax benefit of $28.9 million from the FDII deduction, excess tax benefits from stock-based compensation expense of $19.3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Equity Method Investment</w:t>
      </w:r>
    </w:p>
    <w:p>
      <w:pPr>
        <w:spacing w:after="0" w:line="7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17145</wp:posOffset>
            </wp:positionV>
            <wp:extent cx="23056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6"/>
                <w:szCs w:val="16"/>
                <w:color w:val="auto"/>
              </w:rPr>
            </w:pPr>
          </w:p>
        </w:tc>
        <w:tc>
          <w:tcPr>
            <w:tcW w:w="1520" w:type="dxa"/>
            <w:vAlign w:val="bottom"/>
          </w:tcPr>
          <w:p>
            <w:pPr>
              <w:jc w:val="center"/>
              <w:ind w:right="177"/>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restart"/>
          </w:tcPr>
          <w:p>
            <w:pPr>
              <w:jc w:val="right"/>
              <w:ind w:right="535"/>
              <w:spacing w:after="0"/>
              <w:rPr>
                <w:sz w:val="20"/>
                <w:szCs w:val="20"/>
                <w:color w:val="auto"/>
              </w:rPr>
            </w:pPr>
            <w:r>
              <w:rPr>
                <w:rFonts w:ascii="Arial" w:cs="Arial" w:eastAsia="Arial" w:hAnsi="Arial"/>
                <w:sz w:val="16"/>
                <w:szCs w:val="16"/>
                <w:b w:val="1"/>
                <w:bCs w:val="1"/>
                <w:color w:val="auto"/>
              </w:rPr>
              <w:t>Change</w:t>
            </w:r>
          </w:p>
        </w:tc>
        <w:tc>
          <w:tcPr>
            <w:tcW w:w="100" w:type="dxa"/>
            <w:vAlign w:val="bottom"/>
            <w:vMerge w:val="restart"/>
          </w:tcPr>
          <w:p>
            <w:pPr>
              <w:spacing w:after="0"/>
              <w:rPr>
                <w:sz w:val="16"/>
                <w:szCs w:val="16"/>
                <w:color w:val="auto"/>
              </w:rPr>
            </w:pPr>
          </w:p>
        </w:tc>
        <w:tc>
          <w:tcPr>
            <w:tcW w:w="1920" w:type="dxa"/>
            <w:vAlign w:val="bottom"/>
            <w:vMerge w:val="restart"/>
          </w:tcPr>
          <w:p>
            <w:pPr>
              <w:jc w:val="right"/>
              <w:ind w:right="51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6"/>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7"/>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5"/>
          </w:tcPr>
          <w:p>
            <w:pPr>
              <w:ind w:left="540"/>
              <w:spacing w:after="0"/>
              <w:rPr>
                <w:sz w:val="20"/>
                <w:szCs w:val="20"/>
                <w:color w:val="auto"/>
              </w:rPr>
            </w:pPr>
            <w:r>
              <w:rPr>
                <w:rFonts w:ascii="Arial" w:cs="Arial" w:eastAsia="Arial" w:hAnsi="Arial"/>
                <w:sz w:val="16"/>
                <w:szCs w:val="16"/>
                <w:b w:val="1"/>
                <w:bCs w:val="1"/>
                <w:color w:val="auto"/>
              </w:rPr>
              <w:t>(in millions, except percentages)</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80" w:firstLine="648"/>
        <w:spacing w:after="0" w:line="248" w:lineRule="auto"/>
        <w:rPr>
          <w:sz w:val="20"/>
          <w:szCs w:val="20"/>
          <w:color w:val="auto"/>
        </w:rPr>
      </w:pPr>
      <w:r>
        <w:rPr>
          <w:rFonts w:ascii="Arial" w:cs="Arial" w:eastAsia="Arial" w:hAnsi="Arial"/>
          <w:sz w:val="18"/>
          <w:szCs w:val="18"/>
          <w:color w:val="auto"/>
        </w:rPr>
        <w:t>Loss from equity method investment decreased $1.1 million during the three months ended September 30, 2023 compared to the same period last year, as our proportionate share of Linksys’ financial results including our share of the amortization of the basis differences improved over the same period last year.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and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6"/>
                <w:szCs w:val="16"/>
                <w:b w:val="1"/>
                <w:bCs w:val="1"/>
                <w:color w:val="auto"/>
              </w:rPr>
              <w:t>Nine Months Ended</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5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15"/>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6"/>
                <w:szCs w:val="16"/>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1,439.2</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1,240.4</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198.8</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16 %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2,450.5</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1,894.0</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3,889.7</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3,134.4</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755.3</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24 %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by geography:</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1,606.1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1,263.8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342.3</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27 %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1,497.3</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Arial" w:cs="Arial" w:eastAsia="Arial" w:hAnsi="Arial"/>
                <w:sz w:val="18"/>
                <w:szCs w:val="18"/>
                <w:color w:val="auto"/>
              </w:rPr>
              <w:t>APAC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786.3</w:t>
            </w:r>
          </w:p>
        </w:tc>
        <w:tc>
          <w:tcPr>
            <w:tcW w:w="1460" w:type="dxa"/>
            <w:vAlign w:val="bottom"/>
            <w:gridSpan w:val="3"/>
          </w:tcPr>
          <w:p>
            <w:pPr>
              <w:jc w:val="right"/>
              <w:ind w:right="1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688.9</w:t>
            </w:r>
          </w:p>
        </w:tc>
        <w:tc>
          <w:tcPr>
            <w:tcW w:w="1460" w:type="dxa"/>
            <w:vAlign w:val="bottom"/>
            <w:gridSpan w:val="3"/>
          </w:tcPr>
          <w:p>
            <w:pPr>
              <w:jc w:val="right"/>
              <w:ind w:right="13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97.4</w:t>
            </w:r>
          </w:p>
        </w:tc>
        <w:tc>
          <w:tcPr>
            <w:tcW w:w="1420" w:type="dxa"/>
            <w:vAlign w:val="bottom"/>
          </w:tcPr>
          <w:p>
            <w:pPr>
              <w:ind w:left="10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420" w:type="dxa"/>
            <w:vAlign w:val="bottom"/>
            <w:tcBorders>
              <w:top w:val="single" w:sz="8" w:color="CCEEFF"/>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2"/>
              </w:rPr>
              <w:t>24 %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Total revenue increased $755.3 million, or 24%, during the nine months ended September 30, 2023 compared to the same period last year. We continued to experience large organic revenue growth (i.e., revenue growth excluding attribution from recent acquisitions) with diversification of revenue geographically, and across both customers and industries. Revenue from all regions grew, with the Americas contributing the largest portion of the increase on an absolute dollar basis and on a percentage basis.</w:t>
      </w:r>
    </w:p>
    <w:p>
      <w:pPr>
        <w:spacing w:after="0" w:line="200"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Product revenue increased $198.8 million, or 16%, during the nine months ended September 30, 2023 compared to the same period last year. Product revenue growth was consistent with an elevated cyber threat landscape, the convergence of security and networking, improving supply chain dynamics and changes in the backlog balance. The product revenue growth was primarily due to strong growth across many of our Enhanced Platform Technology products, including our secure access products.</w:t>
      </w:r>
    </w:p>
    <w:p>
      <w:pPr>
        <w:spacing w:after="0" w:line="202" w:lineRule="exact"/>
        <w:rPr>
          <w:sz w:val="20"/>
          <w:szCs w:val="20"/>
          <w:color w:val="auto"/>
        </w:rPr>
      </w:pPr>
    </w:p>
    <w:p>
      <w:pPr>
        <w:ind w:right="40" w:firstLine="648"/>
        <w:spacing w:after="0" w:line="266" w:lineRule="auto"/>
        <w:rPr>
          <w:sz w:val="20"/>
          <w:szCs w:val="20"/>
          <w:color w:val="auto"/>
        </w:rPr>
      </w:pPr>
      <w:r>
        <w:rPr>
          <w:rFonts w:ascii="Arial" w:cs="Arial" w:eastAsia="Arial" w:hAnsi="Arial"/>
          <w:sz w:val="16"/>
          <w:szCs w:val="16"/>
          <w:color w:val="auto"/>
        </w:rPr>
        <w:t>Service revenue increased $556.5 million, or 29%, during the nine months ended September 30, 2023 compared to the same period last year. Security subscription revenue increased $350.5 million, or 34%, and technical support and other services revenue increased $206.0 million, or 24%, during the nine months ended September 30, 2023 compared to the same period last year. The increases were primarily due to pricing actions in prior periods and the recognition of revenue from our growing deferred revenue balance related to security subscriptions as well as technical support and other services. Security subscriptions outpaced technical support growth due to expansion of our SaaS-based security subscription service offerings.</w:t>
      </w:r>
    </w:p>
    <w:p>
      <w:pPr>
        <w:spacing w:after="0" w:line="182"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Of the service revenue recognized during the nine months ended September 30, 2023, 73% was included in the deferred revenue balance as of December 31, 2022. Of the service revenue recognized during the nine months ended September 30, 2022, 72% was included in the deferred revenue balance as of December 31, 2021. We expect service revenue will continue to increase throughout the remainder of 2023, as our business is expected to grow, and as service revenue benefits from previous pricing actions. However, there are risks to service revenue growth rates, including customers reducing their spending, pricing actions, supply chain constraints, renewal rates, customers taking longer to buy their service and other risks.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193"/>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6"/>
                <w:szCs w:val="16"/>
                <w:color w:val="auto"/>
              </w:rPr>
            </w:pPr>
          </w:p>
        </w:tc>
        <w:tc>
          <w:tcPr>
            <w:tcW w:w="1400" w:type="dxa"/>
            <w:vAlign w:val="bottom"/>
            <w:vMerge w:val="restart"/>
          </w:tcPr>
          <w:p>
            <w:pPr>
              <w:jc w:val="right"/>
              <w:ind w:right="532"/>
              <w:spacing w:after="0"/>
              <w:rPr>
                <w:sz w:val="20"/>
                <w:szCs w:val="20"/>
                <w:color w:val="auto"/>
              </w:rPr>
            </w:pPr>
            <w:r>
              <w:rPr>
                <w:rFonts w:ascii="Arial" w:cs="Arial" w:eastAsia="Arial" w:hAnsi="Arial"/>
                <w:sz w:val="16"/>
                <w:szCs w:val="16"/>
                <w:b w:val="1"/>
                <w:bCs w:val="1"/>
                <w:color w:val="auto"/>
              </w:rPr>
              <w:t>Change</w:t>
            </w:r>
          </w:p>
        </w:tc>
        <w:tc>
          <w:tcPr>
            <w:tcW w:w="202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(in millions, except percentages)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53"/>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33"/>
              <w:spacing w:after="0"/>
              <w:rPr>
                <w:sz w:val="20"/>
                <w:szCs w:val="20"/>
                <w:color w:val="auto"/>
              </w:rPr>
            </w:pPr>
            <w:r>
              <w:rPr>
                <w:rFonts w:ascii="Arial" w:cs="Arial" w:eastAsia="Arial" w:hAnsi="Arial"/>
                <w:sz w:val="18"/>
                <w:szCs w:val="18"/>
                <w:color w:val="auto"/>
              </w:rPr>
              <w:t>501.4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65.0</w:t>
            </w:r>
          </w:p>
        </w:tc>
        <w:tc>
          <w:tcPr>
            <w:tcW w:w="202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354.9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286.2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921.3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787.6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202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 (%):</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gross margin</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76.3 %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74.9 %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Total gross margin increased 1.4 percentage points during the nine months ended September 30, 2023 compared to the same period last year, primarily driven by increased product and service gross margins and a shift in the revenue mix. As a percentage of total revenue, the revenue mix shifted 2.6 percentage points from product revenue to service revenue.</w:t>
      </w:r>
    </w:p>
    <w:p>
      <w:pPr>
        <w:spacing w:after="0" w:line="195"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Product gross margin increased 1.0 percentage points during the nine months ended September 30, 2023 compared to the same period last year. The product margin was primarily benefited from lower expedite fees and freight costs, partially offset by inventory and inventory purchase commitments related reserves expense. Cost of product revenue was comprised primarily of third-party contract manufacturers’ costs, costs of materials used in production and inventory reserves.</w:t>
      </w:r>
    </w:p>
    <w:p>
      <w:pPr>
        <w:spacing w:after="0" w:line="215" w:lineRule="exact"/>
        <w:rPr>
          <w:sz w:val="20"/>
          <w:szCs w:val="20"/>
          <w:color w:val="auto"/>
        </w:rPr>
      </w:pPr>
    </w:p>
    <w:p>
      <w:pPr>
        <w:ind w:right="140" w:firstLine="648"/>
        <w:spacing w:after="0" w:line="262" w:lineRule="auto"/>
        <w:rPr>
          <w:sz w:val="20"/>
          <w:szCs w:val="20"/>
          <w:color w:val="auto"/>
        </w:rPr>
      </w:pPr>
      <w:r>
        <w:rPr>
          <w:rFonts w:ascii="Arial" w:cs="Arial" w:eastAsia="Arial" w:hAnsi="Arial"/>
          <w:sz w:val="17"/>
          <w:szCs w:val="17"/>
          <w:color w:val="auto"/>
        </w:rPr>
        <w:t>Service gross margin increased 0.6 percentage points during the nine months ended September 30, 2023 compared to the same period last year. Cost of service revenue was comprised primarily of personnel-related costs and costs of hosted solutions. The increase in service gross margin was primarily driven by pricing actions in earlier periods and the favorable impact of foreign currency fluctuations, partially offset by increased labor cost and our increased cloud delivery costs as we continue to expand our cloud and SASE delivery models.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ind w:left="400"/>
              <w:spacing w:after="0"/>
              <w:rPr>
                <w:sz w:val="20"/>
                <w:szCs w:val="20"/>
                <w:color w:val="auto"/>
              </w:rPr>
            </w:pPr>
            <w:r>
              <w:rPr>
                <w:rFonts w:ascii="Arial" w:cs="Arial" w:eastAsia="Arial" w:hAnsi="Arial"/>
                <w:sz w:val="16"/>
                <w:szCs w:val="16"/>
                <w:b w:val="1"/>
                <w:bCs w:val="1"/>
                <w:color w:val="auto"/>
              </w:rPr>
              <w:t>Nine Months Ended</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58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25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2023</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794"/>
              <w:spacing w:after="0"/>
              <w:rPr>
                <w:sz w:val="20"/>
                <w:szCs w:val="20"/>
                <w:color w:val="auto"/>
              </w:rPr>
            </w:pPr>
            <w:r>
              <w:rPr>
                <w:rFonts w:ascii="Arial" w:cs="Arial" w:eastAsia="Arial" w:hAnsi="Arial"/>
                <w:sz w:val="16"/>
                <w:szCs w:val="16"/>
                <w:b w:val="1"/>
                <w:bCs w:val="1"/>
                <w:color w:val="auto"/>
                <w:w w:val="95"/>
              </w:rPr>
              <w:t>2022</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6"/>
                <w:szCs w:val="16"/>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vMerge w:val="continue"/>
          </w:tcPr>
          <w:p>
            <w:pPr>
              <w:spacing w:after="0"/>
              <w:rPr>
                <w:sz w:val="18"/>
                <w:szCs w:val="18"/>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89"/>
              </w:rPr>
              <w:t>Revenue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8"/>
              </w:rPr>
              <w:t>(in millions, except percentages)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77.8</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20 %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w:t>
            </w:r>
          </w:p>
        </w:tc>
        <w:tc>
          <w:tcPr>
            <w:tcW w:w="1420" w:type="dxa"/>
            <w:vAlign w:val="bottom"/>
          </w:tcPr>
          <w:p>
            <w:pPr>
              <w:ind w:left="10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IP matter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7"/>
              </w:rPr>
              <w:t>(3.4)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2,112.7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377.7</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22 %</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Percentages have been rounded for presentation purposes and may differ from unrounded results.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39" w:lineRule="exact"/>
        <w:rPr>
          <w:sz w:val="20"/>
          <w:szCs w:val="20"/>
          <w:color w:val="auto"/>
        </w:rPr>
      </w:pPr>
    </w:p>
    <w:p>
      <w:pPr>
        <w:jc w:val="both"/>
        <w:ind w:right="240" w:firstLine="648"/>
        <w:spacing w:after="0" w:line="271" w:lineRule="auto"/>
        <w:rPr>
          <w:sz w:val="20"/>
          <w:szCs w:val="20"/>
          <w:color w:val="auto"/>
        </w:rPr>
      </w:pPr>
      <w:r>
        <w:rPr>
          <w:rFonts w:ascii="Arial" w:cs="Arial" w:eastAsia="Arial" w:hAnsi="Arial"/>
          <w:sz w:val="16"/>
          <w:szCs w:val="16"/>
          <w:color w:val="auto"/>
        </w:rPr>
        <w:t>Research and development expense increased $77.8 million, or 20%, during the nine months ended September 30, 2023 compared to the same period last year, primarily due to an increase of $60.1 million in personnel-related costs as a result of increased headcount to support the development of new products and continued enhancements to our existing products. In addition, non-personnel-related product development costs increased by</w:t>
      </w:r>
    </w:p>
    <w:p>
      <w:pPr>
        <w:ind w:right="140"/>
        <w:spacing w:after="0" w:line="243" w:lineRule="auto"/>
        <w:rPr>
          <w:sz w:val="20"/>
          <w:szCs w:val="20"/>
          <w:color w:val="auto"/>
        </w:rPr>
      </w:pPr>
      <w:r>
        <w:rPr>
          <w:rFonts w:ascii="Arial" w:cs="Arial" w:eastAsia="Arial" w:hAnsi="Arial"/>
          <w:sz w:val="18"/>
          <w:szCs w:val="18"/>
          <w:color w:val="auto"/>
        </w:rPr>
        <w:t>$10.2 million and depreciation expense and other occupancy-related expense increased by $5.9 million, partially offset by the favorable impact of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3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7"/>
          <w:szCs w:val="17"/>
          <w:color w:val="auto"/>
        </w:rPr>
        <w:t>Sales and marketing expense increased $268.4 million, or 22%, during the nine months ended September 30, 2023 compared to the same period last year, primarily due to an increase of $202.7 million in personnel-related costs. We significantly increased our sales and pipeline generation capacity, including newer non-tenured sales people. The increase in headcount is expected to help drive global market revenue increases. In addition, marketing-related expense increased by $24.1 million, travel expense increased by $18.1 million and depreciation expense and other occupancy-related expense increased by $13.6 million, partially offset by the favorable impact of foreign currency fluctuations.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3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General and administrative expense increased $31.5 million, or 25%, during the nine months ended September 30, 2023 compared to the same period last year, primarily due to an increase of $16.0 million in legal related fees and other professional service fees and $12.5 million in personnel-related costs.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generated operating income of $855.7 million during the nine months ended September 30, 2023, an increase of $243.9 million, or 40%, compared to $611.8 million in the same period last year. Operating margin increased to 22.0% during the nine months ended September 30, 2023 compared to 19.5% in the same period last year, mainly due to the stronger gross margin performance. The increase in operating margin was primarily due to 1.4 percentage points increase in gross margin, 0.7 percentage points decrease in sales and marketing expense and 0.3 percentage points decrease in research and development expense as a percentage of revenue,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jc w:val="right"/>
              <w:ind w:right="1075"/>
              <w:spacing w:after="0"/>
              <w:rPr>
                <w:sz w:val="20"/>
                <w:szCs w:val="20"/>
                <w:color w:val="auto"/>
              </w:rPr>
            </w:pPr>
            <w:r>
              <w:rPr>
                <w:rFonts w:ascii="Arial" w:cs="Arial" w:eastAsia="Arial" w:hAnsi="Arial"/>
                <w:sz w:val="16"/>
                <w:szCs w:val="16"/>
                <w:b w:val="1"/>
                <w:bCs w:val="1"/>
                <w:color w:val="auto"/>
              </w:rPr>
              <w:t>Nine Months Ended</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center"/>
              <w:ind w:right="235"/>
              <w:spacing w:after="0"/>
              <w:rPr>
                <w:sz w:val="20"/>
                <w:szCs w:val="20"/>
                <w:color w:val="auto"/>
              </w:rPr>
            </w:pPr>
            <w:r>
              <w:rPr>
                <w:rFonts w:ascii="Arial" w:cs="Arial" w:eastAsia="Arial" w:hAnsi="Arial"/>
                <w:sz w:val="16"/>
                <w:szCs w:val="16"/>
                <w:b w:val="1"/>
                <w:bCs w:val="1"/>
                <w:color w:val="auto"/>
                <w:w w:val="91"/>
              </w:rPr>
              <w:t>September 30,</w:t>
            </w:r>
          </w:p>
        </w:tc>
        <w:tc>
          <w:tcPr>
            <w:tcW w:w="300" w:type="dxa"/>
            <w:vAlign w:val="bottom"/>
          </w:tcPr>
          <w:p>
            <w:pPr>
              <w:spacing w:after="0"/>
              <w:rPr>
                <w:sz w:val="16"/>
                <w:szCs w:val="16"/>
                <w:color w:val="auto"/>
              </w:rPr>
            </w:pPr>
          </w:p>
        </w:tc>
        <w:tc>
          <w:tcPr>
            <w:tcW w:w="1540" w:type="dxa"/>
            <w:vAlign w:val="bottom"/>
          </w:tcPr>
          <w:p>
            <w:pPr>
              <w:jc w:val="right"/>
              <w:ind w:right="315"/>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6"/>
                <w:szCs w:val="16"/>
                <w:color w:val="auto"/>
              </w:rPr>
            </w:pPr>
          </w:p>
        </w:tc>
        <w:tc>
          <w:tcPr>
            <w:tcW w:w="1760" w:type="dxa"/>
            <w:vAlign w:val="bottom"/>
            <w:vMerge w:val="restart"/>
          </w:tcPr>
          <w:p>
            <w:pPr>
              <w:jc w:val="right"/>
              <w:ind w:right="892"/>
              <w:spacing w:after="0"/>
              <w:rPr>
                <w:sz w:val="20"/>
                <w:szCs w:val="20"/>
                <w:color w:val="auto"/>
              </w:rPr>
            </w:pPr>
            <w:r>
              <w:rPr>
                <w:rFonts w:ascii="Arial" w:cs="Arial" w:eastAsia="Arial" w:hAnsi="Arial"/>
                <w:sz w:val="16"/>
                <w:szCs w:val="16"/>
                <w:b w:val="1"/>
                <w:bCs w:val="1"/>
                <w:color w:val="auto"/>
              </w:rPr>
              <w:t>Change</w:t>
            </w:r>
          </w:p>
        </w:tc>
        <w:tc>
          <w:tcPr>
            <w:tcW w:w="170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3"/>
          </w:tcPr>
          <w:p>
            <w:pPr>
              <w:jc w:val="right"/>
              <w:ind w:right="912"/>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ind w:left="935"/>
              <w:spacing w:after="0"/>
              <w:rPr>
                <w:sz w:val="20"/>
                <w:szCs w:val="20"/>
                <w:color w:val="auto"/>
              </w:rPr>
            </w:pPr>
            <w:r>
              <w:rPr>
                <w:rFonts w:ascii="Arial" w:cs="Arial" w:eastAsia="Arial" w:hAnsi="Arial"/>
                <w:sz w:val="18"/>
                <w:szCs w:val="18"/>
                <w:color w:val="auto"/>
                <w:w w:val="85"/>
              </w:rPr>
              <w:t>89.2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80.9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975 %</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ind w:left="915"/>
              <w:spacing w:after="0"/>
              <w:rPr>
                <w:sz w:val="20"/>
                <w:szCs w:val="20"/>
                <w:color w:val="auto"/>
              </w:rPr>
            </w:pPr>
            <w:r>
              <w:rPr>
                <w:rFonts w:ascii="Arial" w:cs="Arial" w:eastAsia="Arial" w:hAnsi="Arial"/>
                <w:sz w:val="18"/>
                <w:szCs w:val="18"/>
                <w:color w:val="auto"/>
                <w:w w:val="93"/>
              </w:rPr>
              <w:t>(15.6)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92"/>
              <w:spacing w:after="0"/>
              <w:rPr>
                <w:sz w:val="20"/>
                <w:szCs w:val="20"/>
                <w:color w:val="auto"/>
              </w:rPr>
            </w:pPr>
            <w:r>
              <w:rPr>
                <w:rFonts w:ascii="Arial" w:cs="Arial" w:eastAsia="Arial" w:hAnsi="Arial"/>
                <w:sz w:val="18"/>
                <w:szCs w:val="18"/>
                <w:color w:val="auto"/>
              </w:rPr>
              <w:t>(2.1)</w:t>
            </w:r>
          </w:p>
        </w:tc>
        <w:tc>
          <w:tcPr>
            <w:tcW w:w="170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ind w:left="915"/>
              <w:spacing w:after="0"/>
              <w:rPr>
                <w:sz w:val="20"/>
                <w:szCs w:val="20"/>
                <w:color w:val="auto"/>
              </w:rPr>
            </w:pPr>
            <w:r>
              <w:rPr>
                <w:rFonts w:ascii="Arial" w:cs="Arial" w:eastAsia="Arial" w:hAnsi="Arial"/>
                <w:sz w:val="18"/>
                <w:szCs w:val="18"/>
                <w:color w:val="auto"/>
                <w:w w:val="93"/>
              </w:rPr>
              <w:t>(11.2)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8.1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Interest income increased $80.9 million during the nine months ended September 30, 2023 compared to the same period last year, primarily as a result of higher interest rates and greater investment balances. Interest income varies depending on our average investment balances during the period, types and mix of investments, and market interest rates. Interest expense remained comparatively flat during the nine months ended September 30, 2023 compared to the same period last year. Other expense—net decreased by $8.1 million during the nine months ended September 30, 2023 compared to the same period last year, due to a $6.0 million lower loss on marketable equity securities and a $2.1 million decrease of foreign currency exchange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3"/>
          </w:tcPr>
          <w:p>
            <w:pPr>
              <w:jc w:val="right"/>
              <w:ind w:right="1135"/>
              <w:spacing w:after="0"/>
              <w:rPr>
                <w:sz w:val="20"/>
                <w:szCs w:val="20"/>
                <w:color w:val="auto"/>
              </w:rPr>
            </w:pPr>
            <w:r>
              <w:rPr>
                <w:rFonts w:ascii="Arial" w:cs="Arial" w:eastAsia="Arial" w:hAnsi="Arial"/>
                <w:sz w:val="16"/>
                <w:szCs w:val="16"/>
                <w:b w:val="1"/>
                <w:bCs w:val="1"/>
                <w:color w:val="auto"/>
              </w:rPr>
              <w:t>Nine Months Ended</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right"/>
              <w:ind w:right="415"/>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6"/>
                <w:szCs w:val="16"/>
                <w:color w:val="auto"/>
              </w:rPr>
            </w:pPr>
          </w:p>
        </w:tc>
        <w:tc>
          <w:tcPr>
            <w:tcW w:w="1600" w:type="dxa"/>
            <w:vAlign w:val="bottom"/>
          </w:tcPr>
          <w:p>
            <w:pPr>
              <w:jc w:val="right"/>
              <w:ind w:right="355"/>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6"/>
                <w:szCs w:val="16"/>
                <w:color w:val="auto"/>
              </w:rPr>
            </w:pPr>
          </w:p>
        </w:tc>
        <w:tc>
          <w:tcPr>
            <w:tcW w:w="1680" w:type="dxa"/>
            <w:vAlign w:val="bottom"/>
            <w:vMerge w:val="restart"/>
          </w:tcPr>
          <w:p>
            <w:pPr>
              <w:jc w:val="right"/>
              <w:ind w:right="815"/>
              <w:spacing w:after="0"/>
              <w:rPr>
                <w:sz w:val="20"/>
                <w:szCs w:val="20"/>
                <w:color w:val="auto"/>
              </w:rPr>
            </w:pPr>
            <w:r>
              <w:rPr>
                <w:rFonts w:ascii="Arial" w:cs="Arial" w:eastAsia="Arial" w:hAnsi="Arial"/>
                <w:sz w:val="16"/>
                <w:szCs w:val="16"/>
                <w:b w:val="1"/>
                <w:bCs w:val="1"/>
                <w:color w:val="auto"/>
              </w:rPr>
              <w:t>Change</w:t>
            </w:r>
          </w:p>
        </w:tc>
        <w:tc>
          <w:tcPr>
            <w:tcW w:w="1680" w:type="dxa"/>
            <w:vAlign w:val="bottom"/>
            <w:vMerge w:val="restart"/>
          </w:tcPr>
          <w:p>
            <w:pPr>
              <w:jc w:val="right"/>
              <w:ind w:right="49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40" w:type="dxa"/>
            <w:vAlign w:val="bottom"/>
            <w:gridSpan w:val="3"/>
          </w:tcPr>
          <w:p>
            <w:pPr>
              <w:jc w:val="right"/>
              <w:ind w:right="955"/>
              <w:spacing w:after="0"/>
              <w:rPr>
                <w:sz w:val="20"/>
                <w:szCs w:val="20"/>
                <w:color w:val="auto"/>
              </w:rPr>
            </w:pPr>
            <w:r>
              <w:rPr>
                <w:rFonts w:ascii="Arial" w:cs="Arial" w:eastAsia="Arial" w:hAnsi="Arial"/>
                <w:sz w:val="16"/>
                <w:szCs w:val="16"/>
                <w:b w:val="1"/>
                <w:bCs w:val="1"/>
                <w:color w:val="auto"/>
              </w:rPr>
              <w:t>(in millions, except percentages)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48.6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21.6</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27.0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5 %</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4 %</w:t>
            </w: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Our effective tax rate was 5% for the nine months ended September 30, 2023 compared to an effective tax rate of 4% for the same period last year. The provision for income taxes for the nine months ended September 30, 2023 was primarily comprised of U.S. federal and state taxes, withholding taxes and foreign taxes that were $220.9 million. This provision for income taxes was favorably affected by a tax benefit of $105.9 million from the FDII deduction, excess tax benefits from stock-based compensation expense of $48.3 million, and the release of reserves of $18.1 million on uncertain tax positions and the accrued interest thereon due to the expiration of statutes of limitations.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The provision for income taxes for the nine months ended September 30, 2022 was comprised of U.S. federal and state taxes, withholding taxes, and foreign taxes that were $169.2 million, which were offset by a tax benefit of $62.6 million from the FDII deduction, excess tax benefits from stock-based compensation expense of $68.7 million, and the release of reserves of $16.3 million on uncertain tax positions and the accrued interest thereon due to the expiration of statutes of limitations.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Equity Method Investment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1057"/>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6"/>
                <w:szCs w:val="16"/>
                <w:color w:val="auto"/>
              </w:rPr>
            </w:pPr>
          </w:p>
        </w:tc>
        <w:tc>
          <w:tcPr>
            <w:tcW w:w="1520" w:type="dxa"/>
            <w:vAlign w:val="bottom"/>
          </w:tcPr>
          <w:p>
            <w:pPr>
              <w:jc w:val="center"/>
              <w:ind w:right="177"/>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restart"/>
          </w:tcPr>
          <w:p>
            <w:pPr>
              <w:jc w:val="right"/>
              <w:ind w:right="535"/>
              <w:spacing w:after="0"/>
              <w:rPr>
                <w:sz w:val="20"/>
                <w:szCs w:val="20"/>
                <w:color w:val="auto"/>
              </w:rPr>
            </w:pPr>
            <w:r>
              <w:rPr>
                <w:rFonts w:ascii="Arial" w:cs="Arial" w:eastAsia="Arial" w:hAnsi="Arial"/>
                <w:sz w:val="16"/>
                <w:szCs w:val="16"/>
                <w:b w:val="1"/>
                <w:bCs w:val="1"/>
                <w:color w:val="auto"/>
              </w:rPr>
              <w:t>Change</w:t>
            </w:r>
          </w:p>
        </w:tc>
        <w:tc>
          <w:tcPr>
            <w:tcW w:w="100" w:type="dxa"/>
            <w:vAlign w:val="bottom"/>
            <w:vMerge w:val="restart"/>
          </w:tcPr>
          <w:p>
            <w:pPr>
              <w:spacing w:after="0"/>
              <w:rPr>
                <w:sz w:val="16"/>
                <w:szCs w:val="16"/>
                <w:color w:val="auto"/>
              </w:rPr>
            </w:pPr>
          </w:p>
        </w:tc>
        <w:tc>
          <w:tcPr>
            <w:tcW w:w="1920" w:type="dxa"/>
            <w:vAlign w:val="bottom"/>
            <w:vMerge w:val="restart"/>
          </w:tcPr>
          <w:p>
            <w:pPr>
              <w:jc w:val="right"/>
              <w:ind w:right="51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7"/>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7"/>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5"/>
          </w:tcPr>
          <w:p>
            <w:pPr>
              <w:ind w:left="540"/>
              <w:spacing w:after="0"/>
              <w:rPr>
                <w:sz w:val="20"/>
                <w:szCs w:val="20"/>
                <w:color w:val="auto"/>
              </w:rPr>
            </w:pPr>
            <w:r>
              <w:rPr>
                <w:rFonts w:ascii="Arial" w:cs="Arial" w:eastAsia="Arial" w:hAnsi="Arial"/>
                <w:sz w:val="16"/>
                <w:szCs w:val="16"/>
                <w:b w:val="1"/>
                <w:bCs w:val="1"/>
                <w:color w:val="auto"/>
              </w:rPr>
              <w:t>(in millions, except percentages)</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Loss from equity method investment increased $9.7 million during the nine months ended September 30, 2023 compared to the same period last year, as our proportionate share of Linksys’ financial results including our share of the amortization of the basis differences was higher compared to the same period last year.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1054"/>
              <w:spacing w:after="0"/>
              <w:rPr>
                <w:sz w:val="20"/>
                <w:szCs w:val="20"/>
                <w:color w:val="auto"/>
              </w:rPr>
            </w:pPr>
            <w:r>
              <w:rPr>
                <w:rFonts w:ascii="Arial" w:cs="Arial" w:eastAsia="Arial" w:hAnsi="Arial"/>
                <w:sz w:val="16"/>
                <w:szCs w:val="16"/>
                <w:b w:val="1"/>
                <w:bCs w:val="1"/>
                <w:color w:val="auto"/>
                <w:w w:val="89"/>
              </w:rPr>
              <w:t>As of</w:t>
            </w:r>
          </w:p>
        </w:tc>
        <w:tc>
          <w:tcPr>
            <w:tcW w:w="1320" w:type="dxa"/>
            <w:vAlign w:val="bottom"/>
            <w:tcBorders>
              <w:bottom w:val="single" w:sz="8" w:color="auto"/>
            </w:tcBorders>
          </w:tcPr>
          <w:p>
            <w:pPr>
              <w:spacing w:after="0"/>
              <w:rPr>
                <w:sz w:val="18"/>
                <w:szCs w:val="18"/>
                <w:color w:val="auto"/>
              </w:rPr>
            </w:pPr>
          </w:p>
        </w:tc>
      </w:tr>
      <w:tr>
        <w:trPr>
          <w:trHeight w:val="159"/>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3"/>
                <w:szCs w:val="13"/>
                <w:color w:val="auto"/>
              </w:rPr>
            </w:pPr>
          </w:p>
        </w:tc>
        <w:tc>
          <w:tcPr>
            <w:tcW w:w="132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auto"/>
                <w:w w:val="90"/>
              </w:rPr>
              <w:t>December 31,</w:t>
            </w:r>
          </w:p>
        </w:tc>
      </w:tr>
      <w:tr>
        <w:trPr>
          <w:trHeight w:val="213"/>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2022</w:t>
            </w:r>
          </w:p>
        </w:tc>
      </w:tr>
      <w:tr>
        <w:trPr>
          <w:trHeight w:val="209"/>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1"/>
              </w:rPr>
              <w:t>(in millions)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Short-term and long-term investments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548.1</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equity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cash, cash equivalents, investments and marketable equity securities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7"/>
        </w:trPr>
        <w:tc>
          <w:tcPr>
            <w:tcW w:w="8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6"/>
                <w:szCs w:val="16"/>
                <w:b w:val="1"/>
                <w:bCs w:val="1"/>
                <w:color w:val="auto"/>
                <w:w w:val="92"/>
              </w:rPr>
              <w:t>Nine Months Ended</w:t>
            </w:r>
          </w:p>
        </w:tc>
      </w:tr>
      <w:tr>
        <w:trPr>
          <w:trHeight w:val="158"/>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3"/>
                <w:szCs w:val="13"/>
                <w:color w:val="auto"/>
              </w:rPr>
            </w:pPr>
          </w:p>
        </w:tc>
        <w:tc>
          <w:tcPr>
            <w:tcW w:w="1320" w:type="dxa"/>
            <w:vAlign w:val="bottom"/>
          </w:tcPr>
          <w:p>
            <w:pPr>
              <w:jc w:val="center"/>
              <w:ind w:right="113"/>
              <w:spacing w:after="0" w:line="158" w:lineRule="exact"/>
              <w:rPr>
                <w:sz w:val="20"/>
                <w:szCs w:val="20"/>
                <w:color w:val="auto"/>
              </w:rPr>
            </w:pPr>
            <w:r>
              <w:rPr>
                <w:rFonts w:ascii="Arial" w:cs="Arial" w:eastAsia="Arial" w:hAnsi="Arial"/>
                <w:sz w:val="16"/>
                <w:szCs w:val="16"/>
                <w:b w:val="1"/>
                <w:bCs w:val="1"/>
                <w:color w:val="auto"/>
                <w:w w:val="91"/>
              </w:rPr>
              <w:t>September 30,</w:t>
            </w:r>
          </w:p>
        </w:tc>
      </w:tr>
      <w:tr>
        <w:trPr>
          <w:trHeight w:val="213"/>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2022</w:t>
            </w:r>
          </w:p>
        </w:tc>
      </w:tr>
      <w:tr>
        <w:trPr>
          <w:trHeight w:val="210"/>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1"/>
              </w:rPr>
              <w:t>(in millions)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1,202.5</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546.5</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(2,102.9)</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Liquidity and capital resources are primarily impacted by our operating activities, as well as payment of taxes in connection with the net settlement of equity awards, real estate and other capital expenditures, proceeds from the issuance of common stock, cash used for stock repurchases and the timing of income tax payments. In accordance with disaster relief announced by the Internal Revenue Service, we postponed U.S. federal tax payments from the second quarter and the third quarter of 2023 to the fourth quarter of 2023. We expect that our cash payments for income taxes to be significantly higher, in the range of $340.0 million to $350.0 million in the fourth quarter of 2023.</w:t>
      </w:r>
    </w:p>
    <w:p>
      <w:pPr>
        <w:spacing w:after="0" w:line="216"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pricing actions, market or industry changes, macroeconomic events such as rising inflation and interest rates, economic strength, supply chain capacity and disruptions, international conflicts, including the war in Ukraine and the Israel-Hamas war, and our ability to execute. We expect proceeds from the exercise of stock options in future years to be impacted by the increased mix of restricted stock units and performance stock units versus stock options granted to our employees and to vary based on our share price.</w:t>
      </w:r>
    </w:p>
    <w:p>
      <w:pPr>
        <w:spacing w:after="0" w:line="188"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In February 2023, our board of directors approved an extension of the Repurchase Program to February 29, 2024. In April 2023 and July 2023, our board of directors approved $1.0 billion and $500.0 million increases in the authorized amount under the Repurchase Program, respectively, bringing the aggregate amount authorized to be repurchased to $6.75 billion of our</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outstanding common stock through February 29, 2024. During the nine months ended September 30, 2023, we repurchased 10.4 million shares of common stock under the Repurchase program for an aggregate purchase price of $605.2 million. As of September 30, 2023, approximately $1.42 billion remained available for future share repurchases.</w:t>
      </w:r>
    </w:p>
    <w:p>
      <w:pPr>
        <w:spacing w:after="0" w:line="209"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We expect to continue to increase our data centers, PoPs, office and warehouse capacity to support growth and the expansion of existing services or introduction of new services. As we purchase new properties, we will work to incorporate these properties into the environmental goals we have established. We estimate capital expenditures to be between approximately $40.0 million and $60.0 million for the fourth quarter of 2023.</w:t>
      </w:r>
    </w:p>
    <w:p>
      <w:pPr>
        <w:spacing w:after="0" w:line="191"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We believe that our cash provided by operating activities, together with our existing cash, cash equivalents and investments will be sufficient to meet our anticipated cash needs and do not currently intend to retire our Senior Notes early. Refer to Note 10, Debt, in Part I, Item 1 of this Quarterly Report on Form 10-Q for information on the Senior Notes. As of September 30, 2023, the long-term debt, net of unamortized discount and debt issuance costs, was $991.8 million.</w:t>
      </w:r>
    </w:p>
    <w:p>
      <w:pPr>
        <w:spacing w:after="0" w:line="218" w:lineRule="exact"/>
        <w:rPr>
          <w:sz w:val="20"/>
          <w:szCs w:val="20"/>
          <w:color w:val="auto"/>
        </w:rPr>
      </w:pPr>
    </w:p>
    <w:p>
      <w:pPr>
        <w:ind w:right="40" w:firstLine="648"/>
        <w:spacing w:after="0" w:line="239" w:lineRule="auto"/>
        <w:rPr>
          <w:sz w:val="20"/>
          <w:szCs w:val="20"/>
          <w:color w:val="auto"/>
        </w:rPr>
      </w:pPr>
      <w:r>
        <w:rPr>
          <w:rFonts w:ascii="Arial" w:cs="Arial" w:eastAsia="Arial" w:hAnsi="Arial"/>
          <w:sz w:val="17"/>
          <w:szCs w:val="17"/>
          <w:color w:val="auto"/>
        </w:rPr>
        <w:t>We enter into non-cancellable agreements with contract manufacturers and certain component suppliers to procure inventory based on our requirements in order to negotiate manufacturing lead times and encourage and incentivize vendors to deliver components and finished goods. In certain instances, these agreements allow us the option to reschedule and adjust our requirements based on our business needs prior to firm orders being placed. These purchase commitments as of September 30, 2023 totaled $820.6 million, a decrease of $514.4 million compared to $1.34 billion as of December 31, 2022 due to fulfillment of customer demand as our supply availability improved and our continued efforts to work with contract manufacturers and suppliers to optimize our inventory and purchase commitment position. We increased our purchase commitments in prior years to address significant supply constraints seen industry-wide due to component shortages. Our agreements secured supply and pricing for certain product components commitments with contract manufacturers to meet customer demand and to address extended lead times. We record a liability for non-cancelable inventory purchase commitments for quantities in excess of our future estimated demand forecasts. As of September 30, 2023, the liability for these inventory purchase commitments was $64.6 million and was included in accrued liabilities. As of December 31, 2022, the liability for these purchase commitments was not material. We also have open purchase orders and contractual obligations in the ordinary course of business for which we have not received goods or services. As of September 30, 2023, we had $76.8 million in other contractual commitments having a remaining term in excess of one year that are non-cancelable.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have been no significant changes to our leases as disclosed in our Annual Report on Form 10-K for the year ended December 31, 2022.</w:t>
      </w:r>
    </w:p>
    <w:p>
      <w:pPr>
        <w:spacing w:after="0" w:line="26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As of September 30, 2023, our cash, cash equivalents, short-term and long-term investments of $3.15 billion were invested primarily in deposit accounts, money market funds, corporate debt securities, commercial paper, certificates of deposit and term deposits, U.S. government and agency securities and municipal bonds. It is our investment policy to invest excess cash in a manner that preserves capital, provides liquidity and generates return without significantly increasing risk. We do not enter into investments for trading or speculative purposes.</w:t>
      </w:r>
    </w:p>
    <w:p>
      <w:pPr>
        <w:spacing w:after="0" w:line="19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amount of cash, cash equivalents and investments held by our international subsidiaries was $210.2 million as of September 30, 2023 and $218.1 million as of December 31, 2022.</w:t>
      </w:r>
    </w:p>
    <w:p>
      <w:pPr>
        <w:spacing w:after="0" w:line="184"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 capital and capital expenditure requirements will depend on many factors, including our growth rate; the timing and amount of our share repurchases; the expansion of sales and marketing activities, pricing actions, the introduction of new and enhanced products and services offerings; the continuing market acceptance of our products; the timing and extent of spending to support development efforts; our investments in purchasing, developing or leasing real estate; cash tax payments and macroeconomic impacts such as rising inflation and interest rates; the war in Ukraine and the Israel-Hamas war; and instability in the global banking system.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As of September 30, 2023,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9"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color w:val="auto"/>
        </w:rPr>
        <w:t>amortization of deferred contract costs, stock-based compensation and depreciation and amortization. Changes in operating assets and liabilities consist primarily of changes in deferred revenue, deferred contract costs, accounts receivable—net, inventory, deferred tax assets and income taxes payable.</w:t>
      </w:r>
    </w:p>
    <w:p>
      <w:pPr>
        <w:spacing w:after="0" w:line="151"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Our operating activities during the nine months ended September 30, 2023 provided cash flows of $1.74 billion, an increase of $541.3 million compared to the same period last year, as a result of the continued growth of our business, improved profitability and our ability to successfully manage our working capital. Changes in operating assets and liabilities primarily resulted from an increase in sales of our security subscription services and technical support services to new and existing customers, as reflected by an increase of $646.2 million in our deferred revenue during the nine months ended September 30, 2023. In addition, changes in operating assets and liabilities were driven by an increase of $247.5 million in deferred contract costs, a decrease of $243.4 million in accounts receivable—net, an increase of $231.0 million in inventory, an increase of $221.7 million in deferred tax assets and an increase of $196.8 million in income taxes payable as we deferred our U.S. federal tax payments in the second quarter and the third quarter of 2023 following the disaster relief provided by the Internal Revenue Service.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changes in cash flows from investing activities primarily relate to timing of purchases, maturities and sales of investments and purchases of property and equipment. Historically, in making a lease-versus-ownership decision related to warehouse, office or data space, we have considered various factors including financial metrics, expected long-term growth rates, time to market and changes in asset values. In certain cases, we have elected to own a facility if we believe that purchasing or developing buildings rather than leasing is more closely aligned with our long-term strategy. We expect to make similar decisions in the future. We may also make cash payments in connection with future business combinations.</w:t>
      </w:r>
    </w:p>
    <w:p>
      <w:pPr>
        <w:spacing w:after="0" w:line="18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During the nine months ended September 30, 2023, cash used in investing activities was $577.7 million, primarily driven by $392.1 million spent for purchases of investments, net of maturities and sales of investments, $177.2 million of purchases of property and equipment and $8.5 million of purchase of investment in privately held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changes in cash flows from financing activities primarily relate to repurchase and retirement of common stock, and taxes paid related to net share settlement of equity awards, net of proceeds from the issuance of common stock under the Amended and Restated Fortinet, Inc. 2009 Equity Incentive Plan.</w:t>
      </w:r>
    </w:p>
    <w:p>
      <w:pPr>
        <w:spacing w:after="0" w:line="211"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During the nine months ended September 30, 2023, cash used in financing activities was $660.3 million, primarily driven by $604.3 million used to repurchase shares of our common stock and $54.8 million used to pay tax withholding, net of proceeds from the issuance of common stock.</w:t>
      </w:r>
    </w:p>
    <w:p>
      <w:pPr>
        <w:spacing w:after="0" w:line="16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nine months ended September 30, 2023 compared to the disclosures in Part II, Item 7A of the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September 30, 2023.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September 30, 2023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management, including our chief executive officer and chief financial officer, as appropriate, to allow timely decisions regarding required disclosure.</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9"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There were no changes in our internal controls over financial reporting (as defined in Rules 13a-15(f) or 15d-15(f) under the Exchange Act) during the quarter ended September 30, 2023,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We are subject to various claims, complaints and legal actions that arise from time to time.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 Refer to Note 11. Commitments and Contingencies in Part I, Item 1 of this Quarterly Report on Form 10-Q for additional information.</w:t>
      </w:r>
    </w:p>
    <w:p>
      <w:pPr>
        <w:spacing w:after="0" w:line="21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Financial Position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12"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57" w:lineRule="exact"/>
        <w:rPr>
          <w:sz w:val="20"/>
          <w:szCs w:val="20"/>
          <w:color w:val="auto"/>
        </w:rPr>
      </w:pPr>
    </w:p>
    <w:p>
      <w:pPr>
        <w:ind w:left="1300" w:right="100" w:hanging="644"/>
        <w:spacing w:after="0" w:line="248"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conditions, including macroeconomic and regional economic challenges resulting, for example, from a recession or other economic downturn, increased inflation or possible stagflation in certain geographies, rising interest rates, the war in Ukraine, the Israel-Hamas war, tensions between China and Taiwan, or other factors;</w:t>
      </w:r>
    </w:p>
    <w:p>
      <w:pPr>
        <w:spacing w:after="0" w:line="208" w:lineRule="exact"/>
        <w:rPr>
          <w:rFonts w:ascii="Arial" w:cs="Arial" w:eastAsia="Arial" w:hAnsi="Arial"/>
          <w:sz w:val="18"/>
          <w:szCs w:val="18"/>
          <w:color w:val="auto"/>
        </w:rPr>
      </w:pPr>
    </w:p>
    <w:p>
      <w:pPr>
        <w:ind w:left="1300" w:right="100" w:hanging="644"/>
        <w:spacing w:after="0" w:line="291" w:lineRule="auto"/>
        <w:tabs>
          <w:tab w:leader="none" w:pos="12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sales strategy, productivity and execution, and our ability to attract and retain new end-customers or sell additional products and services to our existing end-customers, including customer demand for platform solutions like ours versus point solutions;</w:t>
      </w:r>
    </w:p>
    <w:p>
      <w:pPr>
        <w:spacing w:after="0" w:line="173" w:lineRule="exact"/>
        <w:rPr>
          <w:rFonts w:ascii="Arial" w:cs="Arial" w:eastAsia="Arial" w:hAnsi="Arial"/>
          <w:sz w:val="17"/>
          <w:szCs w:val="17"/>
          <w:color w:val="auto"/>
        </w:rPr>
      </w:pPr>
    </w:p>
    <w:p>
      <w:pPr>
        <w:ind w:left="1300" w:right="780" w:hanging="644"/>
        <w:spacing w:after="0" w:line="261"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anticipate market changes related to cloud-based solutions and to sell, support and meet service level agreements related to cloud-based solutions;</w:t>
      </w:r>
    </w:p>
    <w:p>
      <w:pPr>
        <w:spacing w:after="0" w:line="197" w:lineRule="exact"/>
        <w:rPr>
          <w:rFonts w:ascii="Arial" w:cs="Arial" w:eastAsia="Arial" w:hAnsi="Arial"/>
          <w:sz w:val="18"/>
          <w:szCs w:val="18"/>
          <w:color w:val="auto"/>
        </w:rPr>
      </w:pPr>
    </w:p>
    <w:p>
      <w:pPr>
        <w:jc w:val="both"/>
        <w:ind w:left="1300" w:right="60" w:hanging="644"/>
        <w:spacing w:after="0" w:line="257" w:lineRule="auto"/>
        <w:tabs>
          <w:tab w:leader="none" w:pos="12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component shortages, including chips and other components, and product inventory shortages, including those caused by factors outside of our control, such as epidemics and pandemics, supply chain disruptions, inflation and other cost increases, international trade disputes or tariffs, natural disasters, health emergencies, power outages, civil unrest, labor disruption, international conflicts, terrorism, wars, such as the war in Ukraine and the Israel-Hamas war, and critical infrastructure attacks;</w:t>
      </w:r>
    </w:p>
    <w:p>
      <w:pPr>
        <w:spacing w:after="0" w:line="202" w:lineRule="exact"/>
        <w:rPr>
          <w:rFonts w:ascii="Arial" w:cs="Arial" w:eastAsia="Arial" w:hAnsi="Arial"/>
          <w:sz w:val="17"/>
          <w:szCs w:val="17"/>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inventory management, including future inventory purchase order commitments;</w:t>
      </w:r>
    </w:p>
    <w:p>
      <w:pPr>
        <w:spacing w:after="0" w:line="238" w:lineRule="exact"/>
        <w:rPr>
          <w:rFonts w:ascii="Arial" w:cs="Arial" w:eastAsia="Arial" w:hAnsi="Arial"/>
          <w:sz w:val="18"/>
          <w:szCs w:val="18"/>
          <w:color w:val="auto"/>
        </w:rPr>
      </w:pPr>
    </w:p>
    <w:p>
      <w:pPr>
        <w:ind w:left="1300" w:right="140" w:hanging="644"/>
        <w:spacing w:after="0" w:line="261"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 increase backlog or future inventory purchase order commitments and lead to price decreases;</w:t>
      </w:r>
    </w:p>
    <w:p>
      <w:pPr>
        <w:spacing w:after="0" w:line="197" w:lineRule="exact"/>
        <w:rPr>
          <w:rFonts w:ascii="Arial" w:cs="Arial" w:eastAsia="Arial" w:hAnsi="Arial"/>
          <w:sz w:val="18"/>
          <w:szCs w:val="18"/>
          <w:color w:val="auto"/>
        </w:rPr>
      </w:pPr>
    </w:p>
    <w:p>
      <w:pPr>
        <w:ind w:left="1300" w:right="60" w:hanging="644"/>
        <w:spacing w:after="0" w:line="259" w:lineRule="auto"/>
        <w:tabs>
          <w:tab w:leader="none" w:pos="12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supply chain shortages, including component and other shortages, our backlog has fluctuated over past quarters and any decrease in growth or negative growth of in-quarter billings and revenue may not be reflected by our aggregate billings and revenue. As we have fulfilled, shipped and billed during a quarter to satisfy backlog, this has increased our aggregate billings and revenue during any particular quarter, and as the supply chain challenges normalize, the growth comparisons versus prior quarters where backlog contributed more to billings have become more challenging and may become increasingly challenging;</w:t>
      </w:r>
    </w:p>
    <w:p>
      <w:pPr>
        <w:spacing w:after="0" w:line="200" w:lineRule="exact"/>
        <w:rPr>
          <w:rFonts w:ascii="Arial" w:cs="Arial" w:eastAsia="Arial" w:hAnsi="Arial"/>
          <w:sz w:val="17"/>
          <w:szCs w:val="17"/>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supplier cost increases and any lack of market acceptance of our price increases designed to help offset any supplier cost increases;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our reduction of operations in Russia;</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50" w:lineRule="exact"/>
        <w:rPr>
          <w:rFonts w:ascii="Arial" w:cs="Arial" w:eastAsia="Arial" w:hAnsi="Arial"/>
          <w:sz w:val="17"/>
          <w:szCs w:val="17"/>
          <w:color w:val="auto"/>
        </w:rPr>
      </w:pPr>
    </w:p>
    <w:p>
      <w:pPr>
        <w:ind w:left="1300" w:right="120" w:hanging="644"/>
        <w:spacing w:after="0" w:line="248"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to our business, the global economy, disruption of global supply chains and creation of significant volatility and disruption of the financial markets due to factors such as increased inflation or possible stagflation in certain geographies, increasing or decreasing interest rates, the war in Ukraine and the Israel-Hamas war and other factors;</w:t>
      </w:r>
    </w:p>
    <w:p>
      <w:pPr>
        <w:spacing w:after="0" w:line="208" w:lineRule="exact"/>
        <w:rPr>
          <w:rFonts w:ascii="Arial" w:cs="Arial" w:eastAsia="Arial" w:hAnsi="Arial"/>
          <w:sz w:val="18"/>
          <w:szCs w:val="18"/>
          <w:color w:val="auto"/>
        </w:rPr>
      </w:pPr>
    </w:p>
    <w:p>
      <w:pPr>
        <w:ind w:left="1300" w:right="220" w:hanging="644"/>
        <w:spacing w:after="0" w:line="261"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actual or perceived vulnerabilities in our products or services, and any actual or perceived breach of our network or our customers’ networks;</w:t>
      </w:r>
    </w:p>
    <w:p>
      <w:pPr>
        <w:spacing w:after="0" w:line="143" w:lineRule="exact"/>
        <w:rPr>
          <w:rFonts w:ascii="Arial" w:cs="Arial" w:eastAsia="Arial" w:hAnsi="Arial"/>
          <w:sz w:val="18"/>
          <w:szCs w:val="18"/>
          <w:color w:val="auto"/>
        </w:rPr>
      </w:pPr>
    </w:p>
    <w:p>
      <w:pPr>
        <w:ind w:left="1300" w:right="40" w:hanging="644"/>
        <w:spacing w:after="0" w:line="248"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spacing w:after="0" w:line="208" w:lineRule="exact"/>
        <w:rPr>
          <w:rFonts w:ascii="Arial" w:cs="Arial" w:eastAsia="Arial" w:hAnsi="Arial"/>
          <w:sz w:val="18"/>
          <w:szCs w:val="18"/>
          <w:color w:val="auto"/>
        </w:rPr>
      </w:pPr>
    </w:p>
    <w:p>
      <w:pPr>
        <w:jc w:val="both"/>
        <w:ind w:left="1300" w:right="60" w:hanging="644"/>
        <w:spacing w:after="0" w:line="248"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expenses, unforeseen liabilities or write-downs and any negative impact on results of operations from any acquisition or equity investment consummated, as well as accounting risks, integration risks related to product plans and products and risks of negative impact by such acquisitions and equity investments on our financial results;</w:t>
      </w:r>
    </w:p>
    <w:p>
      <w:pPr>
        <w:spacing w:after="0" w:line="208" w:lineRule="exact"/>
        <w:rPr>
          <w:rFonts w:ascii="Arial" w:cs="Arial" w:eastAsia="Arial" w:hAnsi="Arial"/>
          <w:sz w:val="18"/>
          <w:szCs w:val="18"/>
          <w:color w:val="auto"/>
        </w:rPr>
      </w:pPr>
    </w:p>
    <w:p>
      <w:pPr>
        <w:ind w:left="1300" w:right="660" w:hanging="644"/>
        <w:spacing w:after="0" w:line="261"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investors’ expectations of our performance relating to environmental, social and governance (“ESG”) and commitment to carbon neutrality;</w:t>
      </w:r>
    </w:p>
    <w:p>
      <w:pPr>
        <w:spacing w:after="0" w:line="197"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customer agreements which contain service-level agreements, under which we guarantee specified availability of our platform and solutions;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data security requirements that may be inconsistently enforced in certain jurisdictions;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impairments as a result of certain events or changes in circumstances;</w:t>
      </w:r>
    </w:p>
    <w:p>
      <w:pPr>
        <w:spacing w:after="0" w:line="225" w:lineRule="exact"/>
        <w:rPr>
          <w:rFonts w:ascii="Arial" w:cs="Arial" w:eastAsia="Arial" w:hAnsi="Arial"/>
          <w:sz w:val="18"/>
          <w:szCs w:val="18"/>
          <w:color w:val="auto"/>
        </w:rPr>
      </w:pPr>
    </w:p>
    <w:p>
      <w:pPr>
        <w:ind w:left="1300" w:right="140" w:hanging="644"/>
        <w:spacing w:after="0" w:line="261"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97" w:lineRule="exact"/>
        <w:rPr>
          <w:rFonts w:ascii="Arial" w:cs="Arial" w:eastAsia="Arial" w:hAnsi="Arial"/>
          <w:sz w:val="18"/>
          <w:szCs w:val="18"/>
          <w:color w:val="auto"/>
        </w:rPr>
      </w:pPr>
    </w:p>
    <w:p>
      <w:pPr>
        <w:ind w:left="1300" w:right="500" w:hanging="644"/>
        <w:spacing w:after="0" w:line="261"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 including the effect of the end of product lifecycles or refresh cycles;</w:t>
      </w:r>
    </w:p>
    <w:p>
      <w:pPr>
        <w:spacing w:after="0" w:line="197" w:lineRule="exact"/>
        <w:rPr>
          <w:rFonts w:ascii="Arial" w:cs="Arial" w:eastAsia="Arial" w:hAnsi="Arial"/>
          <w:sz w:val="18"/>
          <w:szCs w:val="18"/>
          <w:color w:val="auto"/>
        </w:rPr>
      </w:pPr>
    </w:p>
    <w:p>
      <w:pPr>
        <w:ind w:left="1300" w:right="80" w:hanging="644"/>
        <w:spacing w:after="0" w:line="262" w:lineRule="auto"/>
        <w:tabs>
          <w:tab w:leader="none" w:pos="12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decreases in demand by channel partners or end-customers, including any such decreases caused by factors outside of our control such as natural disasters and health emergencies, including earthquakes, droughts, fires, power outages, typhoons, floods, pandemics or epidemics and manmade events such as civil unrest, labor disruption, international trade disputes, international conflicts, terrorism, wars, such as the war in Ukraine and the Israel-Hamas war, and critical infrastructure attacks;</w:t>
      </w:r>
    </w:p>
    <w:p>
      <w:pPr>
        <w:spacing w:after="0" w:line="199" w:lineRule="exact"/>
        <w:rPr>
          <w:rFonts w:ascii="Arial" w:cs="Arial" w:eastAsia="Arial" w:hAnsi="Arial"/>
          <w:sz w:val="17"/>
          <w:szCs w:val="17"/>
          <w:color w:val="auto"/>
        </w:rPr>
      </w:pPr>
    </w:p>
    <w:p>
      <w:pPr>
        <w:ind w:left="1300" w:right="60" w:hanging="644"/>
        <w:spacing w:after="0" w:line="248"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including the time it takes to hire sales personnel, the timing of hiring and our ability to hire and retain effective sales personnel, as well as our efforts to align our sales capacity and market demand;</w:t>
      </w:r>
    </w:p>
    <w:p>
      <w:pPr>
        <w:spacing w:after="0" w:line="208" w:lineRule="exact"/>
        <w:rPr>
          <w:rFonts w:ascii="Arial" w:cs="Arial" w:eastAsia="Arial" w:hAnsi="Arial"/>
          <w:sz w:val="18"/>
          <w:szCs w:val="18"/>
          <w:color w:val="auto"/>
        </w:rPr>
      </w:pPr>
    </w:p>
    <w:p>
      <w:pPr>
        <w:ind w:left="1300" w:hanging="644"/>
        <w:spacing w:after="0" w:line="238"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productivity and 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increased competition and unpredictability of timing to close larger enterprise and large organization deals, and the risk that our sales representatives do not effectively sell products and services;</w:t>
      </w:r>
    </w:p>
    <w:p>
      <w:pPr>
        <w:spacing w:after="0" w:line="215" w:lineRule="exact"/>
        <w:rPr>
          <w:rFonts w:ascii="Arial" w:cs="Arial" w:eastAsia="Arial" w:hAnsi="Arial"/>
          <w:sz w:val="18"/>
          <w:szCs w:val="18"/>
          <w:color w:val="auto"/>
        </w:rPr>
      </w:pPr>
    </w:p>
    <w:p>
      <w:pPr>
        <w:ind w:left="1300" w:right="40" w:hanging="644"/>
        <w:spacing w:after="0" w:line="243"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security operations, SASE and other cloud security solutions, endpoint protection, and IoT and OT security opportunities;</w:t>
      </w:r>
    </w:p>
    <w:p>
      <w:pPr>
        <w:spacing w:after="0" w:line="214"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right="100" w:hanging="644"/>
        <w:spacing w:after="0" w:line="291" w:lineRule="auto"/>
        <w:tabs>
          <w:tab w:leader="none" w:pos="12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and level of our investments in sales and marketing, and the impact of such investments on our operating expenses, operating margin and the productivity, capacity, tenure and effectiveness of execution of our sales and marketing teams;</w:t>
      </w:r>
    </w:p>
    <w:p>
      <w:pPr>
        <w:spacing w:after="0" w:line="133" w:lineRule="exact"/>
        <w:rPr>
          <w:rFonts w:ascii="Arial" w:cs="Arial" w:eastAsia="Arial" w:hAnsi="Arial"/>
          <w:sz w:val="17"/>
          <w:szCs w:val="17"/>
          <w:color w:val="auto"/>
        </w:rPr>
      </w:pPr>
    </w:p>
    <w:p>
      <w:pPr>
        <w:ind w:left="1300" w:right="420" w:hanging="644"/>
        <w:spacing w:after="0" w:line="248"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revenue recognition for our sales, including any impacts resulting from extension of payment terms to distributors and fluctuations in backlog levels, which could result in more variability and less predictability in our quarter-to-quarter revenue and operating results;</w:t>
      </w:r>
    </w:p>
    <w:p>
      <w:pPr>
        <w:spacing w:after="0" w:line="154"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198" w:lineRule="exact"/>
        <w:rPr>
          <w:rFonts w:ascii="Arial" w:cs="Arial" w:eastAsia="Arial" w:hAnsi="Arial"/>
          <w:sz w:val="18"/>
          <w:szCs w:val="18"/>
          <w:color w:val="auto"/>
        </w:rPr>
      </w:pPr>
    </w:p>
    <w:p>
      <w:pPr>
        <w:ind w:left="1300" w:right="240" w:hanging="644"/>
        <w:spacing w:after="0" w:line="248"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growth rates of the network security market in particular and other security and networking markets, such as SD-WAN, OT, switches, access points, security operations, SASE and other cloud solutions for which we and our competitors sell products and services;</w:t>
      </w:r>
    </w:p>
    <w:p>
      <w:pPr>
        <w:spacing w:after="0" w:line="168" w:lineRule="exact"/>
        <w:rPr>
          <w:rFonts w:ascii="Arial" w:cs="Arial" w:eastAsia="Arial" w:hAnsi="Arial"/>
          <w:sz w:val="18"/>
          <w:szCs w:val="18"/>
          <w:color w:val="auto"/>
        </w:rPr>
      </w:pPr>
    </w:p>
    <w:p>
      <w:pPr>
        <w:ind w:left="1300" w:right="260" w:hanging="644"/>
        <w:spacing w:after="0" w:line="291" w:lineRule="auto"/>
        <w:tabs>
          <w:tab w:leader="none" w:pos="12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33" w:lineRule="exact"/>
        <w:rPr>
          <w:rFonts w:ascii="Arial" w:cs="Arial" w:eastAsia="Arial" w:hAnsi="Arial"/>
          <w:sz w:val="17"/>
          <w:szCs w:val="17"/>
          <w:color w:val="auto"/>
        </w:rPr>
      </w:pPr>
    </w:p>
    <w:p>
      <w:pPr>
        <w:ind w:left="1300" w:right="180" w:hanging="644"/>
        <w:spacing w:after="0"/>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 price decreases or changes in our registration policies, or the acceleration of orders in response to our announced or expected price list increases;</w:t>
      </w:r>
    </w:p>
    <w:p>
      <w:pPr>
        <w:spacing w:after="0" w:line="175" w:lineRule="exact"/>
        <w:rPr>
          <w:rFonts w:ascii="Arial" w:cs="Arial" w:eastAsia="Arial" w:hAnsi="Arial"/>
          <w:sz w:val="18"/>
          <w:szCs w:val="18"/>
          <w:color w:val="auto"/>
        </w:rPr>
      </w:pPr>
    </w:p>
    <w:p>
      <w:pPr>
        <w:ind w:left="1300" w:right="60" w:hanging="644"/>
        <w:spacing w:after="0" w:line="294" w:lineRule="auto"/>
        <w:tabs>
          <w:tab w:leader="none" w:pos="12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74" w:lineRule="exact"/>
        <w:rPr>
          <w:rFonts w:ascii="Arial" w:cs="Arial" w:eastAsia="Arial" w:hAnsi="Arial"/>
          <w:sz w:val="16"/>
          <w:szCs w:val="16"/>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existing laws and regulations;</w:t>
      </w:r>
    </w:p>
    <w:p>
      <w:pPr>
        <w:spacing w:after="0" w:line="238"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and maintain permits, clearances and certifications that are applicable to our ability to conduct business with the U.S. federal government, other foreign and local governments and other industries and sectors;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cloud-based security solutions on our billings, revenue, operating margins and free cash flow;</w:t>
      </w:r>
    </w:p>
    <w:p>
      <w:pPr>
        <w:spacing w:after="0" w:line="198" w:lineRule="exact"/>
        <w:rPr>
          <w:rFonts w:ascii="Arial" w:cs="Arial" w:eastAsia="Arial" w:hAnsi="Arial"/>
          <w:sz w:val="18"/>
          <w:szCs w:val="18"/>
          <w:color w:val="auto"/>
        </w:rPr>
      </w:pPr>
    </w:p>
    <w:p>
      <w:pPr>
        <w:ind w:left="1300" w:right="620" w:hanging="644"/>
        <w:spacing w:after="0" w:line="261"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price competition and increased competitiveness in our market, including the competitive pressure caused by product refresh cycles;</w:t>
      </w:r>
    </w:p>
    <w:p>
      <w:pPr>
        <w:spacing w:after="0" w:line="261" w:lineRule="exact"/>
        <w:rPr>
          <w:rFonts w:ascii="Arial" w:cs="Arial" w:eastAsia="Arial" w:hAnsi="Arial"/>
          <w:sz w:val="16"/>
          <w:szCs w:val="16"/>
          <w:color w:val="auto"/>
        </w:rPr>
      </w:pPr>
    </w:p>
    <w:p>
      <w:pPr>
        <w:ind w:left="1300" w:hanging="644"/>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both increase revenue and manage and control operating expenses in order to maintain or improve our operating margins;</w:t>
      </w:r>
    </w:p>
    <w:p>
      <w:pPr>
        <w:spacing w:after="0" w:line="221" w:lineRule="exact"/>
        <w:rPr>
          <w:rFonts w:ascii="Arial" w:cs="Arial" w:eastAsia="Arial" w:hAnsi="Arial"/>
          <w:sz w:val="16"/>
          <w:szCs w:val="16"/>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customer renewal rates or attach rates for our services;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timing of our billings, collection for our contracts or the contractual term of service sold;</w:t>
      </w:r>
    </w:p>
    <w:p>
      <w:pPr>
        <w:spacing w:after="0" w:line="238" w:lineRule="exact"/>
        <w:rPr>
          <w:rFonts w:ascii="Arial" w:cs="Arial" w:eastAsia="Arial" w:hAnsi="Arial"/>
          <w:sz w:val="18"/>
          <w:szCs w:val="18"/>
          <w:color w:val="auto"/>
        </w:rPr>
      </w:pPr>
    </w:p>
    <w:p>
      <w:pPr>
        <w:ind w:left="1300" w:right="60" w:hanging="644"/>
        <w:spacing w:after="0" w:line="261"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 and the tax treatment of research and development expenses and the related impact of cash from operations;</w:t>
      </w:r>
    </w:p>
    <w:p>
      <w:pPr>
        <w:spacing w:after="0" w:line="197" w:lineRule="exact"/>
        <w:rPr>
          <w:rFonts w:ascii="Arial" w:cs="Arial" w:eastAsia="Arial" w:hAnsi="Arial"/>
          <w:sz w:val="18"/>
          <w:szCs w:val="18"/>
          <w:color w:val="auto"/>
        </w:rPr>
      </w:pPr>
    </w:p>
    <w:p>
      <w:pPr>
        <w:ind w:left="1300" w:right="80" w:hanging="644"/>
        <w:spacing w:after="0" w:line="291" w:lineRule="auto"/>
        <w:tabs>
          <w:tab w:leader="none" w:pos="12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198"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57" w:lineRule="exact"/>
        <w:rPr>
          <w:rFonts w:ascii="Arial" w:cs="Arial" w:eastAsia="Arial" w:hAnsi="Arial"/>
          <w:sz w:val="18"/>
          <w:szCs w:val="18"/>
          <w:color w:val="auto"/>
        </w:rPr>
      </w:pPr>
    </w:p>
    <w:p>
      <w:pPr>
        <w:ind w:left="1300" w:right="180" w:hanging="644"/>
        <w:spacing w:after="0" w:line="246"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210" w:lineRule="exact"/>
        <w:rPr>
          <w:rFonts w:ascii="Arial" w:cs="Arial" w:eastAsia="Arial" w:hAnsi="Arial"/>
          <w:sz w:val="18"/>
          <w:szCs w:val="18"/>
          <w:color w:val="auto"/>
        </w:rPr>
      </w:pPr>
    </w:p>
    <w:p>
      <w:pPr>
        <w:ind w:left="1300" w:right="640" w:hanging="644"/>
        <w:spacing w:after="0" w:line="291" w:lineRule="auto"/>
        <w:tabs>
          <w:tab w:leader="none" w:pos="12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80" w:lineRule="exact"/>
        <w:rPr>
          <w:rFonts w:ascii="Arial" w:cs="Arial" w:eastAsia="Arial" w:hAnsi="Arial"/>
          <w:sz w:val="17"/>
          <w:szCs w:val="17"/>
          <w:color w:val="auto"/>
        </w:rPr>
      </w:pPr>
    </w:p>
    <w:p>
      <w:pPr>
        <w:ind w:left="1300" w:right="60" w:hanging="644"/>
        <w:spacing w:after="0" w:line="267" w:lineRule="auto"/>
        <w:tabs>
          <w:tab w:leader="none" w:pos="12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political, economic and social instability, including geo-political instability and uncertainty</w:t>
      </w:r>
      <w:r>
        <w:rPr>
          <w:rFonts w:ascii="Arial" w:cs="Arial" w:eastAsia="Arial" w:hAnsi="Arial"/>
          <w:sz w:val="20"/>
          <w:szCs w:val="20"/>
          <w:color w:val="auto"/>
        </w:rPr>
        <w:t>,</w:t>
      </w:r>
      <w:r>
        <w:rPr>
          <w:rFonts w:ascii="Arial" w:cs="Arial" w:eastAsia="Arial" w:hAnsi="Arial"/>
          <w:sz w:val="17"/>
          <w:szCs w:val="17"/>
          <w:color w:val="auto"/>
        </w:rPr>
        <w:t xml:space="preserve"> such as that caused by the war in Ukraine, the Israel-Hamas war, tensions between China and Taiwan, and any disruption or negative impact on our ability to sell to, ship product to and support customers in certain regions based on trade restrictions, embargoes and export control law restrictions;</w:t>
      </w:r>
    </w:p>
    <w:p>
      <w:pPr>
        <w:spacing w:after="0" w:line="193" w:lineRule="exact"/>
        <w:rPr>
          <w:rFonts w:ascii="Arial" w:cs="Arial" w:eastAsia="Arial" w:hAnsi="Arial"/>
          <w:sz w:val="17"/>
          <w:szCs w:val="17"/>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38" w:lineRule="exact"/>
        <w:rPr>
          <w:rFonts w:ascii="Arial" w:cs="Arial" w:eastAsia="Arial" w:hAnsi="Arial"/>
          <w:sz w:val="18"/>
          <w:szCs w:val="18"/>
          <w:color w:val="auto"/>
        </w:rPr>
      </w:pPr>
    </w:p>
    <w:p>
      <w:pPr>
        <w:ind w:left="1300" w:right="40" w:hanging="644"/>
        <w:spacing w:after="0" w:line="261"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as well as the significant costs that may be incurred to adopt and comply with these new pronouncements;</w:t>
      </w:r>
    </w:p>
    <w:p>
      <w:pPr>
        <w:spacing w:after="0" w:line="197" w:lineRule="exact"/>
        <w:rPr>
          <w:rFonts w:ascii="Arial" w:cs="Arial" w:eastAsia="Arial" w:hAnsi="Arial"/>
          <w:sz w:val="18"/>
          <w:szCs w:val="18"/>
          <w:color w:val="auto"/>
        </w:rPr>
      </w:pPr>
    </w:p>
    <w:p>
      <w:pPr>
        <w:ind w:left="1300" w:right="520" w:hanging="644"/>
        <w:spacing w:after="0" w:line="261"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investments and future acquisition and development plans; and</w:t>
      </w:r>
    </w:p>
    <w:p>
      <w:pPr>
        <w:spacing w:after="0" w:line="197" w:lineRule="exact"/>
        <w:rPr>
          <w:rFonts w:ascii="Arial" w:cs="Arial" w:eastAsia="Arial" w:hAnsi="Arial"/>
          <w:sz w:val="18"/>
          <w:szCs w:val="18"/>
          <w:color w:val="auto"/>
        </w:rPr>
      </w:pPr>
    </w:p>
    <w:p>
      <w:pPr>
        <w:ind w:left="1300" w:right="500" w:hanging="644"/>
        <w:spacing w:after="0" w:line="261"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regional component bans, and requirements for local manufacture.</w:t>
      </w:r>
    </w:p>
    <w:p>
      <w:pPr>
        <w:spacing w:after="0" w:line="184"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30"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Adverse economic conditions, such as a possible recession and possible impacts of inflation or stagflation, increasing or decreasing interest rates, reduced information technology spending, including firewall spending, or any economic downturn or recession, may adversely impact our business.</w:t>
      </w:r>
    </w:p>
    <w:p>
      <w:pPr>
        <w:spacing w:after="0" w:line="87" w:lineRule="exact"/>
        <w:rPr>
          <w:sz w:val="20"/>
          <w:szCs w:val="20"/>
          <w:color w:val="auto"/>
        </w:rPr>
      </w:pPr>
    </w:p>
    <w:p>
      <w:pPr>
        <w:ind w:right="80" w:firstLine="648"/>
        <w:spacing w:after="0" w:line="268"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based on a downturn in the economy, a possible recession and the effects of ongoing or increased inflation or possible stagflation in certain geographies, increasing or decreasing interest rates, geopolitical instability and uncertainty, a reduction in information technology spending regardless of macroeconomic conditions, the effects of epidemics and pandemics and the impact of the war in Ukraine and the Israel-Hamas war each could have a material adverse impacts on our financial condition and results of operations and our business, including resulting in longer sales cycles, lower prices for our products and services, increased component costs, higher default rates among our channel partners, reduced unit sales, lower prices and slower or declining growth. These can negatively impact our business by putting downward pressure on growth if we are unable to achieve the increases in product prices necessary to appropriately offset the additional costs in a manner sufficient to maintain margins. Any of these impacts may materially and adversely affect our business, financial condition, results of operations and liquidity.</w:t>
      </w:r>
    </w:p>
    <w:p>
      <w:pPr>
        <w:spacing w:after="0" w:line="200"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The existence of inflation in certain economies has resulted in, and may continue to result in, increasing or decreasing interest rates and capital costs, increased component or shipping costs, increased costs of labor, weakening exchange rates and other similar effects. Although we take measures to mitigate risks such as those associated with inflation, the mitigating measures may not be effective or their impact may not offset the increased cost of inflation in a timely manner. Inflation, an economic downturn, a recession and any other economic challenges may also adversely impact spending patterns by our distributors, resellers and end-customers.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and free cash flow growth may slow or may not continue</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and our operating margins may decline.</w:t>
      </w:r>
    </w:p>
    <w:p>
      <w:pPr>
        <w:spacing w:after="0" w:line="211"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We may experience slowing growth or a decrease in billings, revenue, operating margin and free cash flow for a number of reasons, including a slowdown in demand for our products or services, a shift in demand from products to services, decrease in services revenue growth, increased competition, execution challenges including sales execution challenges and lack of optimal sales productivity, worldwide or regional economic challenges based on inflation or possible stagflation, a regional recession or a recession in the global economy, rising interest rates, the war in Ukraine and the Israel-Hamas war, a decrease in the growth of our overall market or softness in demand in certain geographies or industry verticals, such as the service provider industry, changes in our strategic opportunities, execution risks, lower sales productivity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our historical profitability levels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2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real estate investments, including construction or acquisition of new data centers, data center expansions or office buildings, could involve significant risks to our business.</w:t>
      </w:r>
    </w:p>
    <w:p>
      <w:pPr>
        <w:spacing w:after="0" w:line="184" w:lineRule="exact"/>
        <w:rPr>
          <w:sz w:val="20"/>
          <w:szCs w:val="20"/>
          <w:color w:val="auto"/>
        </w:rPr>
      </w:pPr>
    </w:p>
    <w:p>
      <w:pPr>
        <w:ind w:right="40" w:firstLine="648"/>
        <w:spacing w:after="0" w:line="262" w:lineRule="auto"/>
        <w:rPr>
          <w:sz w:val="20"/>
          <w:szCs w:val="20"/>
          <w:color w:val="auto"/>
        </w:rPr>
      </w:pPr>
      <w:r>
        <w:rPr>
          <w:rFonts w:ascii="Arial" w:cs="Arial" w:eastAsia="Arial" w:hAnsi="Arial"/>
          <w:sz w:val="17"/>
          <w:szCs w:val="17"/>
          <w:color w:val="auto"/>
        </w:rPr>
        <w:t>In order to sustain our growth in certain of our existing and new markets, we may expand existing data centers, lease new facilities or acquire suitable land, with or without structures, to build new data centers or office buildings. These projects expose us to risks which could have an adverse effect on our results of operations and financial condition. The current global supply chain and inflation issues have exacerbated many of these construction risks and created additional risks for our business. Some of the risks associated with construction projects include:</w:t>
      </w:r>
    </w:p>
    <w:p>
      <w:pPr>
        <w:spacing w:after="0" w:line="199"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construction delays;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availability and delays for data center equipment, including items such as generators and switchgear;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budget changes;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prices for and delays in obtaining building supplies, raw materials and data center equipment;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labor availability, labor disputes and work stoppages with contractors, subcontractors and other third parties;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environmental issues and geological problems;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related to permitting and approvals to open from public agencies and utility companies;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lack of power access;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or inability for any reason to meet customer requirements;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investor expectations regarding ESG;</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site readiness leading to our failure to meet commitments made to customers; and</w:t>
      </w:r>
    </w:p>
    <w:p>
      <w:pPr>
        <w:spacing w:after="0" w:line="238" w:lineRule="exact"/>
        <w:rPr>
          <w:rFonts w:ascii="Arial" w:cs="Arial" w:eastAsia="Arial" w:hAnsi="Arial"/>
          <w:sz w:val="18"/>
          <w:szCs w:val="18"/>
          <w:color w:val="auto"/>
        </w:rPr>
      </w:pPr>
    </w:p>
    <w:p>
      <w:pPr>
        <w:ind w:left="1300" w:right="220" w:hanging="644"/>
        <w:spacing w:after="0" w:line="261"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customer requirements that would necessitate alternative data center design, making our sites less desirable or leading to increased costs in order to make necessary modifications or retrofits.</w:t>
      </w:r>
    </w:p>
    <w:p>
      <w:pPr>
        <w:spacing w:after="0" w:line="198" w:lineRule="exact"/>
        <w:rPr>
          <w:sz w:val="20"/>
          <w:szCs w:val="20"/>
          <w:color w:val="auto"/>
        </w:rPr>
      </w:pPr>
    </w:p>
    <w:p>
      <w:pPr>
        <w:ind w:right="460" w:firstLine="648"/>
        <w:spacing w:after="0" w:line="238" w:lineRule="auto"/>
        <w:rPr>
          <w:sz w:val="20"/>
          <w:szCs w:val="20"/>
          <w:color w:val="auto"/>
        </w:rPr>
      </w:pPr>
      <w:r>
        <w:rPr>
          <w:rFonts w:ascii="Arial" w:cs="Arial" w:eastAsia="Arial" w:hAnsi="Arial"/>
          <w:sz w:val="18"/>
          <w:szCs w:val="18"/>
          <w:color w:val="auto"/>
        </w:rPr>
        <w:t>All construction-related projects require us to carefully select and rely on the experience of one or more designers, general contractors and associated subcontractors during the design and construction process. Should a designer, general contractor, significant subcontractor or key supplier experience financial problems or other problems during the design or construction process, we could experience significant delays, increased costs to complete the project and/or other negative impacts to our expected returns.</w:t>
      </w:r>
    </w:p>
    <w:p>
      <w:pPr>
        <w:spacing w:after="0" w:line="218" w:lineRule="exact"/>
        <w:rPr>
          <w:sz w:val="20"/>
          <w:szCs w:val="20"/>
          <w:color w:val="auto"/>
        </w:rPr>
      </w:pPr>
    </w:p>
    <w:p>
      <w:pPr>
        <w:jc w:val="both"/>
        <w:ind w:right="100" w:firstLine="648"/>
        <w:spacing w:after="0" w:line="243" w:lineRule="auto"/>
        <w:rPr>
          <w:sz w:val="20"/>
          <w:szCs w:val="20"/>
          <w:color w:val="auto"/>
        </w:rPr>
      </w:pPr>
      <w:r>
        <w:rPr>
          <w:rFonts w:ascii="Arial" w:cs="Arial" w:eastAsia="Arial" w:hAnsi="Arial"/>
          <w:sz w:val="18"/>
          <w:szCs w:val="18"/>
          <w:color w:val="auto"/>
        </w:rPr>
        <w:t>We have broad insurance programs covering our properties and operating activities with limits of liability, deductibles and self-insured retentions that we believe are comparable to similarly situated companies. We believe the policy specifications and insured limits of these policies are adequate and appropriate. There are, however, certain types of extraordinary losses which may not be adequately covered under our insurance program. In addition, we could sustain losses due to insurance</w:t>
      </w:r>
    </w:p>
    <w:p>
      <w:pPr>
        <w:sectPr>
          <w:pgSz w:w="11900" w:h="16838" w:orient="portrait"/>
          <w:cols w:equalWidth="0" w:num="1">
            <w:col w:w="11200"/>
          </w:cols>
          <w:pgMar w:left="320" w:top="283" w:right="37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color w:val="auto"/>
        </w:rPr>
        <w:t>deductibles, self-insured retention, uninsured claims or casualties or losses in excess of applicable coverage. If an uninsured loss or a loss in excess of insured limits occurs, we could lose all or a portion of the capital we have invested in a property, as well as the anticipated future revenue from the property. In such an event, we might nevertheless remain obligated for any mortgage debt or other financial obligations related to the property. Material losses in excess of insurance proceeds may occur in the future. Such events could materially and adversely affect our financial condition and results of operations.</w:t>
      </w:r>
    </w:p>
    <w:p>
      <w:pPr>
        <w:spacing w:after="0" w:line="216"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Additionally, under various federal, state and local environmental laws, ordinances and regulations, a current or previous owner or operator of real property may be liable for the costs of removal or remediation of hazardous or toxic substances on, under or in that property. Those laws often impose liability even if the owner or operator did not cause or know of the presence of hazardous or toxic substances and even if the storage of those substances was in violation of a customer’s lease. In addition, the presence of hazardous or toxic substances, or the failure of the owner to address their presence on the property, may adversely affect the owner’s ability to borrow using that real property as collateral. Any environmental issues related to our real estate activities could materially and adversely affect our financial condition and results of operations.</w:t>
      </w:r>
    </w:p>
    <w:p>
      <w:pPr>
        <w:spacing w:after="0" w:line="22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84" w:lineRule="exact"/>
        <w:rPr>
          <w:sz w:val="20"/>
          <w:szCs w:val="20"/>
          <w:color w:val="auto"/>
        </w:rPr>
      </w:pPr>
    </w:p>
    <w:p>
      <w:pPr>
        <w:ind w:right="20" w:firstLine="648"/>
        <w:spacing w:after="0" w:line="279"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gross accounts receivable, and one distributor accounted for 26% of our total net accounts receivable as of September 30, 2023.</w:t>
      </w:r>
    </w:p>
    <w:p>
      <w:pPr>
        <w:spacing w:after="0" w:line="173" w:lineRule="exact"/>
        <w:rPr>
          <w:sz w:val="20"/>
          <w:szCs w:val="20"/>
          <w:color w:val="auto"/>
        </w:rPr>
      </w:pPr>
    </w:p>
    <w:p>
      <w:pPr>
        <w:ind w:right="140" w:firstLine="648"/>
        <w:spacing w:after="0" w:line="272"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w:t>
      </w:r>
    </w:p>
    <w:p>
      <w:pPr>
        <w:spacing w:after="0" w:line="193" w:lineRule="exact"/>
        <w:rPr>
          <w:sz w:val="20"/>
          <w:szCs w:val="20"/>
          <w:color w:val="auto"/>
        </w:rPr>
      </w:pPr>
    </w:p>
    <w:p>
      <w:pPr>
        <w:ind w:right="40" w:firstLine="648"/>
        <w:spacing w:after="0" w:line="267" w:lineRule="auto"/>
        <w:rPr>
          <w:sz w:val="20"/>
          <w:szCs w:val="20"/>
          <w:color w:val="auto"/>
        </w:rPr>
      </w:pPr>
      <w:r>
        <w:rPr>
          <w:rFonts w:ascii="Arial" w:cs="Arial" w:eastAsia="Arial" w:hAnsi="Arial"/>
          <w:sz w:val="16"/>
          <w:szCs w:val="16"/>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199"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Six distributor customers accounted for 65% of our total net accounts receivable in the aggregate as of September 30, 2023. See Note 15. Segment Information in Part I, Item 1 of this Quarterly Report on Form 10-Q for distributor customers that accounted for 10% or more of our revenue or net accounts receivable. Our largest distributors may experience financial difficulties, face liquidity risk or other financial challenges, which may harm our ability to collect on our accounts receivable.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We provide sales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some of our largest partners, and we may not have sufficient information to assess their financial condition. If our channel partners’ financial condition or operations weaken, their ability to sell our products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06"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end-users,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r>
        <w:rPr>
          <w:rFonts w:ascii="Arial" w:cs="Arial" w:eastAsia="Arial" w:hAnsi="Arial"/>
          <w:sz w:val="17"/>
          <w:szCs w:val="17"/>
          <w:i w:val="1"/>
          <w:iCs w:val="1"/>
          <w:color w:val="auto"/>
        </w:rPr>
        <w:t>.</w:t>
      </w:r>
    </w:p>
    <w:p>
      <w:pPr>
        <w:spacing w:after="0" w:line="250" w:lineRule="exact"/>
        <w:rPr>
          <w:sz w:val="20"/>
          <w:szCs w:val="20"/>
          <w:color w:val="auto"/>
        </w:rPr>
      </w:pPr>
    </w:p>
    <w:p>
      <w:pPr>
        <w:ind w:right="20" w:firstLine="648"/>
        <w:spacing w:after="0" w:line="250" w:lineRule="auto"/>
        <w:rPr>
          <w:sz w:val="20"/>
          <w:szCs w:val="20"/>
          <w:color w:val="auto"/>
        </w:rPr>
      </w:pPr>
      <w:r>
        <w:rPr>
          <w:rFonts w:ascii="Arial" w:cs="Arial" w:eastAsia="Arial" w:hAnsi="Arial"/>
          <w:sz w:val="17"/>
          <w:szCs w:val="17"/>
          <w:color w:val="auto"/>
        </w:rPr>
        <w:t>As a result of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we have system issues that prevent processing in time to realize service billings in a quarter, or there are delays in deals closing or deals are lost, we will not be able to bill and realize billings for those services until possibly the following quarter at the earliest,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or deals are lost for any reason or our ability to fulfill orders at the end of any quarter is hindered for any reason, including, among others:</w:t>
      </w:r>
    </w:p>
    <w:p>
      <w:pPr>
        <w:spacing w:after="0" w:line="199"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of anticipated purchase orders to materialize;</w:t>
      </w:r>
    </w:p>
    <w:p>
      <w:pPr>
        <w:spacing w:after="0" w:line="238" w:lineRule="exact"/>
        <w:rPr>
          <w:rFonts w:ascii="Arial" w:cs="Arial" w:eastAsia="Arial" w:hAnsi="Arial"/>
          <w:sz w:val="18"/>
          <w:szCs w:val="18"/>
          <w:color w:val="auto"/>
        </w:rPr>
      </w:pPr>
    </w:p>
    <w:p>
      <w:pPr>
        <w:ind w:left="1300" w:right="520" w:hanging="644"/>
        <w:spacing w:after="0" w:line="261"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logistics partners’ failure or inability to ship products prior to quarter-end to fulfill purchase orders received near the end of the quarter;</w:t>
      </w:r>
    </w:p>
    <w:p>
      <w:pPr>
        <w:spacing w:after="0" w:line="197" w:lineRule="exact"/>
        <w:rPr>
          <w:rFonts w:ascii="Arial" w:cs="Arial" w:eastAsia="Arial" w:hAnsi="Arial"/>
          <w:sz w:val="18"/>
          <w:szCs w:val="18"/>
          <w:color w:val="auto"/>
        </w:rPr>
      </w:pPr>
    </w:p>
    <w:p>
      <w:pPr>
        <w:ind w:left="1300" w:right="40" w:hanging="644"/>
        <w:spacing w:after="0" w:line="261"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 in manufacturing or shipping based on power outages, system failures, labor disputes or constraints, excessive demand, natural disasters or widespread public health problems including pandemics and epidemics;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accurately forecast our inventory requirements and to appropriately manage inventory to meet demand;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release new products on schedule;</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failure of our systems related to order review and processing;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right="2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delays in shipments due to trade compliance requirements, labor disputes or logistics changes at shipping ports, airline strikes, severe weather or otherwise.</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spacing w:after="0" w:line="200" w:lineRule="exact"/>
        <w:rPr>
          <w:sz w:val="20"/>
          <w:szCs w:val="20"/>
          <w:color w:val="auto"/>
        </w:rPr>
      </w:pPr>
    </w:p>
    <w:p>
      <w:pPr>
        <w:ind w:right="20" w:firstLine="648"/>
        <w:spacing w:after="0" w:line="266" w:lineRule="auto"/>
        <w:rPr>
          <w:sz w:val="20"/>
          <w:szCs w:val="20"/>
          <w:color w:val="auto"/>
        </w:rPr>
      </w:pPr>
      <w:r>
        <w:rPr>
          <w:rFonts w:ascii="Arial" w:cs="Arial" w:eastAsia="Arial" w:hAnsi="Arial"/>
          <w:sz w:val="16"/>
          <w:szCs w:val="16"/>
          <w:color w:val="auto"/>
        </w:rPr>
        <w:t>Our FortiGuard and other security subscription and FortiCare technical support services revenue has historically accounted for a significant percentage of our total revenue. Revenue from the sale of new, or from the renewal of existing, FortiGuard and other security subscription and FortiCare technical support service contracts may decline and fluctuate as a result of a number of factors, including fluctuations in purchases of Core Platform appliances or our Enhanced Platform Technology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and other security subscription and FortiCare technical support service contracts decline, our revenue and revenue growth may decline and our business could suffer. In addition, in the event significant customers require payment 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ratably over the term of the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subscriptions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term.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indebtedness and may incur other debt in the future, which may adversely affect our financial condition and future financial results.</w:t>
      </w:r>
    </w:p>
    <w:p>
      <w:pPr>
        <w:spacing w:after="0" w:line="273" w:lineRule="exact"/>
        <w:rPr>
          <w:sz w:val="20"/>
          <w:szCs w:val="20"/>
          <w:color w:val="auto"/>
        </w:rPr>
      </w:pPr>
    </w:p>
    <w:p>
      <w:pPr>
        <w:jc w:val="both"/>
        <w:ind w:right="300" w:firstLine="648"/>
        <w:spacing w:after="0" w:line="248" w:lineRule="auto"/>
        <w:rPr>
          <w:sz w:val="20"/>
          <w:szCs w:val="20"/>
          <w:color w:val="auto"/>
        </w:rPr>
      </w:pPr>
      <w:r>
        <w:rPr>
          <w:rFonts w:ascii="Arial" w:cs="Arial" w:eastAsia="Arial" w:hAnsi="Arial"/>
          <w:sz w:val="18"/>
          <w:szCs w:val="18"/>
          <w:color w:val="auto"/>
        </w:rPr>
        <w:t>As of September 30, 2023, we had an aggregate of $991.8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09"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increasing our vulnerability to downturns in our business, to competitive pressures and to adverse economic and industry conditions;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right="260" w:hanging="644"/>
        <w:spacing w:after="0" w:line="324" w:lineRule="auto"/>
        <w:tabs>
          <w:tab w:leader="none" w:pos="12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spacing w:after="0" w:line="151" w:lineRule="exact"/>
        <w:rPr>
          <w:rFonts w:ascii="Arial" w:cs="Arial" w:eastAsia="Arial" w:hAnsi="Arial"/>
          <w:sz w:val="16"/>
          <w:szCs w:val="16"/>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our industries;</w:t>
      </w:r>
    </w:p>
    <w:p>
      <w:pPr>
        <w:spacing w:after="0" w:line="23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191" w:lineRule="exact"/>
        <w:rPr>
          <w:sz w:val="20"/>
          <w:szCs w:val="20"/>
          <w:color w:val="auto"/>
        </w:rPr>
      </w:pPr>
    </w:p>
    <w:p>
      <w:pPr>
        <w:jc w:val="both"/>
        <w:ind w:right="60" w:firstLine="648"/>
        <w:spacing w:after="0" w:line="238" w:lineRule="auto"/>
        <w:rPr>
          <w:sz w:val="20"/>
          <w:szCs w:val="20"/>
          <w:color w:val="auto"/>
        </w:rPr>
      </w:pPr>
      <w:r>
        <w:rPr>
          <w:rFonts w:ascii="Arial" w:cs="Arial" w:eastAsia="Arial" w:hAnsi="Arial"/>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18"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216" w:lineRule="exact"/>
        <w:rPr>
          <w:sz w:val="20"/>
          <w:szCs w:val="20"/>
          <w:color w:val="auto"/>
        </w:rPr>
      </w:pPr>
    </w:p>
    <w:p>
      <w:pPr>
        <w:ind w:right="60" w:firstLine="648"/>
        <w:spacing w:after="0" w:line="291" w:lineRule="auto"/>
        <w:rPr>
          <w:sz w:val="20"/>
          <w:szCs w:val="20"/>
          <w:color w:val="auto"/>
        </w:rPr>
      </w:pPr>
      <w:r>
        <w:rPr>
          <w:rFonts w:ascii="Arial" w:cs="Arial" w:eastAsia="Arial" w:hAnsi="Arial"/>
          <w:sz w:val="17"/>
          <w:szCs w:val="17"/>
          <w:color w:val="auto"/>
        </w:rPr>
        <w:t>In addition, changes by any rating agency to our credit rating may negatively impact the value and liquidity of both our debt and equity securities, as well as affect our ability to obtain additional financing in the future and may negatively impact the terms of any such financing.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Sales and End-Customers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57" w:lineRule="exact"/>
        <w:rPr>
          <w:sz w:val="20"/>
          <w:szCs w:val="20"/>
          <w:color w:val="auto"/>
        </w:rPr>
      </w:pPr>
    </w:p>
    <w:p>
      <w:pPr>
        <w:jc w:val="both"/>
        <w:ind w:right="160" w:firstLine="648"/>
        <w:spacing w:after="0" w:line="270"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77" w:lineRule="exact"/>
        <w:rPr>
          <w:sz w:val="20"/>
          <w:szCs w:val="20"/>
          <w:color w:val="auto"/>
        </w:rPr>
      </w:pPr>
    </w:p>
    <w:p>
      <w:pPr>
        <w:ind w:left="1300" w:right="160" w:hanging="644"/>
        <w:spacing w:after="0" w:line="279" w:lineRule="auto"/>
        <w:tabs>
          <w:tab w:leader="none" w:pos="12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disruption in the supply chain or in manufacturing or shipping, or decreases in demand by channel partners or end-customers, including any such disruption or decreases caused by factors outside of our control such as natural disasters and health emergencies, including earthquakes, droughts, fires, power outages, typhoons, floods, pandemics or epidemics and manmade events such as civil unrest, labor disruption, international trade disputes, international conflicts, terrorism, wars or other foreign conflicts, such as the war in Ukraine and the Israel-Hamas war or tensions between China and Taiwan, and critical infrastructure attacks;</w:t>
      </w:r>
    </w:p>
    <w:p>
      <w:pPr>
        <w:spacing w:after="0" w:line="186" w:lineRule="exact"/>
        <w:rPr>
          <w:rFonts w:ascii="Arial" w:cs="Arial" w:eastAsia="Arial" w:hAnsi="Arial"/>
          <w:sz w:val="16"/>
          <w:szCs w:val="16"/>
          <w:color w:val="auto"/>
        </w:rPr>
      </w:pPr>
    </w:p>
    <w:p>
      <w:pPr>
        <w:ind w:left="1300" w:right="200" w:hanging="644"/>
        <w:spacing w:after="0" w:line="248"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208" w:lineRule="exact"/>
        <w:rPr>
          <w:rFonts w:ascii="Arial" w:cs="Arial" w:eastAsia="Arial" w:hAnsi="Arial"/>
          <w:sz w:val="18"/>
          <w:szCs w:val="18"/>
          <w:color w:val="auto"/>
        </w:rPr>
      </w:pPr>
    </w:p>
    <w:p>
      <w:pPr>
        <w:ind w:left="1300" w:hanging="644"/>
        <w:spacing w:after="0" w:line="248"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such as any economic or political instability caused by economic downturns and wars or other foreign conflicts, such as the war in Ukraine and the Israel-Hamas war, tensions between China and Taiwan and any expansions thereof;</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instability in the global banking system;</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sales processes for larger deals;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(“IP”) rights in some countries;</w:t>
      </w:r>
    </w:p>
    <w:p>
      <w:pPr>
        <w:spacing w:after="0" w:line="238" w:lineRule="exact"/>
        <w:rPr>
          <w:rFonts w:ascii="Arial" w:cs="Arial" w:eastAsia="Arial" w:hAnsi="Arial"/>
          <w:sz w:val="18"/>
          <w:szCs w:val="18"/>
          <w:color w:val="auto"/>
        </w:rPr>
      </w:pPr>
    </w:p>
    <w:p>
      <w:pPr>
        <w:ind w:left="1300" w:right="240" w:hanging="644"/>
        <w:spacing w:after="0" w:line="261" w:lineRule="auto"/>
        <w:tabs>
          <w:tab w:leader="none" w:pos="12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97" w:lineRule="exact"/>
        <w:rPr>
          <w:rFonts w:ascii="Arial" w:cs="Arial" w:eastAsia="Arial" w:hAnsi="Arial"/>
          <w:sz w:val="18"/>
          <w:szCs w:val="18"/>
          <w:color w:val="auto"/>
        </w:rPr>
      </w:pPr>
    </w:p>
    <w:p>
      <w:pPr>
        <w:ind w:left="1300" w:right="940" w:hanging="644"/>
        <w:spacing w:after="0" w:line="261" w:lineRule="auto"/>
        <w:tabs>
          <w:tab w:leader="none" w:pos="12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43" w:lineRule="exact"/>
        <w:rPr>
          <w:rFonts w:ascii="Arial" w:cs="Arial" w:eastAsia="Arial" w:hAnsi="Arial"/>
          <w:sz w:val="18"/>
          <w:szCs w:val="18"/>
          <w:color w:val="auto"/>
        </w:rPr>
      </w:pPr>
    </w:p>
    <w:p>
      <w:pPr>
        <w:ind w:left="1300" w:right="80" w:hanging="644"/>
        <w:spacing w:after="0" w:line="243" w:lineRule="auto"/>
        <w:tabs>
          <w:tab w:leader="none" w:pos="12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214" w:lineRule="exact"/>
        <w:rPr>
          <w:rFonts w:ascii="Arial" w:cs="Arial" w:eastAsia="Arial" w:hAnsi="Arial"/>
          <w:sz w:val="18"/>
          <w:szCs w:val="18"/>
          <w:color w:val="auto"/>
        </w:rPr>
      </w:pPr>
    </w:p>
    <w:p>
      <w:pPr>
        <w:ind w:left="1300" w:right="280" w:hanging="644"/>
        <w:spacing w:after="0" w:line="261" w:lineRule="auto"/>
        <w:tabs>
          <w:tab w:leader="none" w:pos="12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97" w:lineRule="exact"/>
        <w:rPr>
          <w:rFonts w:ascii="Arial" w:cs="Arial" w:eastAsia="Arial" w:hAnsi="Arial"/>
          <w:sz w:val="18"/>
          <w:szCs w:val="18"/>
          <w:color w:val="auto"/>
        </w:rPr>
      </w:pPr>
    </w:p>
    <w:p>
      <w:pPr>
        <w:ind w:left="1300" w:right="200" w:hanging="644"/>
        <w:spacing w:after="0" w:line="243" w:lineRule="auto"/>
        <w:tabs>
          <w:tab w:leader="none" w:pos="12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14"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ability to effectively implement and maintain adequate internal controls to properly manage our international sales and operations;</w:t>
      </w:r>
    </w:p>
    <w:p>
      <w:pPr>
        <w:spacing w:after="0" w:line="261" w:lineRule="exact"/>
        <w:rPr>
          <w:rFonts w:ascii="Arial" w:cs="Arial" w:eastAsia="Arial" w:hAnsi="Arial"/>
          <w:sz w:val="16"/>
          <w:szCs w:val="16"/>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war or natural disasters;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198"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11"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2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57"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a risk as to our level of success selling to these target customers. Such sales involve unique sales skillsets, processes and structures, are often more complex and feature a longer contract term</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400"/>
        <w:spacing w:after="0" w:line="270" w:lineRule="auto"/>
        <w:rPr>
          <w:sz w:val="20"/>
          <w:szCs w:val="20"/>
          <w:color w:val="auto"/>
        </w:rPr>
      </w:pPr>
      <w:r>
        <w:rPr>
          <w:rFonts w:ascii="Arial" w:cs="Arial" w:eastAsia="Arial" w:hAnsi="Arial"/>
          <w:sz w:val="17"/>
          <w:szCs w:val="17"/>
          <w:color w:val="auto"/>
        </w:rPr>
        <w:t>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91" w:lineRule="exact"/>
        <w:rPr>
          <w:sz w:val="20"/>
          <w:szCs w:val="20"/>
          <w:color w:val="auto"/>
        </w:rPr>
      </w:pPr>
    </w:p>
    <w:p>
      <w:pPr>
        <w:ind w:left="1300" w:right="220" w:hanging="644"/>
        <w:spacing w:after="0" w:line="261"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120" w:hanging="644"/>
        <w:spacing w:after="0" w:line="248"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68" w:lineRule="exact"/>
        <w:rPr>
          <w:rFonts w:ascii="Arial" w:cs="Arial" w:eastAsia="Arial" w:hAnsi="Arial"/>
          <w:sz w:val="18"/>
          <w:szCs w:val="18"/>
          <w:color w:val="auto"/>
        </w:rPr>
      </w:pPr>
    </w:p>
    <w:p>
      <w:pPr>
        <w:ind w:left="1300" w:right="860" w:hanging="644"/>
        <w:spacing w:after="0" w:line="261"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97" w:lineRule="exact"/>
        <w:rPr>
          <w:rFonts w:ascii="Arial" w:cs="Arial" w:eastAsia="Arial" w:hAnsi="Arial"/>
          <w:sz w:val="18"/>
          <w:szCs w:val="18"/>
          <w:color w:val="auto"/>
        </w:rPr>
      </w:pPr>
    </w:p>
    <w:p>
      <w:pPr>
        <w:ind w:left="1300" w:right="80" w:hanging="644"/>
        <w:spacing w:after="0" w:line="261"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longer sales cycles and the associated risk that deals are delayed and that substantial time and resources may be spent on a potential end-customer that elects not to purchase our products and services;</w:t>
      </w:r>
    </w:p>
    <w:p>
      <w:pPr>
        <w:spacing w:after="0" w:line="197" w:lineRule="exact"/>
        <w:rPr>
          <w:rFonts w:ascii="Arial" w:cs="Arial" w:eastAsia="Arial" w:hAnsi="Arial"/>
          <w:sz w:val="18"/>
          <w:szCs w:val="18"/>
          <w:color w:val="auto"/>
        </w:rPr>
      </w:pPr>
    </w:p>
    <w:p>
      <w:pPr>
        <w:ind w:left="1300" w:right="40" w:hanging="644"/>
        <w:spacing w:after="0" w:line="261"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uncertainty as to timing to close large deals and any delays in closing those deals; and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185" w:lineRule="exact"/>
        <w:rPr>
          <w:sz w:val="20"/>
          <w:szCs w:val="20"/>
          <w:color w:val="auto"/>
        </w:rPr>
      </w:pPr>
    </w:p>
    <w:p>
      <w:pPr>
        <w:ind w:firstLine="648"/>
        <w:spacing w:after="0" w:line="266" w:lineRule="auto"/>
        <w:rPr>
          <w:sz w:val="20"/>
          <w:szCs w:val="20"/>
          <w:color w:val="auto"/>
        </w:rPr>
      </w:pPr>
      <w:r>
        <w:rPr>
          <w:rFonts w:ascii="Arial" w:cs="Arial" w:eastAsia="Arial" w:hAnsi="Arial"/>
          <w:sz w:val="16"/>
          <w:szCs w:val="16"/>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current economic conditions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8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6"/>
          <w:szCs w:val="16"/>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our sales strategy, sales execution, and sales personnel selling</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the sales personnel are not successful in obtaining new end-customers or increasing sales to our existing customer base or sales personnel do not effectively sell our Enhanced Platform Technology products,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1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in light of macroeconomic trends and in the event of sales execution challenges for any reason, we may face excess sales capacity, low sales productivity generally, and a decline in productivity in our sales organization. If we are not able to align our sales capacity and market demand, or if the productivity of our sales organization decreases, our operating results and financial condition could be harmed.</w:t>
      </w:r>
    </w:p>
    <w:p>
      <w:pPr>
        <w:spacing w:after="0" w:line="2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in growing billings for our broad product suite or if we experience turnover and disruption in our sales and marketing teams, we may not be able to achieve sustained growth, and our business, financial condition and results of operations may be adversely affected.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our sales are to government organizations, which subjects us to a number of regulatory requirements, challenges and risks.</w:t>
      </w:r>
    </w:p>
    <w:p>
      <w:pPr>
        <w:spacing w:after="0" w:line="250" w:lineRule="exact"/>
        <w:rPr>
          <w:sz w:val="20"/>
          <w:szCs w:val="20"/>
          <w:color w:val="auto"/>
        </w:rPr>
      </w:pPr>
    </w:p>
    <w:p>
      <w:pPr>
        <w:ind w:right="280" w:firstLine="648"/>
        <w:spacing w:after="0" w:line="248" w:lineRule="auto"/>
        <w:rPr>
          <w:sz w:val="20"/>
          <w:szCs w:val="20"/>
          <w:color w:val="auto"/>
        </w:rPr>
      </w:pPr>
      <w:r>
        <w:rPr>
          <w:rFonts w:ascii="Arial" w:cs="Arial" w:eastAsia="Arial" w:hAnsi="Arial"/>
          <w:sz w:val="18"/>
          <w:szCs w:val="18"/>
          <w:color w:val="auto"/>
        </w:rPr>
        <w:t>Sales to U.S. and foreign federal, state and local government organizations are subject to a number of risks. Because of public sector budgetary cycles and laws or regulations governing public procurements, such sales often require significant upfront time and expense without any assurance of winning a sale.</w:t>
      </w:r>
    </w:p>
    <w:p>
      <w:pPr>
        <w:spacing w:after="0" w:line="209"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98" w:lineRule="exact"/>
        <w:rPr>
          <w:sz w:val="20"/>
          <w:szCs w:val="20"/>
          <w:color w:val="auto"/>
        </w:rPr>
      </w:pPr>
    </w:p>
    <w:p>
      <w:pPr>
        <w:ind w:left="1300" w:right="200" w:hanging="644"/>
        <w:spacing w:after="0" w:line="248"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policies, laws and regulations have in the past, and may in the future, require us to obtain and maintain certain security and other certifications in order to sell our products and services into certain government organizations, and such certifications may be costly and time-consuming to obtain and maintain;</w:t>
      </w:r>
    </w:p>
    <w:p>
      <w:pPr>
        <w:spacing w:after="0" w:line="208" w:lineRule="exact"/>
        <w:rPr>
          <w:rFonts w:ascii="Arial" w:cs="Arial" w:eastAsia="Arial" w:hAnsi="Arial"/>
          <w:sz w:val="18"/>
          <w:szCs w:val="18"/>
          <w:color w:val="auto"/>
        </w:rPr>
      </w:pPr>
    </w:p>
    <w:p>
      <w:pPr>
        <w:ind w:left="1300" w:right="460" w:hanging="644"/>
        <w:spacing w:after="0" w:line="261"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 and</w:t>
      </w:r>
    </w:p>
    <w:p>
      <w:pPr>
        <w:spacing w:after="0" w:line="197" w:lineRule="exact"/>
        <w:rPr>
          <w:rFonts w:ascii="Arial" w:cs="Arial" w:eastAsia="Arial" w:hAnsi="Arial"/>
          <w:sz w:val="18"/>
          <w:szCs w:val="18"/>
          <w:color w:val="auto"/>
        </w:rPr>
      </w:pPr>
    </w:p>
    <w:p>
      <w:pPr>
        <w:ind w:left="1300" w:right="140" w:hanging="644"/>
        <w:spacing w:after="0" w:line="238"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geopolitical matters, including tariff and trade disputes, government shutdowns, impact of the war in Ukraine and the Israel-Hamas war, tensions between China and Taiwan and trade protectionism and other political dynamics that may adversely affect our ability to sell in certain locations or obtain the requisite permits and clearances required for certain purchases by government organizations of our products and services.</w:t>
      </w:r>
    </w:p>
    <w:p>
      <w:pPr>
        <w:spacing w:after="0" w:line="218"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In addition, if we do not have certain certifications, this may restrict our ability to sell to certain government customers until we have obtained certain certifications and we may not obtain the certifications in a timely manner or at all.</w:t>
      </w:r>
    </w:p>
    <w:p>
      <w:pPr>
        <w:spacing w:after="0" w:line="198"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color w:val="auto"/>
        </w:rPr>
        <w:t>The rules and regulations applicable to sales to government organizations may also negatively impact sales to other organizations. For example, government organizations may have contractual or other legal rights to terminate contracts with our distributors and resellers for convenience or due to a default, and any such termination may adversely impact our future results of operations. If the distributor receives a significant portion of its revenue from sales to government organizations, the financial health of the distributor could be substantially harmed, which could negatively affect our future sales to such</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distributor. Governments routinely investigate, review and audit government vendors’ administrative and other processes, and any unfavorable investigation, audit, other review or unfavorable determination related to any government clearance or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any decision by one government agency that our products do not meet certain standards, may reduce business opportunities and cause reputational harm and cause concern with other government agencies, governments and businesses and cause them to not buy our products and services and/or lead to a decrease in demand for our products generally.</w:t>
      </w:r>
    </w:p>
    <w:p>
      <w:pPr>
        <w:spacing w:after="0" w:line="20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Finally, some governments, including the U.S. federal government, may require certain products to be manufactured in, and services to be provided from, certain identified countries which may be high-cost locations. We may not manufacture all products or provide all services in locations that meet such requirements and consequently our products and services may not be eligible for certain government purchases.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Customers, Products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 and we may not maintain or improve our competitive position.</w:t>
      </w:r>
    </w:p>
    <w:p>
      <w:pPr>
        <w:spacing w:after="0" w:line="212"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The market for network security products is intensely competitive and dynamic, and we expect competition to continue to intensify. We face many competitors across the different cybersecurity markets. Our competitors include companies such as Arista Networks, Inc., Aruba Networks, LLC, Barracuda Networks, Inc., Check Point Software Technologies Ltd., Cisco Systems, Inc. (“Cisco”), CrowdStrike Holdings, Inc., F5 Networks, Inc., Huawei Technologies Co., Ltd., Juniper Networks, Inc., Palo Alto Networks, Inc., SonicWALL, Inc., Sophos Group Plc, Trend Micro Incorporated, VMware, Inc. and Zscaler, Inc. (“Zscaler”).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of our existing and potential competitors enjoy competitive advantages such as:</w:t>
      </w:r>
    </w:p>
    <w:p>
      <w:pPr>
        <w:spacing w:after="0" w:line="198"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greater name recognition and/or longer operating histories;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stronger U.S. government relationships;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198"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18"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CrowdStrike and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3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Managing inventory of our products and product components is complex. We order components from third-party manufacturers based on our forecasts of future demand and targeted inventory levels, which exposes us to the risk of both product shortages, which may result in lost sales and higher expenses, and excess inventory, which may require us to sell our products at discounts and lead to write-offs.</w:t>
      </w:r>
    </w:p>
    <w:p>
      <w:pPr>
        <w:spacing w:after="0" w:line="179"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Managing our inventory is complex, especially in times of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If we cannot manufacture and ship our products due to, for example, global chip shortages, excessive demand on contract manufacturers capacity, natural disasters and health emergencies such as earthquakes, fires, power outages, typhoons, floods, cyber events, pandemics and epidemics such as the COVID-19 pandemic or manmade events such as civil unrest, labor disruption, international trade disputes, international conflicts, terrorism, wars or other foreign conflicts, such as the war in Ukraine and the Israel-Hamas war or tensions between China and Taiwan, and critical infrastructure attacks, our business and financial results could be materially and adversely impacted.</w:t>
      </w:r>
    </w:p>
    <w:p>
      <w:pPr>
        <w:spacing w:after="0" w:line="20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7"/>
          <w:szCs w:val="17"/>
          <w:color w:val="auto"/>
        </w:rPr>
        <w:t>In response to component shortages in recent quarters, we increased our purchase order commitments. Our suppliers may require us to accept or pay for components and finished goods regardless of our level of sales in a particular period, which may negatively impact our operating results and financial condition. For additional information and a further discussion of impacts and risks related to our purchase commitments with our suppliers, refer to Note 11. Commitments and Contingencies in Part I, Item 1 of this Quarterly Report on Form 10-Q.</w:t>
      </w:r>
    </w:p>
    <w:p>
      <w:pPr>
        <w:spacing w:after="0" w:line="202" w:lineRule="exact"/>
        <w:rPr>
          <w:sz w:val="20"/>
          <w:szCs w:val="20"/>
          <w:color w:val="auto"/>
        </w:rPr>
      </w:pPr>
    </w:p>
    <w:p>
      <w:pPr>
        <w:ind w:right="80" w:firstLine="648"/>
        <w:spacing w:after="0" w:line="272" w:lineRule="auto"/>
        <w:rPr>
          <w:sz w:val="20"/>
          <w:szCs w:val="20"/>
          <w:color w:val="auto"/>
        </w:rPr>
      </w:pPr>
      <w:r>
        <w:rPr>
          <w:rFonts w:ascii="Arial" w:cs="Arial" w:eastAsia="Arial" w:hAnsi="Arial"/>
          <w:sz w:val="16"/>
          <w:szCs w:val="16"/>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2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our new products, services and enhancements do not achieve sufficient market acceptance, our results of operations and competitive position will suffer.</w:t>
      </w:r>
    </w:p>
    <w:p>
      <w:pPr>
        <w:spacing w:after="0" w:line="18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spend substantial amounts of time and money to develop internally and acquire new products and services and enhance versions of our existing products and services in order to incorporate additional features, improved functionality or other enhancements in order to meet our customers’ rapidly evolving demands for network security in our highly competitive industry. When we develop a new product or service, or an enhanced version of an existing product or service, we typically incur expenses and expend resources upfront to market, promote and sell the new offering. Therefore, when we develop and introduce new or enhanced products or services, they must achieve high levels of market acceptance in order to justify the amount of our investment in developing and bringing them to market.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services or enhancements could fail to attain sufficient market acceptance for many reasons, including:</w:t>
      </w:r>
    </w:p>
    <w:p>
      <w:pPr>
        <w:spacing w:after="0" w:line="198"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releasing our new products, services or enhancements to the market;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right="220" w:hanging="644"/>
        <w:spacing w:after="0" w:line="261" w:lineRule="auto"/>
        <w:tabs>
          <w:tab w:leader="none" w:pos="12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and service functionality and to supply products and services that meet this demand in a timely fashion;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to have the appropriate research and development expertise and focus to make our top strategic products and services successful;</w:t>
      </w:r>
    </w:p>
    <w:p>
      <w:pPr>
        <w:spacing w:after="0" w:line="221" w:lineRule="exact"/>
        <w:rPr>
          <w:rFonts w:ascii="Arial" w:cs="Arial" w:eastAsia="Arial" w:hAnsi="Arial"/>
          <w:sz w:val="16"/>
          <w:szCs w:val="16"/>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 and services;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and services by our competitors;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reluctance of customers to purchase products or services incorporating open source software.</w:t>
      </w:r>
    </w:p>
    <w:p>
      <w:pPr>
        <w:spacing w:after="0" w:line="198" w:lineRule="exact"/>
        <w:rPr>
          <w:sz w:val="20"/>
          <w:szCs w:val="20"/>
          <w:color w:val="auto"/>
        </w:rPr>
      </w:pPr>
    </w:p>
    <w:p>
      <w:pPr>
        <w:jc w:val="both"/>
        <w:ind w:right="220" w:firstLine="648"/>
        <w:spacing w:after="0" w:line="248" w:lineRule="auto"/>
        <w:rPr>
          <w:sz w:val="20"/>
          <w:szCs w:val="20"/>
          <w:color w:val="auto"/>
        </w:rPr>
      </w:pPr>
      <w:r>
        <w:rPr>
          <w:rFonts w:ascii="Arial" w:cs="Arial" w:eastAsia="Arial" w:hAnsi="Arial"/>
          <w:sz w:val="18"/>
          <w:szCs w:val="18"/>
          <w:color w:val="auto"/>
        </w:rPr>
        <w:t>If our new products, services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service or enhancement.</w:t>
      </w:r>
    </w:p>
    <w:p>
      <w:pPr>
        <w:spacing w:after="0" w:line="22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changing end-customer needs, and expanding regulatory requirements and standards, our competitive position and prospects may be harmed.</w:t>
      </w:r>
    </w:p>
    <w:p>
      <w:pPr>
        <w:spacing w:after="0" w:line="179"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of the requirements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development projects are not successfully completed, or are not completed in a timely fashion, our product development could be delayed and our business generally could suffer. Costs for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releasing and making available on a timely basis new products and services or enhancements that can respond adequately to new security threats, our competitive position and business prospects may be harmed.</w:t>
      </w:r>
    </w:p>
    <w:p>
      <w:pPr>
        <w:spacing w:after="0" w:line="197" w:lineRule="exact"/>
        <w:rPr>
          <w:sz w:val="20"/>
          <w:szCs w:val="20"/>
          <w:color w:val="auto"/>
        </w:rPr>
      </w:pPr>
    </w:p>
    <w:p>
      <w:pPr>
        <w:ind w:right="40" w:firstLine="648"/>
        <w:spacing w:after="0" w:line="252" w:lineRule="auto"/>
        <w:rPr>
          <w:sz w:val="20"/>
          <w:szCs w:val="20"/>
          <w:color w:val="auto"/>
        </w:rPr>
      </w:pPr>
      <w:r>
        <w:rPr>
          <w:rFonts w:ascii="Arial" w:cs="Arial" w:eastAsia="Arial" w:hAnsi="Arial"/>
          <w:sz w:val="17"/>
          <w:szCs w:val="17"/>
          <w:color w:val="auto"/>
        </w:rPr>
        <w:t>Moreover, business models based on a subscription cloud-based software service have become increasingly in-demand by our end-customers and adopted by other providers, including our competitors. While we have introduced additional cloud-based solutions and will continue to do so, most of our platform is currently deployed on premise, and therefore, as customers demand that solutions be provided through a subscription cloud-based business model, we are making additional investments in our infrastructure and personnel to be able to more fully provide our platform through a subscription cloud-based model in order to maintain the competitiveness of our platform. Such investments involve expanding our data centers, servers and networks, and increasing our technical operations and engineering teams and this results in added cost and risks associated with managing new business models, such as obligations to deliver certain functionality and features and to meet certain service level agreements related to cloud-based solutions. There is also a risk that we are slower to offer these solutions than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competitors. The risks are compounded by the uncertainty concerning the future success of any of our particular subscription cloud-based business models</w:t>
      </w:r>
    </w:p>
    <w:p>
      <w:pPr>
        <w:spacing w:after="0" w:line="5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and the future demand for our subscription cloud-based models by customers. Additionally, if we are unable to meet the demand to provide our services effectively through a subscription cloud-based model, we may lose customers to competitors.</w:t>
      </w:r>
    </w:p>
    <w:p>
      <w:pPr>
        <w:spacing w:after="0" w:line="21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33"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57"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2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97"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We outsource the manufacturing of our security appliance products to contract manufacturing partners and original design manufacturing partners, including manufacturers with facilities located in Taiwan and other countries outside the United States such as ADLINK, IBASE, Micro-Star, Senao and Wistron. Our reliance on our third-party manufacturers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such as the COVID-19 pandemic and manmade events such as civil unrest, labor disruption, cyber events, international trade disputes, international conflicts, terrorism, wars, such as the war in Ukraine and the Israel-Hamas war,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certain components for our products come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from Taiwan and approximately 94% of our hardware is manufactured in Taiwan. Any increase in tensions between China and Taiwan, including threats of military actions or escalation of military activities, could adversely affect our manufacturing operations in Taiwan.</w:t>
      </w:r>
    </w:p>
    <w:p>
      <w:pPr>
        <w:spacing w:after="0" w:line="157"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epidemics, pandemics,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56" w:lineRule="exact"/>
        <w:rPr>
          <w:sz w:val="20"/>
          <w:szCs w:val="20"/>
          <w:color w:val="auto"/>
        </w:rPr>
      </w:pPr>
    </w:p>
    <w:p>
      <w:pPr>
        <w:ind w:right="60" w:firstLine="648"/>
        <w:spacing w:after="0" w:line="251" w:lineRule="auto"/>
        <w:rPr>
          <w:sz w:val="20"/>
          <w:szCs w:val="20"/>
          <w:color w:val="auto"/>
        </w:rPr>
      </w:pPr>
      <w:r>
        <w:rPr>
          <w:rFonts w:ascii="Arial" w:cs="Arial" w:eastAsia="Arial" w:hAnsi="Arial"/>
          <w:sz w:val="17"/>
          <w:szCs w:val="17"/>
          <w:color w:val="auto"/>
        </w:rPr>
        <w:t>Our proprietary application-specific integrated circuits (“ASIC”), which are key to the performance of our appliances, are built by contract manufacturers including Renesas and Toshiba America. These contract manufacturers use foundries operated by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inventory shortages of our ASIC as well as increased costs. In addition to our proprietary ASIC,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212" w:lineRule="exact"/>
        <w:rPr>
          <w:sz w:val="20"/>
          <w:szCs w:val="20"/>
          <w:color w:val="auto"/>
        </w:rPr>
      </w:pPr>
    </w:p>
    <w:p>
      <w:pPr>
        <w:ind w:right="60" w:firstLine="648"/>
        <w:spacing w:after="0" w:line="250"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Securities and Exchange Commission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26" w:lineRule="exact"/>
        <w:rPr>
          <w:sz w:val="20"/>
          <w:szCs w:val="20"/>
          <w:color w:val="auto"/>
        </w:rPr>
      </w:pPr>
    </w:p>
    <w:p>
      <w:pPr>
        <w:ind w:right="300"/>
        <w:spacing w:after="0" w:line="340" w:lineRule="auto"/>
        <w:rPr>
          <w:sz w:val="20"/>
          <w:szCs w:val="20"/>
          <w:color w:val="auto"/>
        </w:rPr>
      </w:pPr>
      <w:r>
        <w:rPr>
          <w:rFonts w:ascii="Arial" w:cs="Arial" w:eastAsia="Arial" w:hAnsi="Arial"/>
          <w:sz w:val="15"/>
          <w:szCs w:val="15"/>
          <w:b w:val="1"/>
          <w:bCs w:val="1"/>
          <w:i w:val="1"/>
          <w:iCs w:val="1"/>
          <w:color w:val="auto"/>
        </w:rPr>
        <w:t>Because some of the key components in our products come from limited sources of supply, we are susceptible to supply shortages, long or uncertain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44" w:lineRule="exact"/>
        <w:rPr>
          <w:sz w:val="20"/>
          <w:szCs w:val="20"/>
          <w:color w:val="auto"/>
        </w:rPr>
      </w:pPr>
    </w:p>
    <w:p>
      <w:pPr>
        <w:ind w:right="120" w:firstLine="648"/>
        <w:spacing w:after="0" w:line="251" w:lineRule="auto"/>
        <w:rPr>
          <w:sz w:val="20"/>
          <w:szCs w:val="20"/>
          <w:color w:val="auto"/>
        </w:rPr>
      </w:pPr>
      <w:r>
        <w:rPr>
          <w:rFonts w:ascii="Arial" w:cs="Arial" w:eastAsia="Arial" w:hAnsi="Arial"/>
          <w:sz w:val="17"/>
          <w:szCs w:val="17"/>
          <w:color w:val="auto"/>
        </w:rPr>
        <w:t>We and our contract manufacturers currently purchase several key parts and components used in the manufacture of our products from limited sources of supply. We are therefore subject to the risk of shortages and long or uncertain lead times in the supply of these components and the risk that component suppliers may discontinue or modify components used in our products. We have in the past experienced shortages and long or uncertain lead times for certain components. Our limited source components for particular appliances and suppliers of those components include specific types of CPUs from Intel and Advanced Micro Devices, Inc. (“AMD”), network and wireless chips from Broadcom, Marvell, Qualcomm and Intel, and memory devices from Intel, Micron, ADATA, Toshiba, Samsung and Western Digital. We also may face shortages in the supply of the capacitors and resistors that are used in the manufacturing of our products. This shortage may persist for an indefinite period of time. The introduction by component suppliers of new versions of their products, particularly if not anticipated by us or our contract manufacturers, could require us to expend significant resources to incorporate these new</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209"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Although we have increased our purchase order commitments to support long-term customer demand, if we are unable to obtain sufficient quantities of any of these components on commercially reasonable terms or in a timely manner, or if we are unable to obtain alternative sources for these components, shipments of our products could be delayed or halted entirely or we may be required to redesign our products. Any of these events could result in a cancellation of orders, lost sales, reduced gross margins or damage to our end customer relationships, which would adversely impact our business, financial condition, results of operations and prospects. Additionally, if actual demand does not directly match with our demand forecasts, due to our purchase order commitments, we could be required to accept or pay for components and finished goods. This may result in us discounting our products or excess or obsolete inventory, which we would be required to write down to its estimated realizable value, which in turn could result in lower gross margins. Our reliance on a limited number of suppliers involves several additional risks, including:</w:t>
      </w:r>
    </w:p>
    <w:p>
      <w:pPr>
        <w:spacing w:after="0" w:line="208"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infringement or misappropriation of our IP;</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in component quality; and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ship products on a timely basis.</w:t>
      </w:r>
    </w:p>
    <w:p>
      <w:pPr>
        <w:spacing w:after="0" w:line="198"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30"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We offer retroactive price protection to certain of our major North America distributors, and if we fail to balance their inventory with end-customer demand for our products, our allowance for price protection may be inadequate, which could adversely affect our results of operations.</w:t>
      </w:r>
    </w:p>
    <w:p>
      <w:pPr>
        <w:spacing w:after="0" w:line="114" w:lineRule="exact"/>
        <w:rPr>
          <w:sz w:val="20"/>
          <w:szCs w:val="20"/>
          <w:color w:val="auto"/>
        </w:rPr>
      </w:pPr>
    </w:p>
    <w:p>
      <w:pPr>
        <w:ind w:right="60" w:firstLine="648"/>
        <w:spacing w:after="0" w:line="255" w:lineRule="auto"/>
        <w:rPr>
          <w:sz w:val="20"/>
          <w:szCs w:val="20"/>
          <w:color w:val="auto"/>
        </w:rPr>
      </w:pPr>
      <w:r>
        <w:rPr>
          <w:rFonts w:ascii="Arial" w:cs="Arial" w:eastAsia="Arial" w:hAnsi="Arial"/>
          <w:sz w:val="17"/>
          <w:szCs w:val="17"/>
          <w:color w:val="auto"/>
        </w:rPr>
        <w:t>We provide certain of our major North America distributors with price protection rights for inventories of our products held by them. If we reduce the list price of our products, as we have recently done, certain North America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certain of our major North America distributors’ inventories. If future price protection adjustments are higher than expected, our future results of operations could be materially and adversely affected.</w:t>
      </w:r>
    </w:p>
    <w:p>
      <w:pPr>
        <w:spacing w:after="0" w:line="2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may adversely impact our financial results and the trading price of our common stock.</w:t>
      </w:r>
    </w:p>
    <w:p>
      <w:pPr>
        <w:spacing w:after="0" w:line="157" w:lineRule="exact"/>
        <w:rPr>
          <w:sz w:val="20"/>
          <w:szCs w:val="20"/>
          <w:color w:val="auto"/>
        </w:rPr>
      </w:pPr>
    </w:p>
    <w:p>
      <w:pPr>
        <w:ind w:right="80" w:firstLine="648"/>
        <w:spacing w:after="0" w:line="254" w:lineRule="auto"/>
        <w:rPr>
          <w:sz w:val="20"/>
          <w:szCs w:val="20"/>
          <w:color w:val="auto"/>
        </w:rPr>
      </w:pPr>
      <w:r>
        <w:rPr>
          <w:rFonts w:ascii="Arial" w:cs="Arial" w:eastAsia="Arial" w:hAnsi="Arial"/>
          <w:sz w:val="17"/>
          <w:szCs w:val="17"/>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We have recently conducted such price decreases.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20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errors or vulnerabilities in our products or services, the failure of our products or services to detect or prevent a security incident, or the misuse of our products could harm our operational results and reputation.</w:t>
      </w:r>
    </w:p>
    <w:p>
      <w:pPr>
        <w:spacing w:after="0" w:line="184"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Our products and services are complex, and they have contained and may contain defects, errors or vulnerabilities that are not detected until after their commercial release and deployment by our customers. Defects, errors or vulnerabilities may impede or block network traffic, cause our products or services to be vulnerable to electronic break-ins, cause them to fail to help secure our customers or cause our products or services to allow unauthorized access to our customers’ networks. Following a period of internal review and sometimes other steps, our Product Security Incident Response Team publicly posts on our FortiGuard Labs website known product vulnerabilities, including critical vulnerabilities, and methods for customers to mitigate the risk of vulnerabilities. There can be no assurance, however, that such posts will be sufficiently timely, accurate or complete or that those customers will take steps to mitigate the risk of vulnerabilities, and certain customers may be negatively impacted. Additionally, any perception that our products have vulnerabilities, whether or not accurate, and any actual vulnerabilities may harm our operational results and reputation, more significantly as compared to certain other companies in other industries because we are a security company. 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and products security program, then the security and integrity of our products and the updates to those products that our customers receive could be exploited by third parties or insiders.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operational results and reputation. We cannot ensure that our products will prevent all adverse security events.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 or FortiCare updates or our Fortinet appliances and operating systems could result in a failure of our FortiGuard and other security subscription services to effectively or correctly update end-customers’ Fortinet appliances and cloud-based products and thereby leave customers vulnerable to attacks. Furthermore, our solutions may also fail to detect or prevent viruses, worms, ransomware attacks or similar threats due to a number of reasons such as the evolving nature of such threats and the continual emergence of new threats that we may fail to anticipate or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00" w:lineRule="exact"/>
        <w:rPr>
          <w:sz w:val="20"/>
          <w:szCs w:val="20"/>
          <w:color w:val="auto"/>
        </w:rPr>
      </w:pPr>
    </w:p>
    <w:p>
      <w:pPr>
        <w:ind w:right="140" w:firstLine="648"/>
        <w:spacing w:after="0" w:line="251" w:lineRule="auto"/>
        <w:rPr>
          <w:sz w:val="20"/>
          <w:szCs w:val="20"/>
          <w:color w:val="auto"/>
        </w:rPr>
      </w:pPr>
      <w:r>
        <w:rPr>
          <w:rFonts w:ascii="Arial" w:cs="Arial" w:eastAsia="Arial" w:hAnsi="Arial"/>
          <w:sz w:val="17"/>
          <w:szCs w:val="17"/>
          <w:color w:val="auto"/>
        </w:rPr>
        <w:t>An actual, possible or perceived security incident or infection of the network of one of our end-customers, regardless of whether the incident is attributable to the failure of our products or services to prevent or detect the security incident,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72" w:lineRule="exact"/>
        <w:rPr>
          <w:sz w:val="20"/>
          <w:szCs w:val="20"/>
          <w:color w:val="auto"/>
        </w:rPr>
      </w:pPr>
    </w:p>
    <w:p>
      <w:pPr>
        <w:ind w:left="1300" w:right="120" w:hanging="644"/>
        <w:spacing w:after="0" w:line="261"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300" w:right="640" w:hanging="644"/>
        <w:spacing w:after="0" w:line="261"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disclosure requirements, litigation, regulatory inquiries or investigations that may be costly and harm our reputation and, in some instances, subject us to potential liability that is not contractually limited.</w:t>
      </w:r>
    </w:p>
    <w:p>
      <w:pPr>
        <w:spacing w:after="0" w:line="200" w:lineRule="exact"/>
        <w:rPr>
          <w:sz w:val="20"/>
          <w:szCs w:val="20"/>
          <w:color w:val="auto"/>
        </w:rPr>
      </w:pPr>
    </w:p>
    <w:p>
      <w:pPr>
        <w:spacing w:after="0" w:line="25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84"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12" w:lineRule="exact"/>
        <w:rPr>
          <w:sz w:val="20"/>
          <w:szCs w:val="20"/>
          <w:color w:val="auto"/>
        </w:rPr>
      </w:pPr>
    </w:p>
    <w:p>
      <w:pPr>
        <w:ind w:right="40" w:firstLine="648"/>
        <w:spacing w:after="0" w:line="272"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incidents or false identification of spam or spyware could adversely affect our business.</w:t>
      </w:r>
    </w:p>
    <w:p>
      <w:pPr>
        <w:spacing w:after="0" w:line="262"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Our FortiGuard and other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21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Our ability to sell our products is dependent on our quality control processes and the quality of our technical support services, and our failure to offer high-quality technical support services could have a material adverse effect on our sales and results of operations.</w:t>
      </w:r>
    </w:p>
    <w:p>
      <w:pPr>
        <w:spacing w:after="0" w:line="160"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could be adversely affected and our reputation with potential customers could be damaged. Many large end-customers, and service provider or government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could have a material adverse effect on our business, financial condition and results of operations and may subject us to litigation, reputational damage, loss of customers and additional costs.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39" w:lineRule="exact"/>
        <w:rPr>
          <w:sz w:val="20"/>
          <w:szCs w:val="20"/>
          <w:color w:val="auto"/>
        </w:rPr>
      </w:pPr>
    </w:p>
    <w:p>
      <w:pPr>
        <w:ind w:right="40" w:firstLine="648"/>
        <w:spacing w:after="0" w:line="251"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66"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3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the availability of our cloud-based subscription services does not meet our service-level commitments to our customers, our current and future revenue may be negatively impacted.</w:t>
      </w:r>
    </w:p>
    <w:p>
      <w:pPr>
        <w:spacing w:after="0" w:line="184" w:lineRule="exact"/>
        <w:rPr>
          <w:sz w:val="20"/>
          <w:szCs w:val="20"/>
          <w:color w:val="auto"/>
        </w:rPr>
      </w:pPr>
    </w:p>
    <w:p>
      <w:pPr>
        <w:ind w:right="80" w:firstLine="648"/>
        <w:spacing w:after="0" w:line="272" w:lineRule="auto"/>
        <w:rPr>
          <w:sz w:val="20"/>
          <w:szCs w:val="20"/>
          <w:color w:val="auto"/>
        </w:rPr>
      </w:pPr>
      <w:r>
        <w:rPr>
          <w:rFonts w:ascii="Arial" w:cs="Arial" w:eastAsia="Arial" w:hAnsi="Arial"/>
          <w:sz w:val="16"/>
          <w:szCs w:val="16"/>
          <w:color w:val="auto"/>
        </w:rPr>
        <w:t>We typically commit to our customers that our cloud-based subscription services will maintain a minimum service-level of availability. If we are unable to meet these commitments, this could negatively impact our business. We rely on public cloud providers, such as Google Cloud, Amazon Web Services and Microsoft Azure, co-location providers, such as Equinix, and our own data centers and PoPs, and any availability interruption in the public cloud could result in us not meeting our service-level commitments to our customers. In some cases, we may not have a contractual right with our public cloud or co-location providers that compensates us for any losses due to availability interruptions in our cloud-based subscription services. Further, any failure to meet our service-level commitments could damage our reputation and adoption of our cloud-based subscription services, and we could face loss of revenue from reduced future subscriptions and reduced sales and face additional costs associated with any failure to meet service-level agreements. Any service-level failures could adversely affect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Systems and Technology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internal enterprise IT networks, on which we conduct internal business and interface externally, our operational networks, through which we</w:t>
      </w:r>
    </w:p>
    <w:p>
      <w:pPr>
        <w:spacing w:after="0" w:line="4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i w:val="1"/>
          <w:iCs w:val="1"/>
          <w:color w:val="auto"/>
        </w:rPr>
        <w:t>connect to customers</w:t>
      </w:r>
      <w:r>
        <w:rPr>
          <w:rFonts w:ascii="Arial" w:cs="Arial" w:eastAsia="Arial" w:hAnsi="Arial"/>
          <w:sz w:val="20"/>
          <w:szCs w:val="20"/>
          <w:b w:val="1"/>
          <w:bCs w:val="1"/>
          <w:i w:val="1"/>
          <w:iCs w:val="1"/>
          <w:color w:val="auto"/>
        </w:rPr>
        <w:t>,</w:t>
      </w:r>
      <w:r>
        <w:rPr>
          <w:rFonts w:ascii="Arial" w:cs="Arial" w:eastAsia="Arial" w:hAnsi="Arial"/>
          <w:sz w:val="17"/>
          <w:szCs w:val="17"/>
          <w:b w:val="1"/>
          <w:bCs w:val="1"/>
          <w:i w:val="1"/>
          <w:iCs w:val="1"/>
          <w:color w:val="auto"/>
        </w:rPr>
        <w:t xml:space="preserve"> vendors and partners systems and provide services, or our research and development networks, our back-end labs and cloud stacks hosted in our data centers, colocation vendors or public cloud providers, through which we research, develop and host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18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6"/>
          <w:szCs w:val="16"/>
          <w:color w:val="auto"/>
        </w:rPr>
        <w:t>Our success depends on the market’s confidence in our ability to provide effective network security protection. Despite our efforts and processes to prevent breaches of our internal networks, systems and websites,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Our security measures may also be breached due to employee error, malfeasance or otherwise, which breaches may be more difficult to</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w:t>
      </w:r>
    </w:p>
    <w:p>
      <w:pPr>
        <w:spacing w:after="0" w:line="200" w:lineRule="exact"/>
        <w:rPr>
          <w:sz w:val="20"/>
          <w:szCs w:val="20"/>
          <w:color w:val="auto"/>
        </w:rPr>
      </w:pPr>
    </w:p>
    <w:p>
      <w:pPr>
        <w:ind w:right="120" w:firstLine="648"/>
        <w:spacing w:after="0" w:line="254" w:lineRule="auto"/>
        <w:rPr>
          <w:sz w:val="20"/>
          <w:szCs w:val="20"/>
          <w:color w:val="auto"/>
        </w:rPr>
      </w:pPr>
      <w:r>
        <w:rPr>
          <w:rFonts w:ascii="Arial" w:cs="Arial" w:eastAsia="Arial" w:hAnsi="Arial"/>
          <w:sz w:val="17"/>
          <w:szCs w:val="17"/>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 our product software and infrastructure in an effort to gain entry into our customers’ networks. In addition, in general threat actors use dark web forums to sell organizations’ stolen credentials. If threat actors sell valid credentials used by our customers to access our services, it is possible that unauthorized third parties may use such stolen credentials to try to gain access to our services. These and other hacking efforts against us and our customers may be ongoing and may happen in the future.</w:t>
      </w:r>
    </w:p>
    <w:p>
      <w:pPr>
        <w:spacing w:after="0" w:line="208" w:lineRule="exact"/>
        <w:rPr>
          <w:sz w:val="20"/>
          <w:szCs w:val="20"/>
          <w:color w:val="auto"/>
        </w:rPr>
      </w:pPr>
    </w:p>
    <w:p>
      <w:pPr>
        <w:ind w:right="80" w:firstLine="648"/>
        <w:spacing w:after="0" w:line="268" w:lineRule="auto"/>
        <w:rPr>
          <w:sz w:val="20"/>
          <w:szCs w:val="20"/>
          <w:color w:val="auto"/>
        </w:rPr>
      </w:pPr>
      <w:r>
        <w:rPr>
          <w:rFonts w:ascii="Arial" w:cs="Arial" w:eastAsia="Arial" w:hAnsi="Arial"/>
          <w:sz w:val="16"/>
          <w:szCs w:val="16"/>
          <w:color w:val="auto"/>
        </w:rPr>
        <w:t>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19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addition, there has been a general increase in phishing attempts and spam emails as well as social engineering attempts from hackers, and many of our employees continue to work remotely which may pose additional data security risks in the event remote work environments are not as secure as office environments. Any security incident could negatively impact our reputation and results of operations.</w:t>
      </w:r>
    </w:p>
    <w:p>
      <w:pPr>
        <w:spacing w:after="0" w:line="20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57"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our order processing relies on both manual data entry of customer purchase orders received through email and electronic data interchange (EDI).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218" w:lineRule="exact"/>
        <w:rPr>
          <w:sz w:val="20"/>
          <w:szCs w:val="20"/>
          <w:color w:val="auto"/>
        </w:rPr>
      </w:pPr>
    </w:p>
    <w:p>
      <w:pPr>
        <w:ind w:right="160" w:firstLine="648"/>
        <w:spacing w:after="0" w:line="270" w:lineRule="auto"/>
        <w:rPr>
          <w:sz w:val="20"/>
          <w:szCs w:val="20"/>
          <w:color w:val="auto"/>
        </w:rPr>
      </w:pPr>
      <w:r>
        <w:rPr>
          <w:rFonts w:ascii="Arial" w:cs="Arial" w:eastAsia="Arial" w:hAnsi="Arial"/>
          <w:sz w:val="16"/>
          <w:szCs w:val="16"/>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40" w:firstLine="648"/>
        <w:spacing w:after="0" w:line="279" w:lineRule="auto"/>
        <w:rPr>
          <w:sz w:val="20"/>
          <w:szCs w:val="20"/>
          <w:color w:val="auto"/>
        </w:rPr>
      </w:pPr>
      <w:r>
        <w:rPr>
          <w:rFonts w:ascii="Arial" w:cs="Arial" w:eastAsia="Arial" w:hAnsi="Arial"/>
          <w:sz w:val="16"/>
          <w:szCs w:val="16"/>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186"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6"/>
          <w:szCs w:val="16"/>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internal business management systems.</w:t>
      </w:r>
    </w:p>
    <w:p>
      <w:pPr>
        <w:spacing w:after="0" w:line="212" w:lineRule="exact"/>
        <w:rPr>
          <w:sz w:val="20"/>
          <w:szCs w:val="20"/>
          <w:color w:val="auto"/>
        </w:rPr>
      </w:pPr>
    </w:p>
    <w:p>
      <w:pPr>
        <w:ind w:right="40" w:firstLine="648"/>
        <w:spacing w:after="0" w:line="271" w:lineRule="auto"/>
        <w:rPr>
          <w:sz w:val="20"/>
          <w:szCs w:val="20"/>
          <w:color w:val="auto"/>
        </w:rPr>
      </w:pPr>
      <w:r>
        <w:rPr>
          <w:rFonts w:ascii="Arial" w:cs="Arial" w:eastAsia="Arial" w:hAnsi="Arial"/>
          <w:sz w:val="16"/>
          <w:szCs w:val="16"/>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Deficiencies in our design or maintenance of our internal systems may adversely affect our ability to sell products and services,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proprietary rights may be difficult to enforce and we may be subject to claims by others that we infringe their propriety technology.</w:t>
      </w:r>
    </w:p>
    <w:p>
      <w:pPr>
        <w:spacing w:after="0" w:line="223"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0"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open-source software components, and failure to comply with the terms of the underlying open-source software licenses could restrict our ability to sell our products.</w:t>
      </w:r>
    </w:p>
    <w:p>
      <w:pPr>
        <w:spacing w:after="0" w:line="157" w:lineRule="exact"/>
        <w:rPr>
          <w:sz w:val="20"/>
          <w:szCs w:val="20"/>
          <w:color w:val="auto"/>
        </w:rPr>
      </w:pPr>
    </w:p>
    <w:p>
      <w:pPr>
        <w:ind w:right="120" w:firstLine="648"/>
        <w:spacing w:after="0" w:line="268" w:lineRule="auto"/>
        <w:rPr>
          <w:sz w:val="20"/>
          <w:szCs w:val="20"/>
          <w:color w:val="auto"/>
        </w:rPr>
      </w:pPr>
      <w:r>
        <w:rPr>
          <w:rFonts w:ascii="Arial" w:cs="Arial" w:eastAsia="Arial" w:hAnsi="Arial"/>
          <w:sz w:val="16"/>
          <w:szCs w:val="16"/>
          <w:color w:val="auto"/>
        </w:rPr>
        <w:t>Our products contain software modules licensed to us by third-party authors under “open source” licenses, including but not limited to, the GNU Public License, the GNU Lesser Public License, the BSD License, the Apache License, the MIT X License and the Mozilla Public License. From time to time, there have been claims against companies that distribute or use open-source software in their products and services, asserting that open-source software infringes the claimants’ IP rights. We could be subject to suits by parties claiming infringement of IP rights in what we believe to be licensed open-source software. Use and distribution of open-source software may entail greater risks than use of third-party commercial software, as, for example, open-source licensors generally do not provide warranties or other contractual protections regarding infringement claims or the quality of the code.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59"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1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6" w:lineRule="exact"/>
        <w:rPr>
          <w:sz w:val="20"/>
          <w:szCs w:val="20"/>
          <w:color w:val="auto"/>
        </w:rPr>
      </w:pPr>
    </w:p>
    <w:p>
      <w:pPr>
        <w:ind w:right="220" w:firstLine="648"/>
        <w:spacing w:after="0" w:line="294" w:lineRule="auto"/>
        <w:rPr>
          <w:sz w:val="20"/>
          <w:szCs w:val="20"/>
          <w:color w:val="auto"/>
        </w:rPr>
      </w:pPr>
      <w:r>
        <w:rPr>
          <w:rFonts w:ascii="Arial" w:cs="Arial" w:eastAsia="Arial" w:hAnsi="Arial"/>
          <w:sz w:val="16"/>
          <w:szCs w:val="16"/>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34"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6"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From time to time, we are subject to lawsuits claiming patent infringement. We are also subject to other litigation in addition to patent infringement claims, such as employment-related litigation and disputes, as well as general commercial litigation, such as the Alorica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216"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39"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194"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Financial Position</w:t>
      </w:r>
    </w:p>
    <w:p>
      <w:pPr>
        <w:spacing w:after="0" w:line="24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197" w:lineRule="exact"/>
        <w:rPr>
          <w:sz w:val="20"/>
          <w:szCs w:val="20"/>
          <w:color w:val="auto"/>
        </w:rPr>
      </w:pPr>
    </w:p>
    <w:p>
      <w:pPr>
        <w:ind w:firstLine="648"/>
        <w:spacing w:after="0" w:line="249" w:lineRule="auto"/>
        <w:rPr>
          <w:sz w:val="20"/>
          <w:szCs w:val="20"/>
          <w:color w:val="auto"/>
        </w:rPr>
      </w:pPr>
      <w:r>
        <w:rPr>
          <w:rFonts w:ascii="Arial" w:cs="Arial" w:eastAsia="Arial" w:hAnsi="Arial"/>
          <w:sz w:val="17"/>
          <w:szCs w:val="17"/>
          <w:color w:val="auto"/>
        </w:rPr>
        <w:t>In order to remain competitive, we may seek to acquire additional businesses, products, technologies or IP, such as patents, and to make equity investments in businesses coupled with strategic alliances.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IP or sales force into our existing business and operations, and the acquisitions may negatively impact our financial results.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The results of certain businesses that we invest in, such as Linksys Holdings, Inc. (“Linksys”), are, or may in the future, be reflected in our operating results, and we depend on these companies to provide us financial information in a timely manner in order to meet our financial reporting requirements. We may experience difficulty in timely obtaining financial information from the companies in which we have invested in order to meet our financial reporting requirements.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practices, revenue recognition or other accounting practices or employee or customer issues. We also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negatively impact our operating results and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223"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Linksys sells predominantly into the consumer Wi-Fi market, and its sales have declined since our investment. Because we are accounting for our Linksys investment using the equity method of accounting, we are required to assess the investment for other-than-temporary impairment (“OTTI”) when events or circumstances suggest that the carrying amount of the investment may be impaired. We have analyzed whether there should be an OTTI of the value of our investment in Linksys and in fiscal 2022, we recorded an OTTI charge of $22.2 million. In evaluating OTTI, we considered factors such as Linksys’ financial results and operating history, our ability and intent to hold the investment until its fair value recovers, the implied revenue valuation multiples compared to guideline public companies, Linksys’ ability to achieve milestones and any notable operational and strategic changes. We intend to continue to analyze our investment in Linksys to determine whether any further impairment is appropriate. If any further decline in fair value is determined to be other-than-temporary, we will adjust the carrying value of the investment to its fair value and record the impairment expense in our consolidated statements of income.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The cost basis of the investment is not adjusted for subsequent recoveries in fair value. We may experience additional volatility to our statements of operations due to the underlying operating results of Linksys or impairments of our Linksys investment. This volatility could be material to our results in any given quarter and may cause our stock price to decline.</w:t>
      </w:r>
    </w:p>
    <w:p>
      <w:pPr>
        <w:spacing w:after="0" w:line="22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84" w:lineRule="exact"/>
        <w:rPr>
          <w:sz w:val="20"/>
          <w:szCs w:val="20"/>
          <w:color w:val="auto"/>
        </w:rPr>
      </w:pPr>
    </w:p>
    <w:p>
      <w:pPr>
        <w:ind w:right="60" w:firstLine="648"/>
        <w:spacing w:after="0" w:line="270"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94" w:lineRule="exact"/>
        <w:rPr>
          <w:sz w:val="20"/>
          <w:szCs w:val="20"/>
          <w:color w:val="auto"/>
        </w:rPr>
      </w:pPr>
    </w:p>
    <w:p>
      <w:pPr>
        <w:ind w:right="20" w:firstLine="648"/>
        <w:spacing w:after="0" w:line="250" w:lineRule="auto"/>
        <w:rPr>
          <w:sz w:val="20"/>
          <w:szCs w:val="20"/>
          <w:color w:val="auto"/>
        </w:rPr>
      </w:pPr>
      <w:r>
        <w:rPr>
          <w:rFonts w:ascii="Arial" w:cs="Arial" w:eastAsia="Arial" w:hAnsi="Arial"/>
          <w:sz w:val="17"/>
          <w:szCs w:val="17"/>
          <w:color w:val="auto"/>
        </w:rPr>
        <w:t>For example, the GDPR imposes stringent data handling requirements on companies that operate in the EU or receive or process personal data about individuals in the EU in certain contexts. Non-compliance with the GDPR could result in data protection audits and significant penalties, heavy fines imposed on us and bans on other businesses’ use of our services. Compliance with, and the other burdens imposed by, the GDPR and local regulatory authorities may limit our ability to operate or expand our business in the EU and could adversely impact our operating results. In July 2020, the European Court of Justice issued a judgment declaring invalid the EU-U.S. Privacy Shield Framework (the “Privacy Shield”) as a mechanism for the transfer of GDPR-regulated personal data to recipients in the United States and calling into question the validity of certain popular alternative mechanisms for addressing GDPR restrictions on transfers to the United States and other areas where we operate. The Privacy Shield has now been replaced with the EU-U.S. Data Privacy Framework following certain changes to U.S. law intended to address the concerns underlying that court decision with respect to transfers of personal data to the United States. However, there remains a possibility that our business could be negatively impacted by restrictions on transfers of GDPR-regulated personal data (including transfers made by our customers) to other areas we operate. In addition, it is possible that the updates to U.S. law may ultimately be deemed insufficient in a court case similar to the one that invalidated Privacy Shield. The mere possibility of this outcome, and our reliance on global data transfers within our corporate family and between us and our service providers, may create challenges for us to compete with companies that may be able to offer services in which personal data never exits the EU, thereby avoiding risks of noncompliance with GDPR data transfer restrictions.</w:t>
      </w:r>
    </w:p>
    <w:p>
      <w:pPr>
        <w:spacing w:after="0" w:line="214"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CCPA was expanded pursuant to the California Privacy Rights Act, which was passed in 2020 and became effective in 2023. Other states have since passed similar laws, adding to the complexity of compliance with overlapping and sometimes conflicting requirements. The costs of compliance with and the penalties for violations of the GDPR, the CCPA and other laws, along with other burdens imposed by these regulations, may limit the use and adoption of our products and services and could have an adverse impact on our business. For example, our sales cycles may lengthen and face an increased risk of failure as customers take more time to vet our services for compliance with these legal requirements and to negotiate data-related contract terms with us, causing delays or loss of revenue.</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7"/>
          <w:szCs w:val="17"/>
          <w:color w:val="auto"/>
        </w:rPr>
        <w:t>Selling our solutions to the U.S. government,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the U.S. government or one of its divisions,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07"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 landscape of laws, regulations, and industry standards related to cybersecurity is evolving globally. We may be subject to increased compliance burdens by regulators and customers with respect to our products and services, as well as additional costs to oversee and monitor security risks. Many jurisdictions have enacted laws mandating companies to inform individuals, stockholders, regulatory authorities, and others of security breaches. For example, the SEC recently adopted cybersecurity risk management and disclosure rules, which require the disclosure of information pertaining to cybersecurity incidents and cybersecurity risk management, strategy, and governance. In addition, certain of our customer agreements may require us to promptly report security breaches involving their data on our systems or those of subcontractors processing such</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data on our behalf. This mandatory disclosure can be costly, harm our reputation, erode customer trust, reduce demand, and require significant resources to mitigate issues stemming from actual or perceived security breaches.</w:t>
      </w:r>
    </w:p>
    <w:p>
      <w:pPr>
        <w:spacing w:after="0" w:line="238" w:lineRule="exact"/>
        <w:rPr>
          <w:sz w:val="20"/>
          <w:szCs w:val="20"/>
          <w:color w:val="auto"/>
        </w:rPr>
      </w:pPr>
    </w:p>
    <w:p>
      <w:pPr>
        <w:ind w:right="160" w:firstLine="648"/>
        <w:spacing w:after="0" w:line="241" w:lineRule="auto"/>
        <w:rPr>
          <w:sz w:val="20"/>
          <w:szCs w:val="20"/>
          <w:color w:val="auto"/>
        </w:rPr>
      </w:pPr>
      <w:r>
        <w:rPr>
          <w:rFonts w:ascii="Arial" w:cs="Arial" w:eastAsia="Arial" w:hAnsi="Arial"/>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with the public sector could have an adverse effect on our business and operating results.</w:t>
      </w:r>
    </w:p>
    <w:p>
      <w:pPr>
        <w:spacing w:after="0" w:line="2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84"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08" w:lineRule="exact"/>
        <w:rPr>
          <w:sz w:val="20"/>
          <w:szCs w:val="20"/>
          <w:color w:val="auto"/>
        </w:rPr>
      </w:pPr>
    </w:p>
    <w:p>
      <w:pPr>
        <w:ind w:firstLine="648"/>
        <w:spacing w:after="0" w:line="250"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28"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14" w:lineRule="exact"/>
        <w:rPr>
          <w:sz w:val="20"/>
          <w:szCs w:val="20"/>
          <w:color w:val="auto"/>
        </w:rPr>
      </w:pPr>
    </w:p>
    <w:p>
      <w:pPr>
        <w:ind w:right="340" w:firstLine="648"/>
        <w:spacing w:after="0" w:line="243" w:lineRule="auto"/>
        <w:rPr>
          <w:sz w:val="20"/>
          <w:szCs w:val="20"/>
          <w:color w:val="auto"/>
        </w:rPr>
      </w:pPr>
      <w:r>
        <w:rPr>
          <w:rFonts w:ascii="Arial" w:cs="Arial" w:eastAsia="Arial" w:hAnsi="Arial"/>
          <w:sz w:val="18"/>
          <w:szCs w:val="18"/>
          <w:color w:val="auto"/>
        </w:rPr>
        <w:t>Our business benefits directly and indirectly from free trade agreements, and we also rely on various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15" w:lineRule="exact"/>
        <w:rPr>
          <w:sz w:val="20"/>
          <w:szCs w:val="20"/>
          <w:color w:val="auto"/>
        </w:rPr>
      </w:pPr>
    </w:p>
    <w:p>
      <w:pPr>
        <w:ind w:right="120" w:firstLine="648"/>
        <w:spacing w:after="0" w:line="252" w:lineRule="auto"/>
        <w:rPr>
          <w:sz w:val="20"/>
          <w:szCs w:val="20"/>
          <w:color w:val="auto"/>
        </w:rPr>
      </w:pPr>
      <w:r>
        <w:rPr>
          <w:rFonts w:ascii="Arial" w:cs="Arial" w:eastAsia="Arial" w:hAnsi="Arial"/>
          <w:sz w:val="17"/>
          <w:szCs w:val="17"/>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recent years, the United States has imposed additional import tariffs on certain goods from different countries and on most goods imported from China.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208"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Any modification in these areas, any shift in the enforcement or scope of existing regulations or any change in the countries, governments, persons or technologies targeted by such regulations, could result in decreased use of our products by,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environmental requirements, our business, financial condition, operating results and reputation could be adversely affected.</w:t>
      </w:r>
    </w:p>
    <w:p>
      <w:pPr>
        <w:spacing w:after="0" w:line="273"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(“EEE”).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Taiwan, Japan, Norway, Saudi Arabia and the UAE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 These laws and regulations may also impact our suppliers, which could have, among other things, an adverse impact on the costs of components in our products.</w:t>
      </w:r>
    </w:p>
    <w:p>
      <w:pPr>
        <w:spacing w:after="0" w:line="194"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and costs associated with assuring the supply of compliant components.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196" w:lineRule="exact"/>
        <w:rPr>
          <w:sz w:val="20"/>
          <w:szCs w:val="20"/>
          <w:color w:val="auto"/>
        </w:rPr>
      </w:pPr>
    </w:p>
    <w:p>
      <w:pPr>
        <w:ind w:right="20" w:firstLine="648"/>
        <w:spacing w:after="0" w:line="279" w:lineRule="auto"/>
        <w:rPr>
          <w:sz w:val="20"/>
          <w:szCs w:val="20"/>
          <w:color w:val="auto"/>
        </w:rPr>
      </w:pPr>
      <w:r>
        <w:rPr>
          <w:rFonts w:ascii="Arial" w:cs="Arial" w:eastAsia="Arial" w:hAnsi="Arial"/>
          <w:sz w:val="16"/>
          <w:szCs w:val="16"/>
          <w:color w:val="auto"/>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(“SVHC”) in articles and in complex objects. The SCIP database is established under the WFD and managed by the European Chemicals Agency (“ECHA”). We have incurred costs in order to comply with this new requirement. Similar laws and regulations have been passed or are pending in the European Economic Area and the UK.</w:t>
      </w:r>
    </w:p>
    <w:p>
      <w:pPr>
        <w:spacing w:after="0" w:line="186"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The EU’s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 including the United States.</w:t>
      </w:r>
    </w:p>
    <w:p>
      <w:pPr>
        <w:spacing w:after="0" w:line="216" w:lineRule="exact"/>
        <w:rPr>
          <w:sz w:val="20"/>
          <w:szCs w:val="20"/>
          <w:color w:val="auto"/>
        </w:rPr>
      </w:pPr>
    </w:p>
    <w:p>
      <w:pPr>
        <w:ind w:right="80" w:firstLine="648"/>
        <w:spacing w:after="0" w:line="255" w:lineRule="auto"/>
        <w:rPr>
          <w:sz w:val="20"/>
          <w:szCs w:val="20"/>
          <w:color w:val="auto"/>
        </w:rPr>
      </w:pPr>
      <w:r>
        <w:rPr>
          <w:rFonts w:ascii="Arial" w:cs="Arial" w:eastAsia="Arial" w:hAnsi="Arial"/>
          <w:sz w:val="17"/>
          <w:szCs w:val="17"/>
          <w:color w:val="auto"/>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84" w:lineRule="exact"/>
        <w:rPr>
          <w:sz w:val="20"/>
          <w:szCs w:val="20"/>
          <w:color w:val="auto"/>
        </w:rPr>
      </w:pPr>
    </w:p>
    <w:p>
      <w:pPr>
        <w:ind w:right="80" w:firstLine="648"/>
        <w:spacing w:after="0" w:line="252" w:lineRule="auto"/>
        <w:rPr>
          <w:sz w:val="20"/>
          <w:szCs w:val="20"/>
          <w:color w:val="auto"/>
        </w:rPr>
      </w:pPr>
      <w:r>
        <w:rPr>
          <w:rFonts w:ascii="Arial" w:cs="Arial" w:eastAsia="Arial" w:hAnsi="Arial"/>
          <w:sz w:val="17"/>
          <w:szCs w:val="17"/>
          <w:color w:val="auto"/>
        </w:rPr>
        <w:t>There is an increasing focus from certain investors, employees, customers and other stakeholders concerning corporate responsibility, specifically related to ESG matters. Some investors may use these non-financial performance factors to guide their investment strategies and, in some cases, may choose not to invest in us if they believe our policies and actions relating to corporate responsibility are inadequate. The growing investor demand for measurement of non-financial performance is addressed by third-party providers of sustainability assessment and ratings on companies. The criteria by which our corporate responsibility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may conclude that our policies and/or actions with respect to corporate social responsibility are inadequate. We may face reputational damage in the event that we do not meet the ESG standards set by various constituencies.</w:t>
      </w:r>
    </w:p>
    <w:p>
      <w:pPr>
        <w:spacing w:after="0" w:line="208" w:lineRule="exact"/>
        <w:rPr>
          <w:sz w:val="20"/>
          <w:szCs w:val="20"/>
          <w:color w:val="auto"/>
        </w:rPr>
      </w:pPr>
    </w:p>
    <w:p>
      <w:pPr>
        <w:ind w:right="20" w:firstLine="648"/>
        <w:spacing w:after="0" w:line="271" w:lineRule="auto"/>
        <w:rPr>
          <w:sz w:val="20"/>
          <w:szCs w:val="20"/>
          <w:color w:val="auto"/>
        </w:rPr>
      </w:pPr>
      <w:r>
        <w:rPr>
          <w:rFonts w:ascii="Arial" w:cs="Arial" w:eastAsia="Arial" w:hAnsi="Arial"/>
          <w:sz w:val="16"/>
          <w:szCs w:val="16"/>
          <w:color w:val="auto"/>
        </w:rPr>
        <w:t>Furthermore, in the event that we communicate certain initiatives and goals regarding ESG matters, such as our commitment to target Net-Zero on Scope 1 and Scope 2 emissions resulting from our owned facilities worldwide by 2030 or our commitment to the Paris Agreement via the Science Based Targets Initiative, we could fail, or be perceived to fail, in our achievement of such initiatives or goals, or we could be criticized for the scope, target and timelines of such initiatives or goals. If we fail to satisfy the expectations of investors, customers, employees, and other stakeholders or our initiatives are not executed as planned, our reputation and business, operating results and financial condition could be adversely impacted. In addition, the SEC has also proposed a draft rule that requires climate disclosures in financial filings. To the extent the SEC proposal becomes effective for our company, we will be required to establish additional internal controls, engage additional consultants and incur additional costs related to evaluating, managing and reporting on our environmental impact and climate-related risks and opportunities. If we fail to implement sufficient oversight or accurately capture and disclose on environmental matters, our reputation, business, operating results and financial condition may be materially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Finance, Accounting and Tax Matters</w:t>
      </w:r>
    </w:p>
    <w:p>
      <w:pPr>
        <w:spacing w:after="0" w:line="24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33"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deferred contract costs and commission expense, accounting for business combinations, contingent liabilities and accounting for income taxes.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50" w:lineRule="exact"/>
        <w:rPr>
          <w:sz w:val="20"/>
          <w:szCs w:val="20"/>
          <w:color w:val="auto"/>
        </w:rPr>
      </w:pPr>
    </w:p>
    <w:p>
      <w:pPr>
        <w:ind w:right="120" w:firstLine="648"/>
        <w:spacing w:after="0" w:line="268" w:lineRule="auto"/>
        <w:rPr>
          <w:sz w:val="20"/>
          <w:szCs w:val="20"/>
          <w:color w:val="auto"/>
        </w:rPr>
      </w:pPr>
      <w:r>
        <w:rPr>
          <w:rFonts w:ascii="Arial" w:cs="Arial" w:eastAsia="Arial" w:hAnsi="Arial"/>
          <w:sz w:val="16"/>
          <w:szCs w:val="16"/>
          <w:color w:val="auto"/>
        </w:rPr>
        <w:t>A significant portion of our operating expenses are incurred outside the United States. These expenses are denominated in foreign currencies and are subject to fluctuations due to changes in foreign currency exchange rates, particularly changes in the Euro, Japanese yen, Canadian dollar and British pound. A weakening of the U.S. dollar compared to foreign currencies would negatively affect our expenses and operating results, which are expressed in U.S. dollars. Additionally, fluctuations in the exchange rate of the Canadian dollar may negatively impact our development plans in Burnaby, Canada. While we are not currently engaged in material hedging activities, we have been hedging currency exposures relating to certain balance sheet</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could be subject to changes in our tax rates, the adoption of new U.S. or international tax legislation, exposure to additional tax liabilities or impacts from the timing of tax payments.</w:t>
      </w:r>
    </w:p>
    <w:p>
      <w:pPr>
        <w:spacing w:after="0" w:line="184" w:lineRule="exact"/>
        <w:rPr>
          <w:sz w:val="20"/>
          <w:szCs w:val="20"/>
          <w:color w:val="auto"/>
        </w:rPr>
      </w:pPr>
    </w:p>
    <w:p>
      <w:pPr>
        <w:ind w:right="160" w:firstLine="648"/>
        <w:spacing w:after="0" w:line="324" w:lineRule="auto"/>
        <w:rPr>
          <w:sz w:val="20"/>
          <w:szCs w:val="20"/>
          <w:color w:val="auto"/>
        </w:rPr>
      </w:pPr>
      <w:r>
        <w:rPr>
          <w:rFonts w:ascii="Arial" w:cs="Arial" w:eastAsia="Arial" w:hAnsi="Arial"/>
          <w:sz w:val="16"/>
          <w:szCs w:val="16"/>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51"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to corporate tax rates;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availability of tax credits and/or tax deductions;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tax payments;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38" w:lineRule="exact"/>
        <w:rPr>
          <w:rFonts w:ascii="Arial" w:cs="Arial" w:eastAsia="Arial" w:hAnsi="Arial"/>
          <w:sz w:val="18"/>
          <w:szCs w:val="18"/>
          <w:color w:val="auto"/>
        </w:rPr>
      </w:pPr>
    </w:p>
    <w:p>
      <w:pPr>
        <w:ind w:left="1300" w:right="240" w:hanging="644"/>
        <w:spacing w:after="0" w:line="261"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97" w:lineRule="exact"/>
        <w:rPr>
          <w:rFonts w:ascii="Arial" w:cs="Arial" w:eastAsia="Arial" w:hAnsi="Arial"/>
          <w:sz w:val="18"/>
          <w:szCs w:val="18"/>
          <w:color w:val="auto"/>
        </w:rPr>
      </w:pPr>
    </w:p>
    <w:p>
      <w:pPr>
        <w:ind w:left="1300" w:right="840" w:hanging="644"/>
        <w:spacing w:after="0" w:line="261"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accounting principles, court decisions, tax rulings, and interpretations of or changes to tax laws, and regulations by international, federal or local governmental authorities.</w:t>
      </w:r>
    </w:p>
    <w:p>
      <w:pPr>
        <w:spacing w:after="0" w:line="19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7"/>
          <w:szCs w:val="17"/>
          <w:color w:val="auto"/>
        </w:rPr>
        <w:t>We have open tax years that could be subject to the examination by the Internal Revenue Service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condensed consolidated financial statements and may materially affect our financial results.</w:t>
      </w:r>
    </w:p>
    <w:p>
      <w:pPr>
        <w:spacing w:after="0" w:line="201"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8" w:lineRule="exact"/>
        <w:rPr>
          <w:sz w:val="20"/>
          <w:szCs w:val="20"/>
          <w:color w:val="auto"/>
        </w:rPr>
      </w:pPr>
    </w:p>
    <w:p>
      <w:pPr>
        <w:ind w:right="40" w:firstLine="648"/>
        <w:spacing w:after="0" w:line="262" w:lineRule="auto"/>
        <w:rPr>
          <w:sz w:val="20"/>
          <w:szCs w:val="20"/>
          <w:color w:val="auto"/>
        </w:rPr>
      </w:pPr>
      <w:r>
        <w:rPr>
          <w:rFonts w:ascii="Arial" w:cs="Arial" w:eastAsia="Arial" w:hAnsi="Arial"/>
          <w:sz w:val="17"/>
          <w:szCs w:val="17"/>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84"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results of business, financial condition and results of operations. Additionally, our actual tax rate may be subject to further uncertainty due to potential changes in U.S. and foreign tax rules.</w:t>
      </w:r>
    </w:p>
    <w:p>
      <w:pPr>
        <w:spacing w:after="0" w:line="198"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10"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The Organisation for Economic Co-operation and Development (the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84" w:lineRule="exact"/>
        <w:rPr>
          <w:sz w:val="20"/>
          <w:szCs w:val="20"/>
          <w:color w:val="auto"/>
        </w:rPr>
      </w:pPr>
    </w:p>
    <w:p>
      <w:pPr>
        <w:ind w:firstLine="648"/>
        <w:spacing w:after="0" w:line="264" w:lineRule="auto"/>
        <w:rPr>
          <w:sz w:val="20"/>
          <w:szCs w:val="20"/>
          <w:color w:val="auto"/>
        </w:rPr>
      </w:pPr>
      <w:r>
        <w:rPr>
          <w:rFonts w:ascii="Arial" w:cs="Arial" w:eastAsia="Arial" w:hAnsi="Arial"/>
          <w:sz w:val="16"/>
          <w:szCs w:val="16"/>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2022, our internal controls over financial reporting were effective, we cannot predict the outcome of our testing in</w:t>
      </w:r>
    </w:p>
    <w:p>
      <w:pPr>
        <w:spacing w:after="0" w:line="3"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2023 or future periods and there can be no assurance that, in the future, our internal controls over financial reporting will be effective or deemed effective. We may incur additional expenses and commitment of management’s time in connection with further evaluations, both of which could materially increase our operating expenses and accordingly reduce our operating results.</w:t>
      </w:r>
    </w:p>
    <w:p>
      <w:pPr>
        <w:spacing w:after="0" w:line="2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equity research or industry analysts stop publishing research or reports about our business, issue unfavorable commentary, downgrade our shares of common stock or publish inaccurate information, our stock price and trading volume could decline.</w:t>
      </w:r>
    </w:p>
    <w:p>
      <w:pPr>
        <w:spacing w:after="0" w:line="184" w:lineRule="exact"/>
        <w:rPr>
          <w:sz w:val="20"/>
          <w:szCs w:val="20"/>
          <w:color w:val="auto"/>
        </w:rPr>
      </w:pPr>
    </w:p>
    <w:p>
      <w:pPr>
        <w:ind w:right="20" w:firstLine="648"/>
        <w:spacing w:after="0" w:line="272" w:lineRule="auto"/>
        <w:rPr>
          <w:sz w:val="20"/>
          <w:szCs w:val="20"/>
          <w:color w:val="auto"/>
        </w:rPr>
      </w:pPr>
      <w:r>
        <w:rPr>
          <w:rFonts w:ascii="Arial" w:cs="Arial" w:eastAsia="Arial" w:hAnsi="Arial"/>
          <w:sz w:val="16"/>
          <w:szCs w:val="16"/>
          <w:color w:val="auto"/>
        </w:rPr>
        <w:t>The trading market for our common stock is influenced in part by the research and reports that equity research and industry analysts publish about us or our business. If one or more of these analysts ceases coverage of our company or fails to publish reports on us regularly, we could lose visibility in the financial markets, which in turn could cause our stock price or trading volume to decline. Furthermore, if one or more of these analysts downgrades our stock or issues unfavorable commentary about our business, the price of our stock could decline. We have in the past experienced downgrades and may in the future experience downgrades. In addition, these analysts may publish their own financial projections, which may vary widely and may not accurately predict the results we actually achieve, which in turn could cause our share price to decline if our actual results do not match their projections. If one of these analysts were to publish inaccurate negative information about us or our business, our stock price could decline. Moreover, if securities analysts publish inaccurate positive information, stockholders could buy our stock and the stock price may later decline.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our common stock may be volatile, which may be exacerbated by share repurchases under our Share Repurchase Program.</w:t>
      </w:r>
    </w:p>
    <w:p>
      <w:pPr>
        <w:spacing w:after="0" w:line="262"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the nine months ended September 30, 2023, the closing price of our common stock ranged from $47.45 to $80.28 per share.</w:t>
      </w:r>
    </w:p>
    <w:p>
      <w:pPr>
        <w:spacing w:after="0" w:line="218"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Furthermore, stock markets have experienced price and volume fluctuations that have affected and continue to affect the market prices of equity securities of many companies. These fluctuations often have been unrelated or disproportionate to</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11" w:lineRule="exact"/>
        <w:rPr>
          <w:sz w:val="20"/>
          <w:szCs w:val="20"/>
          <w:color w:val="auto"/>
        </w:rPr>
      </w:pPr>
    </w:p>
    <w:p>
      <w:pPr>
        <w:jc w:val="both"/>
        <w:ind w:right="700" w:firstLine="648"/>
        <w:spacing w:after="0" w:line="270" w:lineRule="auto"/>
        <w:rPr>
          <w:sz w:val="20"/>
          <w:szCs w:val="20"/>
          <w:color w:val="auto"/>
        </w:rPr>
      </w:pPr>
      <w:r>
        <w:rPr>
          <w:rFonts w:ascii="Arial" w:cs="Arial" w:eastAsia="Arial" w:hAnsi="Arial"/>
          <w:sz w:val="17"/>
          <w:szCs w:val="17"/>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60"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In February 2023, our board of directors approved an extension of the Repurchase Program to February 29, 2024. In April 2023, our board of directors approved a $1.0 billion increase in the authorized stock repurchase amount under the Repurchase Program, and in July 2023, our board of directors approved an additional $500 million increase in the authorized stock repurchase amount under the Repurchase Program, bringing the remaining aggregate amount authorized to be repurchased to $1.42 billion as of September 30, 2023.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22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57" w:lineRule="exact"/>
        <w:rPr>
          <w:sz w:val="20"/>
          <w:szCs w:val="20"/>
          <w:color w:val="auto"/>
        </w:rPr>
      </w:pPr>
    </w:p>
    <w:p>
      <w:pPr>
        <w:ind w:right="280" w:firstLine="648"/>
        <w:spacing w:after="0" w:line="291"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60" w:lineRule="exact"/>
        <w:rPr>
          <w:sz w:val="20"/>
          <w:szCs w:val="20"/>
          <w:color w:val="auto"/>
        </w:rPr>
      </w:pPr>
    </w:p>
    <w:p>
      <w:pPr>
        <w:ind w:left="1300" w:right="360" w:hanging="644"/>
        <w:spacing w:after="0" w:line="261"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98" w:lineRule="exact"/>
        <w:rPr>
          <w:rFonts w:ascii="Arial" w:cs="Arial" w:eastAsia="Arial" w:hAnsi="Arial"/>
          <w:sz w:val="18"/>
          <w:szCs w:val="18"/>
          <w:color w:val="auto"/>
        </w:rPr>
      </w:pPr>
    </w:p>
    <w:p>
      <w:pPr>
        <w:ind w:left="1300" w:right="260" w:hanging="644"/>
        <w:spacing w:after="0" w:line="261"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198" w:lineRule="exact"/>
        <w:rPr>
          <w:rFonts w:ascii="Arial" w:cs="Arial" w:eastAsia="Arial" w:hAnsi="Arial"/>
          <w:sz w:val="18"/>
          <w:szCs w:val="18"/>
          <w:color w:val="auto"/>
        </w:rPr>
      </w:pPr>
    </w:p>
    <w:p>
      <w:pPr>
        <w:ind w:left="1300" w:right="480" w:hanging="644"/>
        <w:spacing w:after="0" w:line="261"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39"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68"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95"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Global economic uncertainty, an economic downturn, the possibility of a recession, inflation, rising interest rates, weakening product demand caused by political instability, changes in trade agreements and conflicts such as the war in Ukraine and the Israel-Hamas war, could adversely affect our business and financial performance.</w:t>
      </w:r>
    </w:p>
    <w:p>
      <w:pPr>
        <w:spacing w:after="0" w:line="197"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Economic uncertainty in various global markets caused by political instability and conflict, such as the war in Ukraine and the Israel-Hamas war, and economic challenges caused by the economic downturn, any resulting recession, inflation or rise in interest rates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and the transition in administrations, and the United States’ ongoing trade disputes with Russia, China and other countries. The continuing effect of any or all of these events could adversely impact demand for our products, harm our operations and weaken our financial results.</w:t>
      </w:r>
    </w:p>
    <w:p>
      <w:pPr>
        <w:spacing w:after="0" w:line="193"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auto"/>
        </w:rPr>
        <w:t>In addition, the U.S. capital markets have experienced and continue to experience extreme volatility and disruption. Inflation rates in the United States significantly increased in 2022 resulting in federal action to increase interest rates, adversely affecting capital markets activity. Further deterioration of the macroeconomic environment and regulatory action may adversely affect our business, operating results and financial condition. Moreover, there has been recent turmoil in the global banking system. For example, in March 2023, Silicon Valley Bank (“SVB”) was put into receivership by the Federal Deposit Insurance Corporation and subsequently sold. Other banks at risk of failure have been subsequently sold, including First Republic Bank in May 2023, and there is concern that more banks could be at risk of the same fate. Although we only had an immaterial amount of our cash directly at SVB, there is no guarantee that the federal government would guarantee all depositors as they did with SVB depositors in the event of further bank closures. Continued instability in the global banking system may negatively impact us or our customers, including our customers’ ability to pay for our platform, and adversely impact our business and financial condition. Moreover, events such as the closure of SVB, in addition to global macroeconomic conditions discussed above, may cause further turbulence and uncertainty in the capital markets and economy.</w:t>
      </w:r>
    </w:p>
    <w:p>
      <w:pPr>
        <w:spacing w:after="0" w:line="21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war, labor disruption, critical infrastructure attack and terrorism.</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A significant natural disaster, such as an earthquake, drought,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manufacture and ship products and could result in delays and reductions in billings and revenue, or the effects of epidemics and pandemics may negatively impact our ability to manufacture and ship products, possibly in a material way, and could result in delays and reductions in billings and revenue,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and the Israel-Hamas war and any expansion thereof,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financial accounting standards may cause adverse unexpected fluctuations and affect our reported results of operations.</w:t>
      </w:r>
    </w:p>
    <w:p>
      <w:pPr>
        <w:spacing w:after="0" w:line="250"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203"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spacing w:after="0" w:line="22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Use of Proceeds and Issuer Purchases of Equity Securities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under the Repurchase Program during the three months ended September 30, 2023 (in millions, except average price paid per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 Price</w:t>
            </w:r>
          </w:p>
        </w:tc>
        <w:tc>
          <w:tcPr>
            <w:tcW w:w="19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94"/>
        </w:trPr>
        <w:tc>
          <w:tcPr>
            <w:tcW w:w="40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Period</w:t>
            </w:r>
          </w:p>
        </w:tc>
        <w:tc>
          <w:tcPr>
            <w:tcW w:w="1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Announced Plan or Program</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92"/>
        </w:trPr>
        <w:tc>
          <w:tcPr>
            <w:tcW w:w="4040" w:type="dxa"/>
            <w:vAlign w:val="bottom"/>
            <w:gridSpan w:val="2"/>
            <w:vMerge w:val="continue"/>
          </w:tcPr>
          <w:p>
            <w:pPr>
              <w:spacing w:after="0"/>
              <w:rPr>
                <w:sz w:val="7"/>
                <w:szCs w:val="7"/>
                <w:color w:val="auto"/>
              </w:rPr>
            </w:pPr>
          </w:p>
        </w:tc>
        <w:tc>
          <w:tcPr>
            <w:tcW w:w="1940" w:type="dxa"/>
            <w:vAlign w:val="bottom"/>
            <w:vMerge w:val="restart"/>
          </w:tcPr>
          <w:p>
            <w:pPr>
              <w:jc w:val="right"/>
              <w:ind w:right="556"/>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7"/>
                <w:szCs w:val="7"/>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Paid per Share</w:t>
            </w:r>
          </w:p>
        </w:tc>
        <w:tc>
          <w:tcPr>
            <w:tcW w:w="1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4040" w:type="dxa"/>
            <w:vAlign w:val="bottom"/>
            <w:gridSpan w:val="2"/>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 July 31, 2023</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August 1 - August 31, 2023</w:t>
            </w:r>
          </w:p>
        </w:tc>
        <w:tc>
          <w:tcPr>
            <w:tcW w:w="1940" w:type="dxa"/>
            <w:vAlign w:val="bottom"/>
          </w:tcPr>
          <w:p>
            <w:pPr>
              <w:jc w:val="right"/>
              <w:spacing w:after="0"/>
              <w:rPr>
                <w:sz w:val="20"/>
                <w:szCs w:val="20"/>
                <w:color w:val="auto"/>
              </w:rPr>
            </w:pPr>
            <w:r>
              <w:rPr>
                <w:rFonts w:ascii="Arial" w:cs="Arial" w:eastAsia="Arial" w:hAnsi="Arial"/>
                <w:sz w:val="18"/>
                <w:szCs w:val="18"/>
                <w:color w:val="auto"/>
              </w:rPr>
              <w:t>8.7</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58.57</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1,519.8</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 September 30, 2023</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1,424.4</w:t>
            </w:r>
          </w:p>
        </w:tc>
        <w:tc>
          <w:tcPr>
            <w:tcW w:w="0" w:type="dxa"/>
            <w:vAlign w:val="bottom"/>
          </w:tcPr>
          <w:p>
            <w:pPr>
              <w:spacing w:after="0"/>
              <w:rPr>
                <w:sz w:val="1"/>
                <w:szCs w:val="1"/>
                <w:color w:val="auto"/>
              </w:rPr>
            </w:pPr>
          </w:p>
        </w:tc>
      </w:tr>
      <w:tr>
        <w:trPr>
          <w:trHeight w:val="223"/>
        </w:trPr>
        <w:tc>
          <w:tcPr>
            <w:tcW w:w="4040" w:type="dxa"/>
            <w:vAlign w:val="bottom"/>
            <w:gridSpan w:val="2"/>
          </w:tcPr>
          <w:p>
            <w:pPr>
              <w:ind w:left="178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58.43</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On August 16, 2023, the Xie Foundation, a non-profit entity for which Michael Xie and Ken Xie, both of which are our officers and directors, serve as co-presidents and directors, and Michael Xie entered into a pre-arranged written stock sale plan in accordance with Rule 10b5-1 (the “August Xie Plan”) under the Exchange Act for the sale of shares of our common stock. The August Xie Plan was entered into during an open trading window in accordance with our insider trading policy and is intended to satisfy the affirmative defense of Rule 10b5-1(c) under the Exchange Act. The August Xie Plan provides for (i) the potential sale by Michael Xie of up to (a) 100,000 shares of our common stock, including upon the vesting and settlement of RSUs and PSUs for shares of our common stock, and (b) the net shares (which are not yet determinable) after shares are withheld to satisfy tax obligations upon such vesting and settlement, in each case, at the market price, and (ii) the potential gifting of up to 50,000 shares of our common stock by the Xie Foundation, all between November 15, 2023 and November 29, 2024.</w:t>
      </w:r>
    </w:p>
    <w:p>
      <w:pPr>
        <w:spacing w:after="0" w:line="208" w:lineRule="exact"/>
        <w:rPr>
          <w:sz w:val="20"/>
          <w:szCs w:val="20"/>
          <w:color w:val="auto"/>
        </w:rPr>
      </w:pPr>
    </w:p>
    <w:p>
      <w:pPr>
        <w:ind w:right="100" w:firstLine="648"/>
        <w:spacing w:after="0" w:line="251" w:lineRule="auto"/>
        <w:rPr>
          <w:sz w:val="20"/>
          <w:szCs w:val="20"/>
          <w:color w:val="auto"/>
        </w:rPr>
      </w:pPr>
      <w:r>
        <w:rPr>
          <w:rFonts w:ascii="Arial" w:cs="Arial" w:eastAsia="Arial" w:hAnsi="Arial"/>
          <w:sz w:val="17"/>
          <w:szCs w:val="17"/>
          <w:color w:val="auto"/>
        </w:rPr>
        <w:t>On September 8, 2023, Michael Xie and the Xie Foundation amended the August Xie Plan in order to provide for sales of our common stock thereunder by Ken Xie, in addition to the sales provided for by the August Xie Plan (as so amended, the “September Xie Plan”). The September Xie Plan was entered into during an open trading window in accordance with our insider trading policy and is intended to satisfy the affirmative defense of Rule 10b5-1(c) under the Exchange Act. The September Xie Plan provides for (i) the potential sale by Michael Xie of up to (a) 100,000 shares of our common stock, including upon the vesting and settlement of RSUs and PSUs for shares of our common stock, and (b) the net shares (which are not yet determinable) after shares are withheld to satisfy tax obligations upon such vesting and settlement, in each case, at the market price, (ii) the potential sale by Ken Xie of up to (a) 150,000 shares of our common stock, including upon the exercise of vested stock options for shares of our common stock, and (b) the net shares (which are not yet determinable) after shares are sold to pay the exercise price and tax withholding obligations associated with such exercises, in each case, at the market price and (iii) the potential gifting of up to 50,000 shares of our common stock by the Xie Foundation, all between December 8, 2023 and February 14, 2025.</w:t>
      </w:r>
    </w:p>
    <w:p>
      <w:pPr>
        <w:spacing w:after="0" w:line="210" w:lineRule="exact"/>
        <w:rPr>
          <w:sz w:val="20"/>
          <w:szCs w:val="20"/>
          <w:color w:val="auto"/>
        </w:rPr>
      </w:pPr>
    </w:p>
    <w:p>
      <w:pPr>
        <w:ind w:right="60" w:firstLine="648"/>
        <w:spacing w:after="0" w:line="252" w:lineRule="auto"/>
        <w:rPr>
          <w:sz w:val="20"/>
          <w:szCs w:val="20"/>
          <w:color w:val="auto"/>
        </w:rPr>
      </w:pPr>
      <w:r>
        <w:rPr>
          <w:rFonts w:ascii="Arial" w:cs="Arial" w:eastAsia="Arial" w:hAnsi="Arial"/>
          <w:sz w:val="17"/>
          <w:szCs w:val="17"/>
          <w:color w:val="auto"/>
        </w:rPr>
        <w:t>Each of the August Xie Plan and the September Xie Plan (together, the “10b5-1 Plans”) includes a representation from Michael Xie, Ken Xie and the Xie Foundation (as applicable) to the broker administering the plan that none of them were in possession of any material nonpublic information regarding us or the securities subject to the 10b5-1 Plans at the time the 10b5-1 Plans were entered into. A similar representation was made to us in connection with the adoption of the 10b5-1 Plans under our insider trading policy. Those representations for each 10b5-1 Plan were made as of the respective date of adoption of the 10b5-1 Plan, and speak only as of that date. In making those representations, there is no assurance with respect to any material nonpublic information of which Michael Xie, Ken Xie and the Xie Foundation were unaware, or with respect to any material nonpublic information acquired by Michael Xie, Ken Xie and the Xie Foundation or us after the date of each such representation.</w:t>
      </w:r>
    </w:p>
    <w:p>
      <w:pPr>
        <w:spacing w:after="0" w:line="210"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Once executed, transactions under the September Xie Plan will be disclosed publicly through Form 4 and/or Form 144 filings with the SEC in accordance with applicable securities laws, rules and regulations. Except as may be required by law, we do not undertake any obligation to update or report any modification, termination, or other activity under current or future Rule 10b5-1 plans that may be adopted by Michael Xie, Ken Xie, the Xie Foundation or our other officers or directors, or their affiliated entities.</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The exhibits listed in the accompanying Exhibit Index are filed or incorporated by reference as part of this Quarterly Report on Form 10-Q.</w:t>
      </w:r>
    </w:p>
    <w:p>
      <w:pPr>
        <w:spacing w:after="0" w:line="26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EXHIBIT INDEX</w:t>
      </w:r>
    </w:p>
    <w:p>
      <w:pPr>
        <w:spacing w:after="0" w:line="140"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32385</wp:posOffset>
            </wp:positionV>
            <wp:extent cx="31457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5" w:lineRule="exact"/>
        <w:rPr>
          <w:sz w:val="20"/>
          <w:szCs w:val="20"/>
          <w:color w:val="auto"/>
        </w:rPr>
      </w:pPr>
    </w:p>
    <w:p>
      <w:pPr>
        <w:jc w:val="both"/>
        <w:ind w:left="6280"/>
        <w:spacing w:after="0"/>
        <w:tabs>
          <w:tab w:leader="none" w:pos="8420" w:val="left"/>
          <w:tab w:leader="none" w:pos="986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3"/>
          <w:szCs w:val="13"/>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32385</wp:posOffset>
            </wp:positionV>
            <wp:extent cx="31457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80" w:type="dxa"/>
            <w:vAlign w:val="bottom"/>
            <w:gridSpan w:val="2"/>
          </w:tcPr>
          <w:p>
            <w:pPr>
              <w:spacing w:after="0"/>
              <w:rPr>
                <w:sz w:val="20"/>
                <w:szCs w:val="20"/>
                <w:color w:val="auto"/>
              </w:rPr>
            </w:pPr>
            <w:r>
              <w:rPr>
                <w:rFonts w:ascii="Arial" w:cs="Arial" w:eastAsia="Arial" w:hAnsi="Arial"/>
                <w:sz w:val="14"/>
                <w:szCs w:val="14"/>
                <w:color w:val="0000FF"/>
              </w:rPr>
              <w:t>31.</w:t>
            </w:r>
            <w:r>
              <w:rPr>
                <w:rFonts w:ascii="Arial" w:cs="Arial" w:eastAsia="Arial" w:hAnsi="Arial"/>
                <w:sz w:val="14"/>
                <w:szCs w:val="14"/>
                <w:u w:val="single" w:color="auto"/>
                <w:color w:val="0000FF"/>
              </w:rPr>
              <w:t>1</w:t>
            </w:r>
            <w:r>
              <w:rPr>
                <w:rFonts w:ascii="Arial" w:cs="Arial" w:eastAsia="Arial" w:hAnsi="Arial"/>
                <w:sz w:val="14"/>
                <w:szCs w:val="14"/>
                <w:color w:val="000000"/>
              </w:rPr>
              <w:t>*</w:t>
            </w:r>
          </w:p>
        </w:tc>
        <w:tc>
          <w:tcPr>
            <w:tcW w:w="5400" w:type="dxa"/>
            <w:vAlign w:val="bottom"/>
          </w:tcPr>
          <w:p>
            <w:pPr>
              <w:ind w:left="60"/>
              <w:spacing w:after="0"/>
              <w:rPr>
                <w:sz w:val="20"/>
                <w:szCs w:val="20"/>
                <w:color w:val="auto"/>
              </w:rPr>
            </w:pPr>
            <w:r>
              <w:rPr>
                <w:rFonts w:ascii="Arial" w:cs="Arial" w:eastAsia="Arial" w:hAnsi="Arial"/>
                <w:sz w:val="14"/>
                <w:szCs w:val="14"/>
                <w:color w:val="auto"/>
                <w:w w:val="94"/>
              </w:rPr>
              <w:t>Certification of Chief Executive Officer pursuant to Exchange Act Rules 13a-14(a) and 15d-</w:t>
            </w:r>
          </w:p>
        </w:tc>
        <w:tc>
          <w:tcPr>
            <w:tcW w:w="0" w:type="dxa"/>
            <w:vAlign w:val="bottom"/>
          </w:tcPr>
          <w:p>
            <w:pPr>
              <w:spacing w:after="0"/>
              <w:rPr>
                <w:sz w:val="1"/>
                <w:szCs w:val="1"/>
                <w:color w:val="auto"/>
              </w:rPr>
            </w:pPr>
          </w:p>
        </w:tc>
      </w:tr>
      <w:tr>
        <w:trPr>
          <w:trHeight w:val="155"/>
        </w:trPr>
        <w:tc>
          <w:tcPr>
            <w:tcW w:w="26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5400" w:type="dxa"/>
            <w:vAlign w:val="bottom"/>
          </w:tcPr>
          <w:p>
            <w:pPr>
              <w:ind w:left="60"/>
              <w:spacing w:after="0" w:line="155" w:lineRule="exact"/>
              <w:rPr>
                <w:sz w:val="20"/>
                <w:szCs w:val="20"/>
                <w:color w:val="auto"/>
              </w:rPr>
            </w:pPr>
            <w:r>
              <w:rPr>
                <w:rFonts w:ascii="Arial" w:cs="Arial" w:eastAsia="Arial" w:hAnsi="Arial"/>
                <w:sz w:val="14"/>
                <w:szCs w:val="14"/>
                <w:color w:val="auto"/>
              </w:rPr>
              <w:t>14(a), as adopted pursuant to Section 302 of the Sarbanes-Oxley Act of 2002</w:t>
            </w:r>
          </w:p>
        </w:tc>
        <w:tc>
          <w:tcPr>
            <w:tcW w:w="0" w:type="dxa"/>
            <w:vAlign w:val="bottom"/>
          </w:tcPr>
          <w:p>
            <w:pPr>
              <w:spacing w:after="0"/>
              <w:rPr>
                <w:sz w:val="1"/>
                <w:szCs w:val="1"/>
                <w:color w:val="auto"/>
              </w:rPr>
            </w:pPr>
          </w:p>
        </w:tc>
      </w:tr>
      <w:tr>
        <w:trPr>
          <w:trHeight w:val="209"/>
        </w:trPr>
        <w:tc>
          <w:tcPr>
            <w:tcW w:w="680" w:type="dxa"/>
            <w:vAlign w:val="bottom"/>
            <w:gridSpan w:val="2"/>
          </w:tcPr>
          <w:p>
            <w:pPr>
              <w:spacing w:after="0"/>
              <w:rPr>
                <w:sz w:val="20"/>
                <w:szCs w:val="20"/>
                <w:color w:val="auto"/>
              </w:rPr>
            </w:pPr>
            <w:r>
              <w:rPr>
                <w:rFonts w:ascii="Arial" w:cs="Arial" w:eastAsia="Arial" w:hAnsi="Arial"/>
                <w:sz w:val="14"/>
                <w:szCs w:val="14"/>
                <w:color w:val="0000FF"/>
              </w:rPr>
              <w:t>31.</w:t>
            </w:r>
            <w:r>
              <w:rPr>
                <w:rFonts w:ascii="Arial" w:cs="Arial" w:eastAsia="Arial" w:hAnsi="Arial"/>
                <w:sz w:val="14"/>
                <w:szCs w:val="14"/>
                <w:u w:val="single" w:color="auto"/>
                <w:color w:val="0000FF"/>
              </w:rPr>
              <w:t>2</w:t>
            </w:r>
            <w:r>
              <w:rPr>
                <w:rFonts w:ascii="Arial" w:cs="Arial" w:eastAsia="Arial" w:hAnsi="Arial"/>
                <w:sz w:val="14"/>
                <w:szCs w:val="14"/>
                <w:color w:val="000000"/>
              </w:rPr>
              <w:t>*</w:t>
            </w:r>
          </w:p>
        </w:tc>
        <w:tc>
          <w:tcPr>
            <w:tcW w:w="5400" w:type="dxa"/>
            <w:vAlign w:val="bottom"/>
          </w:tcPr>
          <w:p>
            <w:pPr>
              <w:ind w:left="60"/>
              <w:spacing w:after="0"/>
              <w:rPr>
                <w:sz w:val="20"/>
                <w:szCs w:val="20"/>
                <w:color w:val="auto"/>
              </w:rPr>
            </w:pPr>
            <w:r>
              <w:rPr>
                <w:rFonts w:ascii="Arial" w:cs="Arial" w:eastAsia="Arial" w:hAnsi="Arial"/>
                <w:sz w:val="14"/>
                <w:szCs w:val="14"/>
                <w:color w:val="auto"/>
                <w:w w:val="95"/>
              </w:rPr>
              <w:t>Certification of Chief Financial Officer pursuant to Exchange Act Rules 13a-14(a) and 15d-</w:t>
            </w:r>
          </w:p>
        </w:tc>
        <w:tc>
          <w:tcPr>
            <w:tcW w:w="0" w:type="dxa"/>
            <w:vAlign w:val="bottom"/>
          </w:tcPr>
          <w:p>
            <w:pPr>
              <w:spacing w:after="0"/>
              <w:rPr>
                <w:sz w:val="1"/>
                <w:szCs w:val="1"/>
                <w:color w:val="auto"/>
              </w:rPr>
            </w:pPr>
          </w:p>
        </w:tc>
      </w:tr>
      <w:tr>
        <w:trPr>
          <w:trHeight w:val="27"/>
        </w:trPr>
        <w:tc>
          <w:tcPr>
            <w:tcW w:w="2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5400" w:type="dxa"/>
            <w:vAlign w:val="bottom"/>
            <w:vMerge w:val="restart"/>
          </w:tcPr>
          <w:p>
            <w:pPr>
              <w:ind w:left="60"/>
              <w:spacing w:after="0"/>
              <w:rPr>
                <w:sz w:val="20"/>
                <w:szCs w:val="20"/>
                <w:color w:val="auto"/>
              </w:rPr>
            </w:pPr>
            <w:r>
              <w:rPr>
                <w:rFonts w:ascii="Arial" w:cs="Arial" w:eastAsia="Arial" w:hAnsi="Arial"/>
                <w:sz w:val="14"/>
                <w:szCs w:val="14"/>
                <w:color w:val="auto"/>
              </w:rPr>
              <w:t>14(a), as adopted pursuant to Section 302 of the Sarbanes-Oxley Act of 2002</w:t>
            </w:r>
          </w:p>
        </w:tc>
        <w:tc>
          <w:tcPr>
            <w:tcW w:w="0" w:type="dxa"/>
            <w:vAlign w:val="bottom"/>
          </w:tcPr>
          <w:p>
            <w:pPr>
              <w:spacing w:after="0" w:line="20" w:lineRule="exact"/>
              <w:rPr>
                <w:sz w:val="1"/>
                <w:szCs w:val="1"/>
                <w:color w:val="auto"/>
              </w:rPr>
            </w:pPr>
          </w:p>
        </w:tc>
      </w:tr>
      <w:tr>
        <w:trPr>
          <w:trHeight w:val="155"/>
        </w:trPr>
        <w:tc>
          <w:tcPr>
            <w:tcW w:w="680" w:type="dxa"/>
            <w:vAlign w:val="bottom"/>
            <w:gridSpan w:val="2"/>
            <w:vMerge w:val="restart"/>
          </w:tcPr>
          <w:p>
            <w:pPr>
              <w:spacing w:after="0"/>
              <w:rPr>
                <w:sz w:val="20"/>
                <w:szCs w:val="20"/>
                <w:color w:val="auto"/>
              </w:rPr>
            </w:pPr>
            <w:r>
              <w:rPr>
                <w:rFonts w:ascii="Arial" w:cs="Arial" w:eastAsia="Arial" w:hAnsi="Arial"/>
                <w:sz w:val="14"/>
                <w:szCs w:val="14"/>
                <w:color w:val="0000FF"/>
              </w:rPr>
              <w:t>32.</w:t>
            </w:r>
            <w:r>
              <w:rPr>
                <w:rFonts w:ascii="Arial" w:cs="Arial" w:eastAsia="Arial" w:hAnsi="Arial"/>
                <w:sz w:val="14"/>
                <w:szCs w:val="14"/>
                <w:u w:val="single" w:color="auto"/>
                <w:color w:val="0000FF"/>
              </w:rPr>
              <w:t>1</w:t>
            </w:r>
            <w:r>
              <w:rPr>
                <w:rFonts w:ascii="Arial" w:cs="Arial" w:eastAsia="Arial" w:hAnsi="Arial"/>
                <w:sz w:val="18"/>
                <w:szCs w:val="18"/>
                <w:color w:val="000000"/>
                <w:vertAlign w:val="superscript"/>
              </w:rPr>
              <w:t>#</w:t>
            </w:r>
          </w:p>
        </w:tc>
        <w:tc>
          <w:tcPr>
            <w:tcW w:w="5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80" w:type="dxa"/>
            <w:vAlign w:val="bottom"/>
            <w:gridSpan w:val="2"/>
            <w:vMerge w:val="continue"/>
          </w:tcPr>
          <w:p>
            <w:pPr>
              <w:spacing w:after="0"/>
              <w:rPr>
                <w:sz w:val="18"/>
                <w:szCs w:val="18"/>
                <w:color w:val="auto"/>
              </w:rPr>
            </w:pPr>
          </w:p>
        </w:tc>
        <w:tc>
          <w:tcPr>
            <w:tcW w:w="5400" w:type="dxa"/>
            <w:vAlign w:val="bottom"/>
          </w:tcPr>
          <w:p>
            <w:pPr>
              <w:ind w:left="60"/>
              <w:spacing w:after="0"/>
              <w:rPr>
                <w:sz w:val="20"/>
                <w:szCs w:val="20"/>
                <w:color w:val="auto"/>
              </w:rPr>
            </w:pPr>
            <w:r>
              <w:rPr>
                <w:rFonts w:ascii="Arial" w:cs="Arial" w:eastAsia="Arial" w:hAnsi="Arial"/>
                <w:sz w:val="14"/>
                <w:szCs w:val="14"/>
                <w:color w:val="auto"/>
                <w:w w:val="96"/>
              </w:rPr>
              <w:t>Certifications of Chief Executive Officer and Chief Financial Officer pursuant to 18 U.S.C.</w:t>
            </w:r>
          </w:p>
        </w:tc>
        <w:tc>
          <w:tcPr>
            <w:tcW w:w="0" w:type="dxa"/>
            <w:vAlign w:val="bottom"/>
          </w:tcPr>
          <w:p>
            <w:pPr>
              <w:spacing w:after="0"/>
              <w:rPr>
                <w:sz w:val="1"/>
                <w:szCs w:val="1"/>
                <w:color w:val="auto"/>
              </w:rPr>
            </w:pPr>
          </w:p>
        </w:tc>
      </w:tr>
      <w:tr>
        <w:trPr>
          <w:trHeight w:val="155"/>
        </w:trPr>
        <w:tc>
          <w:tcPr>
            <w:tcW w:w="26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5400" w:type="dxa"/>
            <w:vAlign w:val="bottom"/>
          </w:tcPr>
          <w:p>
            <w:pPr>
              <w:ind w:left="60"/>
              <w:spacing w:after="0" w:line="155" w:lineRule="exact"/>
              <w:rPr>
                <w:sz w:val="20"/>
                <w:szCs w:val="20"/>
                <w:color w:val="auto"/>
              </w:rPr>
            </w:pPr>
            <w:r>
              <w:rPr>
                <w:rFonts w:ascii="Arial" w:cs="Arial" w:eastAsia="Arial" w:hAnsi="Arial"/>
                <w:sz w:val="14"/>
                <w:szCs w:val="14"/>
                <w:color w:val="auto"/>
              </w:rPr>
              <w:t>Section 1350, as adopted pursuant to Section 906 of the Sarbanes-Oxley Act of 2002</w:t>
            </w:r>
          </w:p>
        </w:tc>
        <w:tc>
          <w:tcPr>
            <w:tcW w:w="0" w:type="dxa"/>
            <w:vAlign w:val="bottom"/>
          </w:tcPr>
          <w:p>
            <w:pPr>
              <w:spacing w:after="0"/>
              <w:rPr>
                <w:sz w:val="1"/>
                <w:szCs w:val="1"/>
                <w:color w:val="auto"/>
              </w:rPr>
            </w:pPr>
          </w:p>
        </w:tc>
      </w:tr>
      <w:tr>
        <w:trPr>
          <w:trHeight w:val="209"/>
        </w:trPr>
        <w:tc>
          <w:tcPr>
            <w:tcW w:w="680" w:type="dxa"/>
            <w:vAlign w:val="bottom"/>
            <w:gridSpan w:val="2"/>
          </w:tcPr>
          <w:p>
            <w:pPr>
              <w:spacing w:after="0"/>
              <w:rPr>
                <w:sz w:val="20"/>
                <w:szCs w:val="20"/>
                <w:color w:val="auto"/>
              </w:rPr>
            </w:pPr>
            <w:r>
              <w:rPr>
                <w:rFonts w:ascii="Arial" w:cs="Arial" w:eastAsia="Arial" w:hAnsi="Arial"/>
                <w:sz w:val="14"/>
                <w:szCs w:val="14"/>
                <w:color w:val="auto"/>
              </w:rPr>
              <w:t>101.INS*</w:t>
            </w:r>
          </w:p>
        </w:tc>
        <w:tc>
          <w:tcPr>
            <w:tcW w:w="5400" w:type="dxa"/>
            <w:vAlign w:val="bottom"/>
          </w:tcPr>
          <w:p>
            <w:pPr>
              <w:ind w:left="60"/>
              <w:spacing w:after="0"/>
              <w:rPr>
                <w:sz w:val="20"/>
                <w:szCs w:val="20"/>
                <w:color w:val="auto"/>
              </w:rPr>
            </w:pPr>
            <w:r>
              <w:rPr>
                <w:rFonts w:ascii="Arial" w:cs="Arial" w:eastAsia="Arial" w:hAnsi="Arial"/>
                <w:sz w:val="14"/>
                <w:szCs w:val="14"/>
                <w:color w:val="auto"/>
                <w:w w:val="94"/>
              </w:rPr>
              <w:t>Inline XBRL Instance Document - the instance document does not appear in the interactive</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0" w:type="dxa"/>
            <w:vAlign w:val="bottom"/>
          </w:tcPr>
          <w:p>
            <w:pPr>
              <w:ind w:left="60"/>
              <w:spacing w:after="0"/>
              <w:rPr>
                <w:sz w:val="20"/>
                <w:szCs w:val="20"/>
                <w:color w:val="auto"/>
              </w:rPr>
            </w:pPr>
            <w:r>
              <w:rPr>
                <w:rFonts w:ascii="Arial" w:cs="Arial" w:eastAsia="Arial" w:hAnsi="Arial"/>
                <w:sz w:val="14"/>
                <w:szCs w:val="14"/>
                <w:color w:val="auto"/>
              </w:rPr>
              <w:t>data file because its XBRL tags are embedded within the inline XBRL document.</w:t>
            </w:r>
          </w:p>
        </w:tc>
        <w:tc>
          <w:tcPr>
            <w:tcW w:w="0" w:type="dxa"/>
            <w:vAlign w:val="bottom"/>
          </w:tcPr>
          <w:p>
            <w:pPr>
              <w:spacing w:after="0"/>
              <w:rPr>
                <w:sz w:val="1"/>
                <w:szCs w:val="1"/>
                <w:color w:val="auto"/>
              </w:rPr>
            </w:pPr>
          </w:p>
        </w:tc>
      </w:tr>
      <w:tr>
        <w:trPr>
          <w:trHeight w:val="251"/>
        </w:trPr>
        <w:tc>
          <w:tcPr>
            <w:tcW w:w="680" w:type="dxa"/>
            <w:vAlign w:val="bottom"/>
            <w:gridSpan w:val="2"/>
          </w:tcPr>
          <w:p>
            <w:pPr>
              <w:spacing w:after="0"/>
              <w:rPr>
                <w:sz w:val="20"/>
                <w:szCs w:val="20"/>
                <w:color w:val="auto"/>
              </w:rPr>
            </w:pPr>
            <w:r>
              <w:rPr>
                <w:rFonts w:ascii="Arial" w:cs="Arial" w:eastAsia="Arial" w:hAnsi="Arial"/>
                <w:sz w:val="14"/>
                <w:szCs w:val="14"/>
                <w:color w:val="auto"/>
              </w:rPr>
              <w:t>101.SCH*</w:t>
            </w:r>
          </w:p>
        </w:tc>
        <w:tc>
          <w:tcPr>
            <w:tcW w:w="5400" w:type="dxa"/>
            <w:vAlign w:val="bottom"/>
          </w:tcPr>
          <w:p>
            <w:pPr>
              <w:ind w:left="60"/>
              <w:spacing w:after="0"/>
              <w:rPr>
                <w:sz w:val="20"/>
                <w:szCs w:val="20"/>
                <w:color w:val="auto"/>
              </w:rPr>
            </w:pPr>
            <w:r>
              <w:rPr>
                <w:rFonts w:ascii="Arial" w:cs="Arial" w:eastAsia="Arial" w:hAnsi="Arial"/>
                <w:sz w:val="14"/>
                <w:szCs w:val="14"/>
                <w:color w:val="auto"/>
              </w:rPr>
              <w:t>Inline XBRL Taxonomy Extension Schema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Arial" w:cs="Arial" w:eastAsia="Arial" w:hAnsi="Arial"/>
                <w:sz w:val="14"/>
                <w:szCs w:val="14"/>
                <w:color w:val="auto"/>
              </w:rPr>
              <w:t>101.CAL*</w:t>
            </w:r>
          </w:p>
        </w:tc>
        <w:tc>
          <w:tcPr>
            <w:tcW w:w="5400" w:type="dxa"/>
            <w:vAlign w:val="bottom"/>
          </w:tcPr>
          <w:p>
            <w:pPr>
              <w:ind w:left="60"/>
              <w:spacing w:after="0"/>
              <w:rPr>
                <w:sz w:val="20"/>
                <w:szCs w:val="20"/>
                <w:color w:val="auto"/>
              </w:rPr>
            </w:pPr>
            <w:r>
              <w:rPr>
                <w:rFonts w:ascii="Arial" w:cs="Arial" w:eastAsia="Arial" w:hAnsi="Arial"/>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256"/>
        </w:trPr>
        <w:tc>
          <w:tcPr>
            <w:tcW w:w="680" w:type="dxa"/>
            <w:vAlign w:val="bottom"/>
            <w:gridSpan w:val="2"/>
          </w:tcPr>
          <w:p>
            <w:pPr>
              <w:spacing w:after="0"/>
              <w:rPr>
                <w:sz w:val="20"/>
                <w:szCs w:val="20"/>
                <w:color w:val="auto"/>
              </w:rPr>
            </w:pPr>
            <w:r>
              <w:rPr>
                <w:rFonts w:ascii="Arial" w:cs="Arial" w:eastAsia="Arial" w:hAnsi="Arial"/>
                <w:sz w:val="14"/>
                <w:szCs w:val="14"/>
                <w:color w:val="auto"/>
              </w:rPr>
              <w:t>101.DEF*</w:t>
            </w:r>
          </w:p>
        </w:tc>
        <w:tc>
          <w:tcPr>
            <w:tcW w:w="5400" w:type="dxa"/>
            <w:vAlign w:val="bottom"/>
          </w:tcPr>
          <w:p>
            <w:pPr>
              <w:ind w:left="60"/>
              <w:spacing w:after="0"/>
              <w:rPr>
                <w:sz w:val="20"/>
                <w:szCs w:val="20"/>
                <w:color w:val="auto"/>
              </w:rPr>
            </w:pPr>
            <w:r>
              <w:rPr>
                <w:rFonts w:ascii="Arial" w:cs="Arial" w:eastAsia="Arial" w:hAnsi="Arial"/>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Arial" w:cs="Arial" w:eastAsia="Arial" w:hAnsi="Arial"/>
                <w:sz w:val="14"/>
                <w:szCs w:val="14"/>
                <w:color w:val="auto"/>
              </w:rPr>
              <w:t>101.LAB*</w:t>
            </w:r>
          </w:p>
        </w:tc>
        <w:tc>
          <w:tcPr>
            <w:tcW w:w="5400" w:type="dxa"/>
            <w:vAlign w:val="bottom"/>
          </w:tcPr>
          <w:p>
            <w:pPr>
              <w:ind w:left="60"/>
              <w:spacing w:after="0"/>
              <w:rPr>
                <w:sz w:val="20"/>
                <w:szCs w:val="20"/>
                <w:color w:val="auto"/>
              </w:rPr>
            </w:pPr>
            <w:r>
              <w:rPr>
                <w:rFonts w:ascii="Arial" w:cs="Arial" w:eastAsia="Arial" w:hAnsi="Arial"/>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Arial" w:cs="Arial" w:eastAsia="Arial" w:hAnsi="Arial"/>
                <w:sz w:val="14"/>
                <w:szCs w:val="14"/>
                <w:color w:val="auto"/>
              </w:rPr>
              <w:t>101.PRE*</w:t>
            </w:r>
          </w:p>
        </w:tc>
        <w:tc>
          <w:tcPr>
            <w:tcW w:w="5400" w:type="dxa"/>
            <w:vAlign w:val="bottom"/>
          </w:tcPr>
          <w:p>
            <w:pPr>
              <w:ind w:left="60"/>
              <w:spacing w:after="0"/>
              <w:rPr>
                <w:sz w:val="20"/>
                <w:szCs w:val="20"/>
                <w:color w:val="auto"/>
              </w:rPr>
            </w:pPr>
            <w:r>
              <w:rPr>
                <w:rFonts w:ascii="Arial" w:cs="Arial" w:eastAsia="Arial" w:hAnsi="Arial"/>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215"/>
        </w:trPr>
        <w:tc>
          <w:tcPr>
            <w:tcW w:w="680" w:type="dxa"/>
            <w:vAlign w:val="bottom"/>
            <w:gridSpan w:val="2"/>
          </w:tcPr>
          <w:p>
            <w:pPr>
              <w:spacing w:after="0"/>
              <w:rPr>
                <w:sz w:val="20"/>
                <w:szCs w:val="20"/>
                <w:color w:val="auto"/>
              </w:rPr>
            </w:pPr>
            <w:r>
              <w:rPr>
                <w:rFonts w:ascii="Arial" w:cs="Arial" w:eastAsia="Arial" w:hAnsi="Arial"/>
                <w:sz w:val="14"/>
                <w:szCs w:val="14"/>
                <w:color w:val="auto"/>
              </w:rPr>
              <w:t>104*</w:t>
            </w:r>
          </w:p>
        </w:tc>
        <w:tc>
          <w:tcPr>
            <w:tcW w:w="5400" w:type="dxa"/>
            <w:vAlign w:val="bottom"/>
          </w:tcPr>
          <w:p>
            <w:pPr>
              <w:ind w:left="60"/>
              <w:spacing w:after="0"/>
              <w:rPr>
                <w:sz w:val="20"/>
                <w:szCs w:val="20"/>
                <w:color w:val="auto"/>
              </w:rPr>
            </w:pPr>
            <w:r>
              <w:rPr>
                <w:rFonts w:ascii="Arial" w:cs="Arial" w:eastAsia="Arial" w:hAnsi="Arial"/>
                <w:sz w:val="14"/>
                <w:szCs w:val="14"/>
                <w:color w:val="auto"/>
                <w:w w:val="94"/>
              </w:rPr>
              <w:t>Cover Page Interactive Data File - the cover page from the Company’s Quarterly Report on</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0" w:type="dxa"/>
            <w:vAlign w:val="bottom"/>
          </w:tcPr>
          <w:p>
            <w:pPr>
              <w:ind w:left="60"/>
              <w:spacing w:after="0"/>
              <w:rPr>
                <w:sz w:val="20"/>
                <w:szCs w:val="20"/>
                <w:color w:val="auto"/>
              </w:rPr>
            </w:pPr>
            <w:r>
              <w:rPr>
                <w:rFonts w:ascii="Arial" w:cs="Arial" w:eastAsia="Arial" w:hAnsi="Arial"/>
                <w:sz w:val="14"/>
                <w:szCs w:val="14"/>
                <w:color w:val="auto"/>
              </w:rPr>
              <w:t>Form 10-Q for the quarter ended September 30, 2023 is formatted in inline XBRL.</w:t>
            </w:r>
          </w:p>
        </w:tc>
        <w:tc>
          <w:tcPr>
            <w:tcW w:w="0" w:type="dxa"/>
            <w:vAlign w:val="bottom"/>
          </w:tcPr>
          <w:p>
            <w:pPr>
              <w:spacing w:after="0"/>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235" w:lineRule="exact"/>
        <w:rPr>
          <w:sz w:val="20"/>
          <w:szCs w:val="20"/>
          <w:color w:val="auto"/>
        </w:rPr>
      </w:pPr>
    </w:p>
    <w:p>
      <w:pPr>
        <w:ind w:left="140" w:hanging="132"/>
        <w:spacing w:after="0"/>
        <w:tabs>
          <w:tab w:leader="none" w:pos="140" w:val="left"/>
        </w:tabs>
        <w:numPr>
          <w:ilvl w:val="0"/>
          <w:numId w:val="43"/>
        </w:numPr>
        <w:rPr>
          <w:rFonts w:ascii="Arial" w:cs="Arial" w:eastAsia="Arial" w:hAnsi="Arial"/>
          <w:sz w:val="18"/>
          <w:szCs w:val="18"/>
          <w:color w:val="auto"/>
        </w:rPr>
      </w:pPr>
      <w:r>
        <w:rPr>
          <w:rFonts w:ascii="Arial" w:cs="Arial" w:eastAsia="Arial" w:hAnsi="Arial"/>
          <w:sz w:val="14"/>
          <w:szCs w:val="14"/>
          <w:color w:val="auto"/>
        </w:rPr>
        <w:t>Filed herewith.</w:t>
      </w:r>
    </w:p>
    <w:p>
      <w:pPr>
        <w:ind w:left="100" w:hanging="92"/>
        <w:spacing w:after="0" w:line="193" w:lineRule="auto"/>
        <w:tabs>
          <w:tab w:leader="none" w:pos="100" w:val="left"/>
        </w:tabs>
        <w:numPr>
          <w:ilvl w:val="0"/>
          <w:numId w:val="44"/>
        </w:numPr>
        <w:rPr>
          <w:rFonts w:ascii="Arial" w:cs="Arial" w:eastAsia="Arial" w:hAnsi="Arial"/>
          <w:sz w:val="23"/>
          <w:szCs w:val="23"/>
          <w:color w:val="auto"/>
          <w:vertAlign w:val="superscript"/>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83" w:right="67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184" w:lineRule="exact"/>
        <w:rPr>
          <w:sz w:val="20"/>
          <w:szCs w:val="20"/>
          <w:color w:val="auto"/>
        </w:rPr>
      </w:pPr>
    </w:p>
    <w:p>
      <w:pPr>
        <w:ind w:left="3540"/>
        <w:spacing w:after="0"/>
        <w:tabs>
          <w:tab w:leader="none" w:pos="7140" w:val="left"/>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2" w:lineRule="exact"/>
        <w:rPr>
          <w:sz w:val="20"/>
          <w:szCs w:val="20"/>
          <w:color w:val="auto"/>
        </w:rPr>
      </w:pPr>
    </w:p>
    <w:p>
      <w:pPr>
        <w:jc w:val="center"/>
        <w:ind w:left="4020"/>
        <w:spacing w:after="0"/>
        <w:rPr>
          <w:sz w:val="20"/>
          <w:szCs w:val="20"/>
          <w:color w:val="auto"/>
        </w:rPr>
      </w:pPr>
      <w:r>
        <w:rPr>
          <w:rFonts w:ascii="Arial" w:cs="Arial" w:eastAsia="Arial" w:hAnsi="Arial"/>
          <w:sz w:val="18"/>
          <w:szCs w:val="18"/>
          <w:b w:val="1"/>
          <w:bCs w:val="1"/>
          <w:color w:val="auto"/>
        </w:rPr>
        <w:t>Ken Xie, Chief Executive Officer and Chairman</w:t>
      </w:r>
    </w:p>
    <w:p>
      <w:pPr>
        <w:spacing w:after="0" w:line="104" w:lineRule="exact"/>
        <w:rPr>
          <w:sz w:val="20"/>
          <w:szCs w:val="20"/>
          <w:color w:val="auto"/>
        </w:rPr>
      </w:pPr>
    </w:p>
    <w:p>
      <w:pPr>
        <w:jc w:val="center"/>
        <w:ind w:left="4020"/>
        <w:spacing w:after="0"/>
        <w:rPr>
          <w:sz w:val="20"/>
          <w:szCs w:val="20"/>
          <w:color w:val="auto"/>
        </w:rPr>
      </w:pPr>
      <w:r>
        <w:rPr>
          <w:rFonts w:ascii="Arial" w:cs="Arial" w:eastAsia="Arial" w:hAnsi="Arial"/>
          <w:sz w:val="18"/>
          <w:szCs w:val="18"/>
          <w:b w:val="1"/>
          <w:bCs w:val="1"/>
          <w:color w:val="auto"/>
        </w:rPr>
        <w:t>(Duly Authorized Officer and Principal Executive Officer)</w:t>
      </w: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184" w:lineRule="exact"/>
        <w:rPr>
          <w:sz w:val="20"/>
          <w:szCs w:val="20"/>
          <w:color w:val="auto"/>
        </w:rPr>
      </w:pPr>
    </w:p>
    <w:p>
      <w:pPr>
        <w:ind w:left="3540"/>
        <w:spacing w:after="0"/>
        <w:tabs>
          <w:tab w:leader="none" w:pos="6800" w:val="left"/>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2" w:lineRule="exact"/>
        <w:rPr>
          <w:sz w:val="20"/>
          <w:szCs w:val="20"/>
          <w:color w:val="auto"/>
        </w:rPr>
      </w:pPr>
    </w:p>
    <w:p>
      <w:pPr>
        <w:jc w:val="center"/>
        <w:ind w:left="4020"/>
        <w:spacing w:after="0"/>
        <w:rPr>
          <w:sz w:val="20"/>
          <w:szCs w:val="20"/>
          <w:color w:val="auto"/>
        </w:rPr>
      </w:pPr>
      <w:r>
        <w:rPr>
          <w:rFonts w:ascii="Arial" w:cs="Arial" w:eastAsia="Arial" w:hAnsi="Arial"/>
          <w:sz w:val="18"/>
          <w:szCs w:val="18"/>
          <w:b w:val="1"/>
          <w:bCs w:val="1"/>
          <w:color w:val="auto"/>
        </w:rPr>
        <w:t>Keith Jensen, Chief Financial Officer</w:t>
      </w:r>
    </w:p>
    <w:p>
      <w:pPr>
        <w:spacing w:after="0" w:line="11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320" w:top="283" w:right="39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14605</wp:posOffset>
            </wp:positionV>
            <wp:extent cx="29229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Ken Xie</w:t>
      </w:r>
    </w:p>
    <w:p>
      <w:pPr>
        <w:spacing w:after="0" w:line="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Chairman</w:t>
      </w:r>
    </w:p>
    <w:p>
      <w:pPr>
        <w:ind w:left="6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9229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Keith Jensen</w:t>
      </w:r>
    </w:p>
    <w:p>
      <w:pPr>
        <w:spacing w:after="0" w:line="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ind w:left="63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September 30, 2023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2680" w:type="dxa"/>
            <w:vAlign w:val="bottom"/>
          </w:tcPr>
          <w:p>
            <w:pPr>
              <w:ind w:left="198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Xie</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Date:   November 6, 2023</w:t>
            </w:r>
          </w:p>
        </w:tc>
        <w:tc>
          <w:tcPr>
            <w:tcW w:w="2680" w:type="dxa"/>
            <w:vAlign w:val="bottom"/>
          </w:tcPr>
          <w:p>
            <w:pPr>
              <w:ind w:left="198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176"/>
        </w:trPr>
        <w:tc>
          <w:tcPr>
            <w:tcW w:w="3940" w:type="dxa"/>
            <w:vAlign w:val="bottom"/>
          </w:tcPr>
          <w:p>
            <w:pPr>
              <w:spacing w:after="0"/>
              <w:rPr>
                <w:sz w:val="15"/>
                <w:szCs w:val="15"/>
                <w:color w:val="auto"/>
              </w:rPr>
            </w:pPr>
          </w:p>
        </w:tc>
        <w:tc>
          <w:tcPr>
            <w:tcW w:w="2680" w:type="dxa"/>
            <w:vAlign w:val="bottom"/>
          </w:tcPr>
          <w:p>
            <w:pPr>
              <w:ind w:left="198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 and Chairman</w:t>
            </w:r>
          </w:p>
        </w:tc>
      </w:tr>
      <w:tr>
        <w:trPr>
          <w:trHeight w:val="230"/>
        </w:trPr>
        <w:tc>
          <w:tcPr>
            <w:tcW w:w="3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3"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Quarterly Report on Form 10-Q of Fortinet, Inc. for the quarter ended September 30, 2023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2680" w:type="dxa"/>
            <w:vAlign w:val="bottom"/>
          </w:tcPr>
          <w:p>
            <w:pPr>
              <w:ind w:left="198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Jensen</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Date:   November 6, 2023</w:t>
            </w:r>
          </w:p>
        </w:tc>
        <w:tc>
          <w:tcPr>
            <w:tcW w:w="2680" w:type="dxa"/>
            <w:vAlign w:val="bottom"/>
          </w:tcPr>
          <w:p>
            <w:pPr>
              <w:ind w:left="198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Keith Jensen</w:t>
            </w:r>
          </w:p>
        </w:tc>
      </w:tr>
      <w:tr>
        <w:trPr>
          <w:trHeight w:val="176"/>
        </w:trPr>
        <w:tc>
          <w:tcPr>
            <w:tcW w:w="3940" w:type="dxa"/>
            <w:vAlign w:val="bottom"/>
          </w:tcPr>
          <w:p>
            <w:pPr>
              <w:spacing w:after="0"/>
              <w:rPr>
                <w:sz w:val="15"/>
                <w:szCs w:val="15"/>
                <w:color w:val="auto"/>
              </w:rPr>
            </w:pPr>
          </w:p>
        </w:tc>
        <w:tc>
          <w:tcPr>
            <w:tcW w:w="2680" w:type="dxa"/>
            <w:vAlign w:val="bottom"/>
          </w:tcPr>
          <w:p>
            <w:pPr>
              <w:ind w:left="198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w w:val="95"/>
              </w:rPr>
              <w:t>(Principal Financial Officer and Principal Accounting Officer)</w:t>
            </w:r>
          </w:p>
        </w:tc>
      </w:tr>
    </w:tbl>
    <w:p>
      <w:pPr>
        <w:spacing w:after="0" w:line="200" w:lineRule="exact"/>
        <w:rPr>
          <w:sz w:val="20"/>
          <w:szCs w:val="20"/>
          <w:color w:val="auto"/>
        </w:rPr>
      </w:pPr>
    </w:p>
    <w:p>
      <w:pPr>
        <w:spacing w:after="0" w:line="298"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2"/>
    </w:lvl>
  </w:abstractNum>
  <w:abstractNum w:abstractNumId="6">
    <w:nsid w:val="189A769B"/>
    <w:multiLevelType w:val="hybridMultilevel"/>
    <w:lvl w:ilvl="0">
      <w:lvlJc w:val="left"/>
      <w:lvlText w:val="%1."/>
      <w:numFmt w:val="decimal"/>
      <w:start w:val="3"/>
    </w:lvl>
  </w:abstractNum>
  <w:abstractNum w:abstractNumId="7">
    <w:nsid w:val="54E49EB4"/>
    <w:multiLevelType w:val="hybridMultilevel"/>
    <w:lvl w:ilvl="0">
      <w:lvlJc w:val="left"/>
      <w:lvlText w:val="%1."/>
      <w:numFmt w:val="decimal"/>
      <w:start w:val="6"/>
    </w:lvl>
  </w:abstractNum>
  <w:abstractNum w:abstractNumId="8">
    <w:nsid w:val="71F32454"/>
    <w:multiLevelType w:val="hybridMultilevel"/>
    <w:lvl w:ilvl="0">
      <w:lvlJc w:val="left"/>
      <w:lvlText w:val="%1."/>
      <w:numFmt w:val="decimal"/>
      <w:start w:val="7"/>
    </w:lvl>
  </w:abstractNum>
  <w:abstractNum w:abstractNumId="9">
    <w:nsid w:val="2CA88611"/>
    <w:multiLevelType w:val="hybridMultilevel"/>
    <w:lvl w:ilvl="0">
      <w:lvlJc w:val="left"/>
      <w:lvlText w:val="%1."/>
      <w:numFmt w:val="decimal"/>
      <w:start w:val="9"/>
    </w:lvl>
  </w:abstractNum>
  <w:abstractNum w:abstractNumId="10">
    <w:nsid w:val="836C40E"/>
    <w:multiLevelType w:val="hybridMultilevel"/>
    <w:lvl w:ilvl="0">
      <w:lvlJc w:val="left"/>
      <w:lvlText w:val="%1."/>
      <w:numFmt w:val="decimal"/>
      <w:start w:val="10"/>
    </w:lvl>
  </w:abstractNum>
  <w:abstractNum w:abstractNumId="11">
    <w:nsid w:val="2901D82"/>
    <w:multiLevelType w:val="hybridMultilevel"/>
    <w:lvl w:ilvl="0">
      <w:lvlJc w:val="left"/>
      <w:lvlText w:val="%1."/>
      <w:numFmt w:val="decimal"/>
      <w:start w:val="11"/>
    </w:lvl>
  </w:abstractNum>
  <w:abstractNum w:abstractNumId="12">
    <w:nsid w:val="3A95F874"/>
    <w:multiLevelType w:val="hybridMultilevel"/>
    <w:lvl w:ilvl="0">
      <w:lvlJc w:val="left"/>
      <w:lvlText w:val="%1."/>
      <w:numFmt w:val="decimal"/>
      <w:start w:val="12"/>
    </w:lvl>
  </w:abstractNum>
  <w:abstractNum w:abstractNumId="13">
    <w:nsid w:val="8138641"/>
    <w:multiLevelType w:val="hybridMultilevel"/>
    <w:lvl w:ilvl="0">
      <w:lvlJc w:val="left"/>
      <w:lvlText w:val="%1."/>
      <w:numFmt w:val="decimal"/>
      <w:start w:val="14"/>
    </w:lvl>
  </w:abstractNum>
  <w:abstractNum w:abstractNumId="14">
    <w:nsid w:val="1E7FF521"/>
    <w:multiLevelType w:val="hybridMultilevel"/>
    <w:lvl w:ilvl="0">
      <w:lvlJc w:val="left"/>
      <w:lvlText w:val="%1."/>
      <w:numFmt w:val="decimal"/>
      <w:start w:val="15"/>
    </w:lvl>
  </w:abstractNum>
  <w:abstractNum w:abstractNumId="15">
    <w:nsid w:val="7C3DBD3D"/>
    <w:multiLevelType w:val="hybridMultilevel"/>
    <w:lvl w:ilvl="0">
      <w:lvlJc w:val="left"/>
      <w:lvlText w:val="%1."/>
      <w:numFmt w:val="decimal"/>
      <w:start w:val="16"/>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2023-11-07T05:22:37Z</dcterms:created>
  <dcterms:modified xsi:type="dcterms:W3CDTF">2023-11-07T05:22:37Z</dcterms:modified>
</cp:coreProperties>
</file>