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415925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329565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80" w:right="1840" w:hanging="3945"/>
        <w:spacing w:after="0" w:line="461"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00" w:hanging="35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center"/>
              <w:ind w:left="95"/>
              <w:spacing w:after="0"/>
              <w:rPr>
                <w:sz w:val="20"/>
                <w:szCs w:val="20"/>
                <w:color w:val="auto"/>
              </w:rPr>
            </w:pPr>
            <w:r>
              <w:rPr>
                <w:rFonts w:ascii="Arial" w:cs="Arial" w:eastAsia="Arial" w:hAnsi="Arial"/>
                <w:sz w:val="18"/>
                <w:szCs w:val="18"/>
                <w:b w:val="1"/>
                <w:bCs w:val="1"/>
                <w:color w:val="auto"/>
                <w:w w:val="91"/>
              </w:rPr>
              <w:t>77-0560389</w:t>
            </w:r>
          </w:p>
        </w:tc>
      </w:tr>
      <w:tr>
        <w:trPr>
          <w:trHeight w:val="243"/>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(State or other jurisdiction of</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4"/>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center"/>
              <w:ind w:left="95"/>
              <w:spacing w:after="0"/>
              <w:rPr>
                <w:sz w:val="20"/>
                <w:szCs w:val="20"/>
                <w:color w:val="auto"/>
              </w:rPr>
            </w:pPr>
            <w:r>
              <w:rPr>
                <w:rFonts w:ascii="Arial" w:cs="Arial" w:eastAsia="Arial" w:hAnsi="Arial"/>
                <w:sz w:val="18"/>
                <w:szCs w:val="18"/>
                <w:b w:val="1"/>
                <w:bCs w:val="1"/>
                <w:color w:val="auto"/>
                <w:w w:val="87"/>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95"/>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ind w:right="80"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sectPr>
      </w:pPr>
    </w:p>
    <w:p>
      <w:pPr>
        <w:spacing w:after="0" w:line="343" w:lineRule="exact"/>
        <w:rPr>
          <w:sz w:val="24"/>
          <w:szCs w:val="24"/>
          <w:color w:val="auto"/>
        </w:rPr>
      </w:pPr>
    </w:p>
    <w:p>
      <w:pPr>
        <w:ind w:left="160"/>
        <w:spacing w:after="0"/>
        <w:tabs>
          <w:tab w:leader="none" w:pos="28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p>
    <w:p>
      <w:pPr>
        <w:spacing w:after="0" w:line="117"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ind w:left="160"/>
        <w:spacing w:after="0"/>
        <w:tabs>
          <w:tab w:leader="none" w:pos="2820" w:val="left"/>
          <w:tab w:leader="none" w:pos="31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ectPr>
          <w:pgSz w:w="11900" w:h="16838" w:orient="portrait"/>
          <w:cols w:equalWidth="0" w:num="2">
            <w:col w:w="7600" w:space="720"/>
            <w:col w:w="306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0"/>
          <w:szCs w:val="20"/>
          <w:color w:val="auto"/>
        </w:rPr>
      </w:pPr>
    </w:p>
    <w:p>
      <w:pPr>
        <w:ind w:left="280" w:right="240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As of July 27, 2017, there were 175,835,328 shares of the registrant’s common stock outstanding.</w:t>
      </w:r>
    </w:p>
    <w:p>
      <w:pPr>
        <w:sectPr>
          <w:pgSz w:w="11900" w:h="16838" w:orient="portrait"/>
          <w:cols w:equalWidth="0" w:num="1">
            <w:col w:w="11340"/>
          </w:cols>
          <w:pgMar w:left="240" w:top="121"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2017</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gridSpan w:val="6"/>
            <w:vMerge w:val="restart"/>
          </w:tcPr>
          <w:p>
            <w:pPr>
              <w:jc w:val="center"/>
              <w:ind w:right="44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1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2017 and December 31, 2016</w:t>
              </w:r>
            </w:hyperlink>
          </w:p>
        </w:tc>
        <w:tc>
          <w:tcPr>
            <w:tcW w:w="318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3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2017 and 2016</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1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 the Three and Six Months Ended June 30, 2017 and</w:t>
              </w:r>
            </w:hyperlink>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gridSpan w:val="3"/>
          </w:tcPr>
          <w:p>
            <w:pPr>
              <w:ind w:left="460"/>
              <w:spacing w:after="0"/>
              <w:rPr>
                <w:rFonts w:ascii="Arial" w:cs="Arial" w:eastAsia="Arial" w:hAnsi="Arial"/>
                <w:sz w:val="16"/>
                <w:szCs w:val="16"/>
                <w:color w:val="0000EE"/>
                <w:w w:val="72"/>
              </w:rPr>
            </w:pPr>
            <w:hyperlink w:anchor="page6">
              <w:r>
                <w:rPr>
                  <w:rFonts w:ascii="Arial" w:cs="Arial" w:eastAsia="Arial" w:hAnsi="Arial"/>
                  <w:sz w:val="16"/>
                  <w:szCs w:val="16"/>
                  <w:color w:val="0000EE"/>
                  <w:w w:val="72"/>
                </w:rPr>
                <w:t>2016</w:t>
              </w:r>
            </w:hyperlink>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2017 and 2016</w:t>
              </w:r>
            </w:hyperlink>
          </w:p>
        </w:tc>
        <w:tc>
          <w:tcPr>
            <w:tcW w:w="194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3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tcBorders>
              <w:left w:val="single" w:sz="8" w:color="0000EE"/>
            </w:tcBorders>
            <w:gridSpan w:val="6"/>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Exhibits</w:t>
              </w:r>
            </w:hyperlink>
          </w:p>
        </w:tc>
        <w:tc>
          <w:tcPr>
            <w:tcW w:w="3740" w:type="dxa"/>
            <w:vAlign w:val="bottom"/>
            <w:gridSpan w:val="7"/>
          </w:tcPr>
          <w:p>
            <w:pPr>
              <w:spacing w:after="0"/>
              <w:rPr>
                <w:sz w:val="21"/>
                <w:szCs w:val="21"/>
                <w:color w:val="auto"/>
              </w:rPr>
            </w:pPr>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709,003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376,522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Accounts receivable—Net of reserves for sales returns and doubtful accounts of $11,855 and $11,235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June 30, 2017 and December 31, 2016, respectively</w:t>
            </w:r>
          </w:p>
        </w:tc>
        <w:tc>
          <w:tcPr>
            <w:tcW w:w="26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274,476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312,998</w:t>
            </w:r>
          </w:p>
        </w:tc>
        <w:tc>
          <w:tcPr>
            <w:tcW w:w="0" w:type="dxa"/>
            <w:vAlign w:val="bottom"/>
          </w:tcPr>
          <w:p>
            <w:pPr>
              <w:spacing w:after="0"/>
              <w:rPr>
                <w:sz w:val="1"/>
                <w:szCs w:val="1"/>
                <w:color w:val="auto"/>
              </w:rPr>
            </w:pPr>
          </w:p>
        </w:tc>
      </w:tr>
      <w:tr>
        <w:trPr>
          <w:trHeight w:val="223"/>
        </w:trPr>
        <w:tc>
          <w:tcPr>
            <w:tcW w:w="820" w:type="dxa"/>
            <w:vAlign w:val="bottom"/>
            <w:tcBorders>
              <w:bottom w:val="single" w:sz="8" w:color="CCEEFF"/>
            </w:tcBorders>
            <w:shd w:val="clear" w:color="auto" w:fill="CCEEFF"/>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106,887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33,306</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1,604,634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1,538,716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224,983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207,029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182,745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24,828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2,360,691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2,139,941</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78,138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706,672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645,342</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885,519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68,551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1,438,552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1,302,260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175,735 and 173,078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June 30, 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880,142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800,653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837,681</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2,360,691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2,139,941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7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142,705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136,641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277,958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261,213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334,754</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363,469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311,391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704,045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595,967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102,101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60,046</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95,652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162,147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161,874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159,112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274,708</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267,817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226,888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517,829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433,820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90,256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308,797</w:t>
            </w:r>
          </w:p>
        </w:tc>
        <w:tc>
          <w:tcPr>
            <w:tcW w:w="0" w:type="dxa"/>
            <w:vAlign w:val="bottom"/>
          </w:tcPr>
          <w:p>
            <w:pPr>
              <w:spacing w:after="0"/>
              <w:rPr>
                <w:sz w:val="1"/>
                <w:szCs w:val="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44,488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239,317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483,919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441,557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23,033</w:t>
            </w:r>
          </w:p>
        </w:tc>
        <w:tc>
          <w:tcPr>
            <w:tcW w:w="10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33,750</w:t>
            </w:r>
          </w:p>
        </w:tc>
        <w:tc>
          <w:tcPr>
            <w:tcW w:w="120" w:type="dxa"/>
            <w:vAlign w:val="bottom"/>
          </w:tcPr>
          <w:p>
            <w:pPr>
              <w:spacing w:after="0"/>
              <w:rPr>
                <w:sz w:val="19"/>
                <w:szCs w:val="19"/>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5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(Note 8):</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171,910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179,701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172,075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178,993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175,360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2" w:right="4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9"/>
              </w:rPr>
              <w:t>Tax provision (benefit) related to change in unrealized gains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(losses) on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22,999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33,750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730</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27,492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21,841</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2,794</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68,422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59,249</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(8,019)</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(27,120)</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2,442</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(19,880)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8,679</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125,402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111,082</w:t>
            </w: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5,463</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274,520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168,532</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(270,463)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(230,855)</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7,366</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247,187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219,131</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(44,399)</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made in connection with business acquisition, net of cash acquired</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(20,660)</w:t>
            </w:r>
          </w:p>
        </w:tc>
      </w:tr>
      <w:tr>
        <w:trPr>
          <w:trHeight w:val="256"/>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(113,169)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(69,417)</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22,972</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(25,895)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(17,358)</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of debt assumed in connection with business acquisition</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(1,626)</w:t>
            </w:r>
          </w:p>
        </w:tc>
      </w:tr>
      <w:tr>
        <w:trPr>
          <w:trHeight w:val="250"/>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(17,217)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(46,012)</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53,103</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709,003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543,277</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853,137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596,380</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22,197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7,617</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11,449</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580" w:type="dxa"/>
            <w:vAlign w:val="bottom"/>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1,513</w:t>
            </w:r>
          </w:p>
        </w:tc>
      </w:tr>
      <w:tr>
        <w:trPr>
          <w:trHeight w:val="20"/>
        </w:trPr>
        <w:tc>
          <w:tcPr>
            <w:tcW w:w="8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2016, contained in our Annual Report on Form 10-K filed with the SEC on March 1, 2017.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2017 are not necessarily indicative of the results for the full year or for any future periods. The condensed consolidated balance sheet as of December 31, 2016 is derived from the audited consolidated financial statements for the year ended December 31, 2016.</w:t>
      </w:r>
    </w:p>
    <w:p>
      <w:pPr>
        <w:spacing w:after="0" w:line="1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 Certain amounts in prior periods have been reclassified to conform with current period presentation.</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There have been no material changes to our significant accounting policies as of and for the three and six months ended June 30, 2017, except for changes to our policies related to business combinations. For more information, refer to the “Recently Adopted Accounting Standards.”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January 2017, the Financial Accounting Standards Board (the “FASB”) issued Accounting Standards Update (“ASU”) ASU 2017-01—Business Combinations: Clarifying the Definition of a Business, which clarifies the definition of a business to assist organizations with evaluating whether transactions should be accounted for as acquisitions (or disposals) of assets or businesses. The definition of a business affects many areas of accounting including acquisitions, disposals, goodwill and consolidation. We elected to early adopt ASU 2017-01 on a prospective basis beginning on January 1, 2017. The adoption of ASU 2017-01 did not have a material impact on our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In May 2017, the FASB issued ASU 2017-09—Compensation - Stock Compensation to clarify when to account for a change to the terms or conditions of a share-based payment award as a modification. Under ASU 2017-09, modifications accounting is required only if the fair value, the vesting conditions or the classification of the award (as equity or liability) changes as a result of the change in terms or conditions. ASU 2017-09 is effective prospectively for us beginning on January 1, 2018. We do not believe ASU 2017-09 will have a material impact on our consolidated financial statements.</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January 2017, the FASB issued ASU 2017-04—Intangibles - Goodwill and Other: Simplifying the Test for Goodwill Impairment.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us beginning on January 1, 2020. Early adoption is permitted for interim or annual goodwill impairment tests performed after January 1, 2017. At adoption, this update will require a prospective approach. We intend to adopt ASU 2017-04 in the fourth quarter of 2017. We do not believe that ASU 2017-04 will have a material impact on our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October 2016, the FASB issued ASU 2016-16—Income Taxes: —Intra-Entity Transfer of Assets Other Than Inventory, which requires the recognition of the income tax consequences of an intra-entity transfer of an asset, other than inventory, when the transfer occurs. ASU 2016-16 will be effective for us beginning on January 1, 2018. We are currently evaluating the impact of adopting ASU 2016-16 on our consolidated financial statements.</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June 2016, the FASB issued ASU 2016-13—Financial Instruments—Credit Losses—Measurement of Credit Losses on Financial Instruments, which requires measurement and recognition of expected credit losses for financial assets held. ASU 2016-13 is effective for us beginning on January 1, 2020, with the option to adopt early on January 1, 2019. We are currently evaluating the impact of adopting ASU 2016-13 on our consolidated financial statements.</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February 2016, the FASB issued ASU 2016-02—Leases, which requires the recognition of right-of-use assets and lease liabilities on the consolidated balance sheet for substantially all leases. The new guidance includes a number of optional practical expedients that entities may elect to apply. The new guidance will also require significant additional disclosures about the amount, timing and uncertainty of cash flows from leases. This new guidance will be effective for us beginning on January 1, 2019, using a modified retrospective approach. We currently anticipate to early adopt ASU 2016-02 on January 1, 2018. Our ability to early adopt is dependent on system readiness, including software procured from third-party providers, if any, and the completion of our analysis of information necessary to quantify the impact on the prior period financial statements. Based on our current lease portfolio, we currently estimate that the value of leased assets and liabilities that may be recognized to be at least $40.0 million. Previously, we had estimated the amount could be at least $50.0 million. We are continuing to evaluate the impact of ASU 2016-02 and our estimate is subject to change. We do not believe that ASU 2016-02 will have a material impact on our consolidated statements of operations. We expect to expand our disclosures in the footnotes to include more details on our leases, significant judgments and lease-related amounts recognized in the financial statements.</w:t>
      </w:r>
    </w:p>
    <w:p>
      <w:pPr>
        <w:spacing w:after="0" w:line="16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May 2014, the FASB issued ASU 2014-09—Revenue from Contracts with Customers, which outlines a single, comprehensive model for entities to use in accounting for revenue arising from contracts with customers. The core principle of ASU 2014-09 is to recognize revenue when promised goods or services are transferred to customers in an amount that reflects the consideration that is expected to be received for those goods or services. ASU 2014-09 defines a five step process to achieve this core principle and, accordingly, it is possible more judgment and estimates may be required within the revenue recognition process than is required under existing U.S. GAAP, including identifying performance obligations in the contract, estimating the amount of variable consideration to include in the transaction price and allocating the transaction price to each separate performance obligation. The FASB has recently issued several amendments to ASU 2014-09, including clarification on accounting for licenses of intellectual property and identifying performance obligations. ASU 2014-09 will be effective for us beginning January 1, 2018.</w:t>
      </w:r>
    </w:p>
    <w:p>
      <w:pPr>
        <w:spacing w:after="0" w:line="17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two permitted transition methods under ASU 2014-09 are the full retrospective method, in which case ASU 2014-09 would be applied to each prior reporting period presented and the cumulative effect of applying ASU 2014-09 would be recognized at the earliest period shown, or the modified retrospective method, in which case the cumulative effect of applying ASU 2014-09 would be recognized at the date of initial application. We have substantially completed our analysis of historical contracts and believe that the quantitative impact on revenue in our consolidated financial statements is not material. We expect the pattern of revenue recognition from the sales of our FortiGate and other appliances, FortiGuard security subscription services and FortiCare technical support services to be substantially unchanged on an ongoing basis. Further, we do not expect that the acceleration of revenue and associated cost of sales to certain channel partners, which are currently accounted for only once the product is sold through to the end-customer, to have a significant impact upon adoption. We expect to select the transition method for adoption in the third quarter of 2017.</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Under ASU 2014-09, we will be required to capitalize and amortize incremental costs related to obtaining customer contracts, such as sales commission costs related to service contracts. Under current U.S. GAAP, we expense all sales commissions when incurred. Our quantitative analysis of the impact of the change in accounting for sales commissions, including the various components of our current and future compensation plans and the key assumptions associated with the amortization term, is in progress. We believe that the amortization of incremental commission costs of obtaining customer contracts is likely to have a material impact on our financial statements.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expect to expand our financial statement disclosures which may include more details on our disaggregation of revenue, performance obligations, contract balances, costs to obtain a contract, as well as any significant judgments. We are in the process of assessing the appropriate changes to our business processes, upgrading our systems and developing new controls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support recognition and disclosure under ASU 2014-09. Reviews are ongoing which may alter our conclusions and the anticipated financial impact. We will continue to assess the impact of ASU 2014-09 until the adoption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428,454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87,464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87,439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45,390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45,355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Term deposit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612,654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611,809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378,612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95,108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602,684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601,505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45"/>
        <w:spacing w:after="0"/>
        <w:tabs>
          <w:tab w:leader="none" w:pos="180" w:val="left"/>
        </w:tabs>
        <w:numPr>
          <w:ilvl w:val="0"/>
          <w:numId w:val="4"/>
        </w:numPr>
        <w:rPr>
          <w:rFonts w:ascii="Arial" w:cs="Arial" w:eastAsia="Arial" w:hAnsi="Arial"/>
          <w:sz w:val="17"/>
          <w:szCs w:val="17"/>
          <w:color w:val="auto"/>
          <w:vertAlign w:val="superscript"/>
        </w:rPr>
      </w:pPr>
      <w:r>
        <w:rPr>
          <w:rFonts w:ascii="Arial" w:cs="Arial" w:eastAsia="Arial" w:hAnsi="Arial"/>
          <w:sz w:val="17"/>
          <w:szCs w:val="17"/>
          <w:color w:val="auto"/>
        </w:rPr>
        <w:t>The majority of our certificates of deposit and term deposits are foreign deposits.</w:t>
      </w:r>
    </w:p>
    <w:p>
      <w:pPr>
        <w:spacing w:after="0" w:line="2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361,506</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460,518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14,738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475,256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325,521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428,545</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354,187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376,522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between one and three years</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257,622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224,983</w:t>
            </w:r>
          </w:p>
        </w:tc>
      </w:tr>
      <w:tr>
        <w:trPr>
          <w:trHeight w:val="27"/>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611,809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601,505</w:t>
            </w:r>
          </w:p>
        </w:tc>
      </w:tr>
      <w:tr>
        <w:trPr>
          <w:trHeight w:val="20"/>
        </w:trPr>
        <w:tc>
          <w:tcPr>
            <w:tcW w:w="7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(loss). Realized gains and losses on available-for-sale securities are insignificant in the periods presented and are included in Other income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June 30, 2017.</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June 30, 2017 and December 31, 2016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30, 2017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ind w:left="240"/>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1"/>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428,454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1"/>
              <w:spacing w:after="0"/>
              <w:rPr>
                <w:sz w:val="20"/>
                <w:szCs w:val="20"/>
                <w:color w:val="auto"/>
              </w:rPr>
            </w:pPr>
            <w:r>
              <w:rPr>
                <w:rFonts w:ascii="Arial" w:cs="Arial" w:eastAsia="Arial" w:hAnsi="Arial"/>
                <w:sz w:val="18"/>
                <w:szCs w:val="18"/>
                <w:color w:val="auto"/>
                <w:w w:val="98"/>
              </w:rPr>
              <w:t>428,454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378,612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378,612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106,915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w w:val="98"/>
              </w:rPr>
              <w:t>106,915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8"/>
              </w:rPr>
              <w:t>105,097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10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50,156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44,706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64,541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52,082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45,355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59,025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18,997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18,997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1"/>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deposits </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55,758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55,758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59,479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59,479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64"/>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705,635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63,703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1"/>
              <w:spacing w:after="0"/>
              <w:rPr>
                <w:sz w:val="20"/>
                <w:szCs w:val="20"/>
                <w:color w:val="auto"/>
              </w:rPr>
            </w:pPr>
            <w:r>
              <w:rPr>
                <w:rFonts w:ascii="Arial" w:cs="Arial" w:eastAsia="Arial" w:hAnsi="Arial"/>
                <w:sz w:val="18"/>
                <w:szCs w:val="18"/>
                <w:color w:val="auto"/>
                <w:w w:val="98"/>
              </w:rPr>
              <w:t>641,932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705,403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90,731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614,672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93,826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103,898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354,187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376,522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257,622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224,983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705,635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705,403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6"/>
          <w:szCs w:val="16"/>
          <w:color w:val="auto"/>
          <w:vertAlign w:val="superscript"/>
        </w:rPr>
      </w:pPr>
      <w:r>
        <w:rPr>
          <w:rFonts w:ascii="Arial" w:cs="Arial" w:eastAsia="Arial" w:hAnsi="Arial"/>
          <w:sz w:val="16"/>
          <w:szCs w:val="16"/>
          <w:color w:val="auto"/>
        </w:rPr>
        <w:t>Subsequent to the issuance of our consolidated financial statements as of and for the year ended December 31, 2016, we determined that $55.3 million in</w:t>
      </w:r>
    </w:p>
    <w:p>
      <w:pPr>
        <w:spacing w:after="0" w:line="46" w:lineRule="exact"/>
        <w:rPr>
          <w:rFonts w:ascii="Arial" w:cs="Arial" w:eastAsia="Arial" w:hAnsi="Arial"/>
          <w:sz w:val="16"/>
          <w:szCs w:val="16"/>
          <w:color w:val="auto"/>
          <w:vertAlign w:val="superscript"/>
        </w:rPr>
      </w:pPr>
    </w:p>
    <w:p>
      <w:pPr>
        <w:ind w:right="20"/>
        <w:spacing w:after="0" w:line="302" w:lineRule="auto"/>
        <w:rPr>
          <w:rFonts w:ascii="Arial" w:cs="Arial" w:eastAsia="Arial" w:hAnsi="Arial"/>
          <w:sz w:val="16"/>
          <w:szCs w:val="16"/>
          <w:color w:val="auto"/>
          <w:vertAlign w:val="superscript"/>
        </w:rPr>
      </w:pPr>
      <w:r>
        <w:rPr>
          <w:rFonts w:ascii="Arial" w:cs="Arial" w:eastAsia="Arial" w:hAnsi="Arial"/>
          <w:sz w:val="17"/>
          <w:szCs w:val="17"/>
          <w:color w:val="auto"/>
        </w:rPr>
        <w:t>30-day term deposits, included within cash and cash equivalents in the consolidated balance sheet as of December 31, 2016, should have also been included as Level 2 investments in the fair value hierarchy table for financial assets and financial liabilities measured at fair value on a recurring basis. Accordingly, we have corrected the above table as of December 31, 2016, the effect of which is immaterial to the financial statements as a whole.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40" w:type="dxa"/>
            <w:vAlign w:val="bottom"/>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center"/>
              <w:ind w:left="614"/>
              <w:spacing w:after="0"/>
              <w:rPr>
                <w:sz w:val="20"/>
                <w:szCs w:val="20"/>
                <w:color w:val="auto"/>
              </w:rPr>
            </w:pPr>
            <w:r>
              <w:rPr>
                <w:rFonts w:ascii="Arial" w:cs="Arial" w:eastAsia="Arial" w:hAnsi="Arial"/>
                <w:sz w:val="16"/>
                <w:szCs w:val="16"/>
                <w:b w:val="1"/>
                <w:bCs w:val="1"/>
                <w:color w:val="auto"/>
                <w:w w:val="95"/>
              </w:rPr>
              <w:t>2017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87,963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24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106,887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spacing w:after="0"/>
              <w:rPr>
                <w:sz w:val="24"/>
                <w:szCs w:val="24"/>
                <w:color w:val="auto"/>
              </w:rPr>
            </w:pPr>
          </w:p>
        </w:tc>
        <w:tc>
          <w:tcPr>
            <w:tcW w:w="1240" w:type="dxa"/>
            <w:vAlign w:val="bottom"/>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center"/>
              <w:ind w:left="614"/>
              <w:spacing w:after="0"/>
              <w:rPr>
                <w:sz w:val="20"/>
                <w:szCs w:val="20"/>
                <w:color w:val="auto"/>
              </w:rPr>
            </w:pPr>
            <w:r>
              <w:rPr>
                <w:rFonts w:ascii="Arial" w:cs="Arial" w:eastAsia="Arial" w:hAnsi="Arial"/>
                <w:sz w:val="16"/>
                <w:szCs w:val="16"/>
                <w:b w:val="1"/>
                <w:bCs w:val="1"/>
                <w:color w:val="auto"/>
                <w:w w:val="95"/>
              </w:rPr>
              <w:t>2017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133,641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72,131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320,352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207,721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(81,839)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(70,472)</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238,513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April 2017, we purchased certain real estate in Burnaby, Canada for $84.8 million. The purchase was accounted for under the asset acquisition method. The cost of the assets acquired was allocated to land and buildings based on their relative fair values. The amounts allocated to land and buildings were $12.7 million and $72.1 million, respectively.</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Depreciation expense was $11.8 million and $9.0 million during the three months ended June 30, 2017 and June 30, 2016, respectively. Depreciation expense was $23.0 million and $18.4 million during the six months ended June 30, 2017 and June 30,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 HELD COMPANIES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investments in the equity securities of privately held companies totaled $12.1 million and $10.3 million as of June 30, 2017 and December 31, 2016, respectively. These investments are accounted for as cost-basis investments, as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As of June 30, 2017, no events have occurred that would adversely affect the carrying value of these investments.</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2017, we determined that we had a variable interest in these privately held companies. However, we determined that we were not the primary beneficiary as we did not have the power to direct their activities that most significantly affect their economic performance. The variable interest entities are not required to be consolidated in our condensed consolidated financial statements.</w:t>
      </w:r>
    </w:p>
    <w:p>
      <w:pPr>
        <w:spacing w:after="0" w:line="17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June 7, 2016, we completed our acquisition of AccelOps, Inc. (“AccelOps”), a provider of network security monitoring and analytics solutions, for total cash consideration of $22.1 million, net of cash received. This acquisition extended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Fortinet Security Fabric by enhancing our network security visibility, security data analytics and threat intelligence across multi-vendor solutions.</w:t>
      </w:r>
    </w:p>
    <w:p>
      <w:pPr>
        <w:spacing w:after="0" w:line="23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acquisition of AccelOps was accounted as a business combination in accordance with ASC Topic 805 “Business Combinations” issued by the FASB, and we used our best estimates and assumptions to assign fair value to the tangible and intangible assets acquired and liabilities assumed at the acquisition date. We included acquisition-related costs of $0.3 million in general and administrative expenses. The total purchase price was allocated to AccelOps’ identifiable tangible and intangible assets acquired and liabilities assumed based on their estimated fair values as of the acquisition date. The acquisition also included a contingent obligation for up to $4.0 million in future earn out payments to certain former stockholders of AccelOps if specified future financial targets are met, none of which were met.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in process 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9,861</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Finite-lived intangible assets consist of developed technology, customer relationships and other intangible assets.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useful life and fair values of the acquired finite-lived intangible assets were as follows (in thousands, except for estimated useful life):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developed technologies and other are amortized on a straight-line basis. The amortization expense of developed technologies and other intangibles are recorded in cost of revenue. The amortization expense of customer relationships is amortized on an accelerated basis and is recorded in sales and marketing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Indefinite-lived intangible assets consist of in-process research and development, which will begin to be amortized upon completion of development.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goodwill of $9.9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2017, we had goodwill of $14.6 million. There were no impairments to goodwill during the three and six months ended June 30, 2017 or during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June 30, 2017 and December 31, 2016 (in thousands, except years):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June 30, 2017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20,328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1"/>
              </w:rPr>
              <w:t>December 31, 2016</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24,828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vMerge w:val="restart"/>
          </w:tcPr>
          <w:p>
            <w:pPr>
              <w:jc w:val="right"/>
              <w:ind w:right="109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Amortization expense was $2.2 million and $2.3 million during the three months ended June 30, 2017 and June 30, 2016, respectively. Amortization expense was $4.5 million and $3.5 million during the six months ended June 30, 2017 and June 30, 2016, respectively. The following table summarizes estimated future amortization expense of finite-lived intangible assets—net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2017 (remainder)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4,074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5,406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18,728</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(LOSS) PER SHARE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plus the dilutive effects of restricted stock units (“RSUs”), stock options and the employee stock purchase plan (“ESPP”). Dilutive shares of common stock are determined by applying the treasury stock method. For the three months ended June 30, 2016, we incurred a net loss and, therefore, the effect of dilutive shares were not included in the computation of dilutive net loss per share as the effect was antidilutive.</w:t>
      </w:r>
    </w:p>
    <w:p>
      <w:pPr>
        <w:spacing w:after="0" w:line="173"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is as follows (in thousands,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23,033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175,741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175,118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171,910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171,910</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3"/>
              </w:rPr>
              <w:t>Weighted-average shares used to compute diluted net income (loss)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179,701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172,075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178,993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175,360</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per share</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(loss) per share for the periods presented, as their effect would have been antidilutive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1,182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37"/>
        </w:trPr>
        <w:tc>
          <w:tcPr>
            <w:tcW w:w="516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18,189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6,038</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June 30, 2017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65,905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177,372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126,254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8,439</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$3.9 million and $4.6 million during the three months ended June 30, 2017 and June 30, 2016, respectively. Rent expense was $8.4 million and $8.5 million during the six months ended June 30, 2017 and June 30, 2016, respectively. Rent expense is recognized using the straight-line method over the term of the lease.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2017, we had $67.2 million of open purchase orders with our independent contract manufacturers that may not be cancelable.</w:t>
      </w:r>
    </w:p>
    <w:p>
      <w:pPr>
        <w:spacing w:after="0" w:line="141"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June 30, 2017, we had $63.2 million in other contractual commitments that may not be cancelable. We also had other contractual commitments for the purchase of certain real estate adjacent to our corporate headquarters amounting to $12.1 million, which we capitalized as part of property and equipment.</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issued by the FASB, we accrue for contingencies when we believe that a loss is probable and that we can reasonably estimate the amount of any such loss.</w:t>
      </w:r>
    </w:p>
    <w:p>
      <w:pPr>
        <w:spacing w:after="0" w:line="18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w:t>
      </w:r>
    </w:p>
    <w:p>
      <w:pPr>
        <w:sectPr>
          <w:pgSz w:w="11900" w:h="16838" w:orient="portrait"/>
          <w:cols w:equalWidth="0" w:num="1">
            <w:col w:w="11420"/>
          </w:cols>
          <w:pgMar w:left="240" w:top="125" w:right="239" w:bottom="96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96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have stock-based compensation plans pursuant to which we have granted stock options and RSUs. We also have an ESPP for all eligible employees. As of June 30, 2017, there were a total of 50,222,634 shares of common stock available for grant under our stock-based compensation plans.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74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9"/>
        </w:trPr>
        <w:tc>
          <w:tcPr>
            <w:tcW w:w="7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640" w:type="dxa"/>
            <w:vAlign w:val="bottom"/>
          </w:tcPr>
          <w:p>
            <w:pPr>
              <w:spacing w:after="0"/>
              <w:rPr>
                <w:sz w:val="18"/>
                <w:szCs w:val="18"/>
                <w:color w:val="auto"/>
              </w:rPr>
            </w:pPr>
          </w:p>
        </w:tc>
        <w:tc>
          <w:tcPr>
            <w:tcW w:w="19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4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2016</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31.01</w:t>
            </w: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37.38</w:t>
            </w: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33.73</w:t>
            </w: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28.24</w:t>
            </w: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2017</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33.63</w:t>
            </w: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of June 30, 2017, total compensation expense related to unvested RSUs granted to employees and non-employees under the 2009 Plan, but not yet recognized, was $288.2 million. This expense is expected to be amortized on a straight-line basis over a weighted-average vesting period of 2.8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5"/>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25,895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17,358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7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960" w:type="dxa"/>
            <w:vAlign w:val="bottom"/>
          </w:tcPr>
          <w:p>
            <w:pPr>
              <w:spacing w:after="0"/>
              <w:rPr>
                <w:sz w:val="18"/>
                <w:szCs w:val="18"/>
                <w:color w:val="auto"/>
              </w:rPr>
            </w:pPr>
          </w:p>
        </w:tc>
        <w:tc>
          <w:tcPr>
            <w:tcW w:w="1060" w:type="dxa"/>
            <w:vAlign w:val="bottom"/>
          </w:tcPr>
          <w:p>
            <w:pPr>
              <w:ind w:left="460"/>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r>
      <w:tr>
        <w:trPr>
          <w:trHeight w:val="210"/>
        </w:trPr>
        <w:tc>
          <w:tcPr>
            <w:tcW w:w="6020" w:type="dxa"/>
            <w:vAlign w:val="bottom"/>
            <w:gridSpan w:val="2"/>
          </w:tcPr>
          <w:p>
            <w:pPr>
              <w:ind w:left="5560"/>
              <w:spacing w:after="0"/>
              <w:rPr>
                <w:sz w:val="20"/>
                <w:szCs w:val="20"/>
                <w:color w:val="auto"/>
              </w:rPr>
            </w:pPr>
            <w:r>
              <w:rPr>
                <w:rFonts w:ascii="Arial" w:cs="Arial" w:eastAsia="Arial" w:hAnsi="Arial"/>
                <w:sz w:val="16"/>
                <w:szCs w:val="16"/>
                <w:b w:val="1"/>
                <w:bCs w:val="1"/>
                <w:color w:val="auto"/>
              </w:rPr>
              <w:t>2017</w:t>
            </w:r>
          </w:p>
        </w:tc>
        <w:tc>
          <w:tcPr>
            <w:tcW w:w="16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16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16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5"/>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5"/>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5"/>
              </w:rPr>
              <w:t>4.3</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1640" w:type="dxa"/>
            <w:vAlign w:val="bottom"/>
            <w:gridSpan w:val="3"/>
          </w:tcPr>
          <w:p>
            <w:pPr>
              <w:jc w:val="right"/>
              <w:ind w:right="1139"/>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139"/>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1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62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60" w:type="dxa"/>
            <w:vAlign w:val="bottom"/>
          </w:tcPr>
          <w:p>
            <w:pPr>
              <w:spacing w:after="0"/>
              <w:rPr>
                <w:sz w:val="18"/>
                <w:szCs w:val="18"/>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vested and expected to vest—June 30, 2017</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58,943</w:t>
            </w:r>
          </w:p>
        </w:tc>
      </w:tr>
      <w:tr>
        <w:trPr>
          <w:trHeight w:val="251"/>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exercisable—June 30,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46,541</w:t>
            </w: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2017, for all in-the-money stock options. As of June 30, 2017, total compensation expense related to unvested stock options granted to employees but not yet recognized was $17.5 million. This expense is expected to be amortized on a straight-line basis over a weighted-average period of 2.8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8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r>
      <w:tr>
        <w:trPr>
          <w:trHeight w:val="33"/>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26,901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26,253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2,876</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37465</wp:posOffset>
            </wp:positionV>
            <wp:extent cx="2040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1080" w:type="dxa"/>
            <w:vAlign w:val="bottom"/>
          </w:tcPr>
          <w:p>
            <w:pPr>
              <w:ind w:left="460"/>
              <w:spacing w:after="0"/>
              <w:rPr>
                <w:sz w:val="20"/>
                <w:szCs w:val="20"/>
                <w:color w:val="auto"/>
              </w:rPr>
            </w:pPr>
            <w:r>
              <w:rPr>
                <w:rFonts w:ascii="Arial" w:cs="Arial" w:eastAsia="Arial" w:hAnsi="Arial"/>
                <w:sz w:val="16"/>
                <w:szCs w:val="16"/>
                <w:b w:val="1"/>
                <w:bCs w:val="1"/>
                <w:color w:val="auto"/>
                <w:w w:val="93"/>
              </w:rPr>
              <w:t>June 30,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9260" w:type="dxa"/>
            <w:vAlign w:val="bottom"/>
            <w:gridSpan w:val="2"/>
          </w:tcPr>
          <w:p>
            <w:pPr>
              <w:ind w:left="8780"/>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r>
      <w:tr>
        <w:trPr>
          <w:trHeight w:val="33"/>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fair value per share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issued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price per share issued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Stock-based compensation expense is included in costs and expenses as follows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2,123</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7,458</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19,745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16,990</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3,478</w:t>
            </w: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35,091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30,347</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-1071245</wp:posOffset>
            </wp:positionV>
            <wp:extent cx="7229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-719455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-376555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82"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2016</w:t>
            </w: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RSUs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30,862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26,799</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1,592</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ESPP</w:t>
            </w:r>
          </w:p>
        </w:tc>
        <w:tc>
          <w:tcPr>
            <w:tcW w:w="28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1,956</w:t>
            </w: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35,091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30,347</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-728345</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-376555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2016</w:t>
            </w:r>
          </w:p>
        </w:tc>
      </w:tr>
      <w:tr>
        <w:trPr>
          <w:trHeight w:val="33"/>
        </w:trPr>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7.19</w:t>
            </w:r>
          </w:p>
        </w:tc>
      </w:tr>
      <w:tr>
        <w:trPr>
          <w:trHeight w:val="270"/>
        </w:trPr>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614</w:t>
            </w: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37465</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7"/>
                <w:szCs w:val="17"/>
                <w:color w:val="auto"/>
              </w:rPr>
            </w:pPr>
          </w:p>
        </w:tc>
        <w:tc>
          <w:tcPr>
            <w:tcW w:w="1200" w:type="dxa"/>
            <w:vAlign w:val="bottom"/>
          </w:tcPr>
          <w:p>
            <w:pPr>
              <w:jc w:val="center"/>
              <w:ind w:right="21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578</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4,257</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16,151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14,601</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38,771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32,805</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7,008</w:t>
            </w:r>
          </w:p>
        </w:tc>
      </w:tr>
      <w:tr>
        <w:trPr>
          <w:trHeight w:val="27"/>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68,422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59,249</w:t>
            </w:r>
          </w:p>
        </w:tc>
      </w:tr>
      <w:tr>
        <w:trPr>
          <w:trHeight w:val="27"/>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785"/>
        </w:trPr>
        <w:tc>
          <w:tcPr>
            <w:tcW w:w="260" w:type="dxa"/>
            <w:vAlign w:val="bottom"/>
          </w:tcPr>
          <w:p>
            <w:pPr>
              <w:spacing w:after="0"/>
              <w:rPr>
                <w:sz w:val="24"/>
                <w:szCs w:val="24"/>
                <w:color w:val="auto"/>
              </w:rPr>
            </w:pPr>
          </w:p>
        </w:tc>
        <w:tc>
          <w:tcPr>
            <w:tcW w:w="278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59,903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51,902</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3,546</w:t>
            </w:r>
          </w:p>
        </w:tc>
      </w:tr>
      <w:tr>
        <w:trPr>
          <w:trHeight w:val="270"/>
        </w:trPr>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3,801</w:t>
            </w:r>
          </w:p>
        </w:tc>
      </w:tr>
      <w:tr>
        <w:trPr>
          <w:trHeight w:val="27"/>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68,422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59,249</w:t>
            </w:r>
          </w:p>
        </w:tc>
      </w:tr>
      <w:tr>
        <w:trPr>
          <w:trHeight w:val="27"/>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40" w:space="100"/>
            <w:col w:w="3060"/>
          </w:cols>
          <w:pgMar w:left="240" w:top="125" w:right="259" w:bottom="1440" w:gutter="0" w:footer="0" w:header="0"/>
          <w:type w:val="continuous"/>
        </w:sectPr>
      </w:pPr>
    </w:p>
    <w:p>
      <w:pPr>
        <w:spacing w:after="0" w:line="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operations is as follows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780" w:type="dxa"/>
            <w:vAlign w:val="bottom"/>
            <w:gridSpan w:val="4"/>
          </w:tcPr>
          <w:p>
            <w:pPr>
              <w:jc w:val="right"/>
              <w:ind w:right="776"/>
              <w:spacing w:after="0"/>
              <w:rPr>
                <w:sz w:val="20"/>
                <w:szCs w:val="20"/>
                <w:color w:val="auto"/>
              </w:rPr>
            </w:pPr>
            <w:r>
              <w:rPr>
                <w:rFonts w:ascii="Arial" w:cs="Arial" w:eastAsia="Arial" w:hAnsi="Arial"/>
                <w:sz w:val="16"/>
                <w:szCs w:val="16"/>
                <w:b w:val="1"/>
                <w:bCs w:val="1"/>
                <w:color w:val="auto"/>
              </w:rPr>
              <w:t>Six Months Ended</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20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6"/>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6"/>
              <w:spacing w:after="0"/>
              <w:rPr>
                <w:sz w:val="20"/>
                <w:szCs w:val="20"/>
                <w:color w:val="auto"/>
              </w:rPr>
            </w:pPr>
            <w:r>
              <w:rPr>
                <w:rFonts w:ascii="Arial" w:cs="Arial" w:eastAsia="Arial" w:hAnsi="Arial"/>
                <w:sz w:val="16"/>
                <w:szCs w:val="16"/>
                <w:b w:val="1"/>
                <w:bCs w:val="1"/>
                <w:color w:val="auto"/>
              </w:rPr>
              <w:t>2016</w:t>
            </w:r>
          </w:p>
        </w:tc>
      </w:tr>
      <w:tr>
        <w:trPr>
          <w:trHeight w:val="33"/>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14,389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14,737</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Share Repurchase Program</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January 2016, our board of directors approved the 2016 Share Repurchase Program (the “2016 Repurchase Program”), which authorizes the repurchase of up to $200.0 million of our outstanding common stock through December 31, 2017. In October 2016, our board of directors authorized the purchase of an additional $100.0 million of shares of our common stock under the 2016 Repurchase Program, increasing our current authorization to $300.0 million through December 31, 2017. Under the 2016 Repurchase Program, share repurchases may be made by us from time to time in privately negotiated transactions or in open market transactions. The 2016 Repurchase Program does not require us to purchase a minimum number of shares, and may be suspended, modified or discontinued at any time without prior notice.</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the three months ended June 30, 2017, we repurchased 0.8 million shares of common stock under the 2016 Repurchase Program in open market transactions at an average price of $39.07 per share, for an aggregate purchase price of $33.2 million. As of June 30, 2017, $156.0 million remained available for future share repurchases under the 2016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effective tax rate was 30% for the three months ended June 30, 2017, compared to an effective tax rate of 62% for the same period last year. Our effective tax rate was 18% for the six months ended June 30, 2017, compared to an effective tax rate of 111% for the same period last year. The effective tax rates for the periods presented are comprised of U.S. federal and state taxes, excess tax benefits from stock-based compensation, withholding taxes and foreign income taxes. The tax rates for the three months ended June 30, 2017 and June 30, 2016 were impacted by excess tax benefits of $4.1 million and $2.6 million, respectively, from stock-based compensation. The tax rates for the six months ended June 30, 2017 and June 30, 2016 were impacted by excess tax benefits of $9.6 million and $6.2 million, respectively, from stock-based compensation. Our effective tax rates fluctuate based on the amount of pre-tax income or loss. The impact of discrete items, such as excess tax benefits from stock-based compensation, on our effective tax rate is greater when our pre-tax income is lower.</w:t>
      </w:r>
    </w:p>
    <w:p>
      <w:pPr>
        <w:spacing w:after="0" w:line="19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2017 and December 31, 2016, unrecognized tax benefits were $76.9 million and $65.5 million, respectively. The total amount of $75.2 million in unrecognized tax benefits, if recognized, would favorably affect our effective tax rate.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uncertain tax benefits in the provision for income taxes. As of June 30, 2017 and December 31, 2016, accrued interest and penalties were $11.5 million and $9.5 million, respectively.</w:t>
      </w:r>
    </w:p>
    <w:p>
      <w:pPr>
        <w:spacing w:after="0" w:line="14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It is reasonably possible that our gross unrecognized tax benefits will decrease by up to $7.0 million in the next twelve months, primarily due to the lapse of the statute of limitations. These adjustments, if recognized, would positively impact our effective tax rate, and would be recognized as additional tax benefits.</w:t>
      </w:r>
    </w:p>
    <w:p>
      <w:pPr>
        <w:spacing w:after="0" w:line="181"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2012. We are currently under examination by U.S federal income tax authorities for tax years 2012, 2013 and 2014. We have filed a waiver extending the statute of limitations to September 15, 2018 for U.S. federal income tax returns for tax years 2012 and 2013. In addition, the tax authorities in France are examining the inter-company relationship between Fortinet, Inc., Fortinet France and Fortinet Singapore. In May 2017, we received a notice from the French tax authorities that an audit was officially opened for tax years from 2007 to 2015. Our Japan tax audit for tax years 2013, 2014 and 2015 was closed with no material adjustment.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June 30, 2017 and June 30, 2016 were $1.3 million and $1.2 million, respectively. Our matching contributions to our 401(k) Plan and the RRSP for the six months ended June 30, 2017 and June 30, 2016 were $2.6 million and $2.2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6"/>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6"/>
          </w:tcPr>
          <w:p>
            <w:pPr>
              <w:jc w:val="center"/>
              <w:ind w:right="7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17"/>
                <w:szCs w:val="17"/>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2016</w:t>
            </w:r>
          </w:p>
        </w:tc>
        <w:tc>
          <w:tcPr>
            <w:tcW w:w="180" w:type="dxa"/>
            <w:vAlign w:val="bottom"/>
          </w:tcPr>
          <w:p>
            <w:pPr>
              <w:spacing w:after="0"/>
              <w:rPr>
                <w:sz w:val="17"/>
                <w:szCs w:val="17"/>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June 30, 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97,905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80,811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188,677</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Latin America (“LATAM”)</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21,949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40,195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307,076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129,730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255,879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219,944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123,331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363,469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311,391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704,045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595,967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1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76"/>
        </w:trPr>
        <w:tc>
          <w:tcPr>
            <w:tcW w:w="5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110,044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LATAM</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211,752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109,902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238,513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82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3"/>
          </w:tcPr>
          <w:p>
            <w:pPr>
              <w:jc w:val="right"/>
              <w:ind w:right="91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14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45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4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580" w:type="dxa"/>
            <w:vAlign w:val="bottom"/>
          </w:tcPr>
          <w:p>
            <w:pPr>
              <w:jc w:val="right"/>
              <w:ind w:right="554"/>
              <w:spacing w:after="0"/>
              <w:rPr>
                <w:sz w:val="20"/>
                <w:szCs w:val="20"/>
                <w:color w:val="auto"/>
              </w:rPr>
            </w:pPr>
            <w:r>
              <w:rPr>
                <w:rFonts w:ascii="Arial" w:cs="Arial" w:eastAsia="Arial" w:hAnsi="Arial"/>
                <w:sz w:val="16"/>
                <w:szCs w:val="16"/>
                <w:b w:val="1"/>
                <w:bCs w:val="1"/>
                <w:color w:val="auto"/>
              </w:rPr>
              <w:t>2016</w:t>
            </w:r>
          </w:p>
        </w:tc>
      </w:tr>
      <w:tr>
        <w:trPr>
          <w:trHeight w:val="33"/>
        </w:trPr>
        <w:tc>
          <w:tcPr>
            <w:tcW w:w="4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Exclusive Networks Group</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Fine Tec Computers</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Ingram Micro</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360" w:type="dxa"/>
            <w:vAlign w:val="bottom"/>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right"/>
              <w:ind w:right="39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2016</w:t>
            </w:r>
          </w:p>
        </w:tc>
      </w:tr>
      <w:tr>
        <w:trPr>
          <w:trHeight w:val="33"/>
        </w:trPr>
        <w:tc>
          <w:tcPr>
            <w:tcW w:w="75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Fine Tec Computers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Arrow Electronics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Represents less than 10%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thousands):</w:t>
      </w:r>
    </w:p>
    <w:p>
      <w:pPr>
        <w:spacing w:after="0" w:line="38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Tax provision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Unrealized losses on</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investments</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Amounts reclassified from accumulated other comprehensive loss for unrealized losses on investments and tax provision related to unrealized gains or losses on investments are recorded in Other income (expense)—net and in Provision for (benefit from) income taxes,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FOREIGN CURRENCY DERIVATIVES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the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creditworthiness of these parties. These contracts typically have a maturity of one month. Changes in the fair value of forward exchange contracts related to balance sheet accounts are insignificant and are included in Other income (expense)—net in the consolidated statement of operations. As of June 30, 2017, the fair value of the forward exchange contracts was not material.</w:t>
      </w:r>
    </w:p>
    <w:p>
      <w:pPr>
        <w:spacing w:after="0" w:line="18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independent of our use of foreign currency risk management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and GBP could adversely impact our operating expenses in the future.</w:t>
      </w:r>
    </w:p>
    <w:p>
      <w:pPr>
        <w:spacing w:after="0" w:line="18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June 30, 2017 and December 31, 2016 were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Arial" w:cs="Arial" w:eastAsia="Arial" w:hAnsi="Arial"/>
                <w:sz w:val="16"/>
                <w:szCs w:val="16"/>
                <w:b w:val="1"/>
                <w:bCs w:val="1"/>
                <w:color w:val="auto"/>
                <w:w w:val="98"/>
              </w:rPr>
              <w:t>Buy/Sell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Notional</w:t>
            </w:r>
          </w:p>
        </w:tc>
      </w:tr>
      <w:tr>
        <w:trPr>
          <w:trHeight w:val="33"/>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3"/>
        </w:trPr>
        <w:tc>
          <w:tcPr>
            <w:tcW w:w="94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Currency—As of June 30, 2017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9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Buy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12,866</w:t>
            </w:r>
          </w:p>
        </w:tc>
      </w:tr>
      <w:tr>
        <w:trPr>
          <w:trHeight w:val="29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Currency—As of December 31, 2016</w:t>
            </w:r>
          </w:p>
        </w:tc>
        <w:tc>
          <w:tcPr>
            <w:tcW w:w="658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20" w:type="dxa"/>
            <w:vAlign w:val="bottom"/>
            <w:gridSpan w:val="5"/>
          </w:tcPr>
          <w:p>
            <w:pPr>
              <w:ind w:left="20"/>
              <w:spacing w:after="0"/>
              <w:rPr>
                <w:sz w:val="20"/>
                <w:szCs w:val="20"/>
                <w:color w:val="auto"/>
              </w:rPr>
            </w:pPr>
            <w:r>
              <w:rPr>
                <w:rFonts w:ascii="Arial" w:cs="Arial" w:eastAsia="Arial" w:hAnsi="Arial"/>
                <w:sz w:val="18"/>
                <w:szCs w:val="18"/>
                <w:color w:val="auto"/>
              </w:rPr>
              <w:t>CAD</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Sell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2,615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son of one member of our board of directors is a partner of an outside law firm that we utilize for certain complex litigation matters. Expenses for legal services provided by the law firm were $0.4 million and $0.1 million during the three months ended June 30, 2017 and June 30, 2016, respectively. No contingent fees were incurred in the three months ended June 30, 2017 and 2016. Expenses for legal services provided by the law firm were $0.5 million and $0.4 million during the six months ended June 30, 2017 and June 30, 2016, respectively. No contingent fees were incurred in the six months ended June 30, 2017. Of the $0.4 million legal expenses incurred in the six months ended June 30, 2016, $0.2 million were incurred under contingent fee arrangements. Amounts due and payable to the law firm were $0.5 million and $0.1 million as of June 30, 2017 and December 31, 2016,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July 2017, our Board of Directors authorized a $300.0 million increase to the 2016 Repurchase Program, bringing the amount authorized to be repurchased to $600.0 million, and extended the 2016 Repurchase Program until January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and Section 21E of the Securities and Exchange Act of 1934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7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increased functionality and value in our standalone and bundled security subscription and support service offerings;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growing our sales to enterprise, service provider and government organizations, the impact of sales to these organizations on our long-term growth, expansion and operating results, and the effectiveness of our internal sales organization;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integration of acquired companies and technologies and expectations related to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success and expansion of our enterprise resource planning system;</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We provide high performance cybersecurity solutions to a wide variety of enterprises, service providers and government organizations of all sizes across the globe, including a majority of the 2016 Fortune 100. Our cybersecurity solutions are designed to provide broad, rapid protection against dynamic and sophisticated security threats, while simplifying the information technology (</w:t>
      </w:r>
      <w:r>
        <w:rPr>
          <w:rFonts w:ascii="Arial" w:cs="Arial" w:eastAsia="Arial" w:hAnsi="Arial"/>
          <w:sz w:val="16"/>
          <w:szCs w:val="16"/>
          <w:i w:val="1"/>
          <w:iCs w:val="1"/>
          <w:color w:val="auto"/>
        </w:rPr>
        <w:t>“</w:t>
      </w:r>
      <w:r>
        <w:rPr>
          <w:rFonts w:ascii="Arial" w:cs="Arial" w:eastAsia="Arial" w:hAnsi="Arial"/>
          <w:sz w:val="16"/>
          <w:szCs w:val="16"/>
          <w:color w:val="auto"/>
        </w:rPr>
        <w:t>IT”) and security infrastructure of our end-customers.</w:t>
      </w:r>
    </w:p>
    <w:p>
      <w:pPr>
        <w:spacing w:after="0" w:line="14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three key areas driving our business are the changing cyber threat landscape, expanding need for regulatory compliance and evolving network security infrastructure, including cloud environments. The cyber threat landscape continues to change at a rapid pace, with network attacks continually morphing into vehicles for malware, such as ransomware, and the challenge of having to comply with a variety of constantly changing regulatory requirements. Our end-customers’ infrastructures are rapidly evolving to leverage new technologies such as on-demand cloud and internet on demand, and changing web traffic patterns require end-customers to increase the bandwidth available across their network. These three drivers mean end-customers are constantly evaluating upgrades or deployments of new cybersecurity solutions.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Fortinet Security Fabric has been developed to provide unified security across the entire network, including network core, endpoints, applications, data centers, access and private and public cloud, and is designed to enable traditionally disparate security devices to work together as an integrated and collaborative whole. It delivers integrated scalability, access control, awareness, security, traffic segmentation, centralized management, visibility and orchestration. It is built around an open framework to ensure interoperability and synchronization of intelligence and response, and does so across the distributed network security infrastructure, including both from the cloud and for the cloud. At the core of the Fortinet Security Fabric are our FortiGate physical products and software licenses, which ship with a broad set of security services, including firewall, virtual private network, anti-malware, anti-spam, application control, intrusion prevention, access control, web filtering, traffic and device segmentation and advanced threat protection (“ATP”). Through these security services, our FortiGuard Labs team provides updates using threat research and a global cloud network of data collection and intelligence resources to deliver subscription-based security services to FortiGate appliances and software products. We continually certify the security effectiveness of our security updates through independent test organizations, such as NSS Labs. Our FortiOS operating system provides the foundation for all FortiGate security functions. The latest enhancements to the FortiOS 5.6 offer end-customers the ability to manage security capabilities across their cloud assets’ and software-defined wireless area networks.</w:t>
      </w:r>
    </w:p>
    <w:p>
      <w:pPr>
        <w:spacing w:after="0" w:line="18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Enterprise customers select the form and deployment method that best meet their specific security requirements, such as a high-speed data center firewall at the network core, a next generation firewall at the edge, an internal segmentation firewall between network zones, a distributed enterprise firewall at branch sites or software- and hardware-based solutions designed for virtualized and cloud environments. Many smaller businesses also tend to deploy unified threat management devices. We derive a substantial majority of product sales from our FortiGate appliances, which range from the FortiGate-20 to -100 series, designed for small businesses, FortiGate-200 to -900 series for medium-sized businesses, to the FortiGate-1000 to -7000 series for large enterprises and service providers. Our network security platform also includes our FortiGuard security subscription services, which end-customers can subscribe to in order to obtain access to dynamic updates to application control, anti-virus, intrusion prevention, web filtering and anti-spam functionality. End-customers may also purchase FortiManager and FortiAnalyzer products in conjunction with a FortiGate deployment to provide enterprise-class centralized management, analysis and reporting capabilities. FortiSIEM provides organizations with a solution for analyzing and managing network security, performance and compliance standards across our and other vendors’ products. Finally, end-customers may purchase FortiCare technical support services for our products and FortiCare professional services to assist in the design, implementation and maintenance of their networks.</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complement our core FortiGate product line with other products and software that offer additional protection from security threats to other critical areas of the enterprise. These products include our FortiMail email security, FortiSandbox ATP, FortiWeb web application firewall and FortiDDoS security appliances, as well as our FortiClient endpoint security software, FortiSIEM software, FortiAP secure wireless access points and FortiSwitch secure switch connectivity products. Our technology also positions us to deliver security to the cloud and for the cloud. Sales of our cloud-related products and services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across public, private and hybrid cloud environments continue to grow faster on a percentage basis than other parts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jc w:val="both"/>
        <w:ind w:left="660" w:right="44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recorded total revenue of $363.5 million and $704.0 million in the three and six months ended June 30, 2017, an increase of 17% and 18%, respectively, compared to the same periods last year. Product revenue was $142.7 million and $278.0 million in the three and six months ended June 30, 2017, an increase of 4% and 6%, respectively, compared to the same periods last year. Service revenue was $220.8 million and $426.1 million in the three and six months ended June 30, 2017, an increase of 26% and 27%, respectively, compared to the same period last year.</w:t>
      </w:r>
    </w:p>
    <w:p>
      <w:pPr>
        <w:spacing w:after="0" w:line="154" w:lineRule="exact"/>
        <w:rPr>
          <w:rFonts w:ascii="Arial" w:cs="Arial" w:eastAsia="Arial" w:hAnsi="Arial"/>
          <w:sz w:val="16"/>
          <w:szCs w:val="16"/>
          <w:color w:val="auto"/>
        </w:rPr>
      </w:pPr>
    </w:p>
    <w:p>
      <w:pPr>
        <w:ind w:left="660" w:right="50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generated operating income of $28.5 million and $33.9 million in the three and six months ended June 30, 2017, respectively, compared to operating loss of $4.0 million and $7.7 million in the three and six months ended June 30, 2016, respectively.</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cash equivalents and investments were $1.46 billion as of June 30, 2017, an increase of $154.4 million, or 12%, from December 31, 2016.</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revenue was $1.16 billion as of June 30, 2017, an increase of $126.1 million, or 12%, from December 31, 2016</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$274.5 million in the six months ended June 30, 2017, an increase of $106.0 million, or 63%, compared to the same period last year.</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repurchased 0.8 million shares of common stock under our 2016 Share Repurchase Program (the “2016 Repurchase Program”) for an aggregate price of $33.2 million in the three months ended June 30, 2017. In July 2017, our Board of Directors authorized a $300.0 million increase to the 2016 Repurchase Program, bringing the total amount authorized to $600.0 million through January 31, 2019.</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three and six months ended June 30, 2017, our revenue growth was driven by the strength in sales of our products, including FortiGate products, our renewals of service contracts and the sale of our enterprise bundles. During the three months ended June 30, 2017, our high-end products accounted for 39% of billings, which reflected strong sales to large enterprises and an increase in large deals. Our mid-range products accounted for 29% of billings, and our entry-level products accounted for 32% of billings. In addition, we continue to see a shift to higher services growth, which reflected our success in driving higher-priced subscription bundles and metered model business. On a geographic basis, revenue continues to be diversified globally, which remains a key strength of our business.</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During the three and six months ended June 30, 2017, operating expenses increased by 4% and 10%, respectively, as compared to the same periods last year. The increase was primarily driven by our investments made to develop new products and enhance our existing products, as we continued to invest in research and development to strengthen our technology. We believe that continued product innovation has strengthened our technology and resulted in market share gains. As a percentage of revenue, operating expenses decreased as we continued to focus on productivity and efficiency. Headcount increased by 5% to 4,792 employees and contractors as of June 30, 2017, up from 4,562 as of June 30,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large service providers and major systems integrators. We also offer our products through Amazon Web Services and Microsoft Azure. While the revenue from such sales are still relatively insignificant, they have increased significantly in recent periods on a percentage basis.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Typically, FortiGuard security subscription services and FortiCare technical support services are purchased along with our physical products and software licenses, most frequently as part of a bundle offering that includes hardware and services functionality. We generally invoice at the time of our sale for the total price of the products and security and technical support services, and the invoice is payable within 30 to 90 days. We also invoice certain software licenses and services on a monthly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generally recognize product revenue up front, and recognize revenue for the sale of new and the renewal of existing FortiGuard security subscription services and FortiCare technical support services contracts ratably. We recognize revenue for certain software licenses up front as product revenue and, to a lesser extent, recognize other software licenses over the term of the agreement as services revenue. We recognize the security and support revenue over the service period, which is typically one to three years, but can be as long as five years. Sales of new and renewal services are a source of recurring revenue and increase our deferred revenue balance, which has contributed to our positive cash flow from operations.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approach to network security is defined by our Security Processing Unit (“SPU”) hardware architecture. The SPU includes three lines of proprietary Applications-Specific Integrated Circuits (“ASICs”), content processor, network processor and the system on a chip. The ASICs are designed for highly efficient execution of computationally intensive tasks such as policy enforcement, threat detection and encryption. As such, ASIC-based solutions can run many security applications simultaneously without a significant reduction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3"/>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June 30, 2017</w:t>
            </w:r>
          </w:p>
        </w:tc>
        <w:tc>
          <w:tcPr>
            <w:tcW w:w="28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2016</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3"/>
          </w:tcPr>
          <w:p>
            <w:pPr>
              <w:jc w:val="right"/>
              <w:ind w:right="951"/>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363,469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1,161,471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903,981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426,889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1,464,946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1,221,991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144,771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58,409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53,498</w:t>
            </w:r>
          </w:p>
        </w:tc>
      </w:tr>
    </w:tbl>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to be recognized in future periods. Deferred revenue was $1.16 billion as of June 30, 2017, an increase of $126.1 million, or 12%, from December 31, 2016</w:t>
      </w:r>
      <w:r>
        <w:rPr>
          <w:rFonts w:ascii="Arial" w:cs="Arial" w:eastAsia="Arial" w:hAnsi="Arial"/>
          <w:sz w:val="17"/>
          <w:szCs w:val="17"/>
          <w:color w:val="0000FF"/>
        </w:rPr>
        <w:t>.</w:t>
      </w:r>
    </w:p>
    <w:p>
      <w:pPr>
        <w:spacing w:after="0" w:line="17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(“GAAP”) plus the change in deferred revenue from the beginning to 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54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6"/>
                <w:szCs w:val="16"/>
                <w:b w:val="1"/>
                <w:bCs w:val="1"/>
                <w:color w:val="auto"/>
                <w:w w:val="99"/>
              </w:rPr>
              <w:t>June 30, 2016</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363,469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311,391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66,793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acquisition</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426,889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373,784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investing in our business, making strategic acquisitions, repurchasing outstanding common stock, and strengthening the balance sheet. However, free cash flow is not intended to represent our residual cash flow available for discretionary expenditures, since we may have other non-discretionary expenditures that are not deducted from the measure.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June 30, 2016</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71"/>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144,771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67,941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58,409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53,498</w:t>
            </w: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six months ended June 30, 2017, as compared to the critical accounting policies and estimates described in our Annual Report on Form 10-K filed with the SEC on March 1, 2017 (the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and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142,705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136,641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6,064</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46,014</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363,469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311,391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52,078</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160,713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132,646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28,067</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15,277</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73,026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64,292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8,734</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363,469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311,391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52,078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Total revenue increased by $52.1 million, or 17%, in the three months ended June 30, 2017 compared to the same period last year. On a geographic basis, we continued to experience global diversification. All three regions experienced revenue growth compared to the same period last year, with the Americas contributing the largest portion of our revenue growth on both an absolute dollar and a percentage basis. Product revenue increased by $6.1 million, or 4%, in the three months ended June 30, 2017 compared to the same period last year. The increase in product revenue was primarily driven by the strength in sales of our FortiGate products. Service revenue increased by $46.0 million, or 26%, in the three months ended June 30, 2017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We continued to see the shift from product revenue to higher-margin, recurring service revenue, which reflected our success in driving sales of subscription bundles.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ind w:left="38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4"/>
          </w:tcPr>
          <w:p>
            <w:pPr>
              <w:ind w:left="40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60,787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7,999</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15%</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34,865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31,715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3,150</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10</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95,652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84,503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11,149</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13%</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Total gross margin increased by 0.8 percentage points in the three months ended June 30, 2017 compared to the same period last year, driven by higher margin on service revenue. Service gross margin increased by 2.3 percentage points in the three months ended June 30, 2017 as compared to the same period last year, resulting from an increased mix of higher-margin subscription bundles. Total cost of service revenue was comprised primarily of personnel costs.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Product gross margin decreased by 4.0 percentage points in the three months ended June 30, 2017 compared to the same period last year. The decrease in product gross margin was primarily due to higher inventory reserves as we transition to newer appliances and other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Pr>
          <w:p>
            <w:pPr>
              <w:spacing w:after="0"/>
              <w:rPr>
                <w:sz w:val="18"/>
                <w:szCs w:val="18"/>
                <w:color w:val="auto"/>
              </w:rPr>
            </w:pPr>
          </w:p>
        </w:tc>
        <w:tc>
          <w:tcPr>
            <w:tcW w:w="152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2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45,502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5,657</w:t>
            </w: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239,317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230,933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8,384</w:t>
            </w: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20" w:firstLine="648"/>
        <w:spacing w:after="0" w:line="268" w:lineRule="auto"/>
        <w:rPr>
          <w:sz w:val="20"/>
          <w:szCs w:val="20"/>
          <w:color w:val="auto"/>
        </w:rPr>
      </w:pPr>
      <w:r>
        <w:rPr>
          <w:rFonts w:ascii="Arial" w:cs="Arial" w:eastAsia="Arial" w:hAnsi="Arial"/>
          <w:sz w:val="17"/>
          <w:szCs w:val="17"/>
          <w:color w:val="auto"/>
        </w:rPr>
        <w:t>Research and development expense increased by $5.7 million, or 12%, in the three months ended June 30, 2017 compared to the same period last year, primarily due to an increase of $4.2 million in personnel costs as a result of increased headcount to support the development of new products and continued enhancements of our existing products. In addition, depreciation and product development expenses, such as third-party testing and prototypes, increased by $0.9 million. We intend to continue to invest in our research and development organization, but expect research and development expense as a percentage of total revenue to remain at a relatively comparable level during the remainder of 2017.</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increased by $3.6 million, or 2%, in the three months ended June 30, 2017 compared to the same period last year, primarily due to an increase of $4.5 million in personnel costs. In addition, depreciation expense and other occupancy-related expense increased by $2.6 million. These increases were partially offset by lower marketing-related expense of $2.2 million and travel expense of $1.0 million. As a percentage of total revenue, sales and marketing expense decreased as revenue grew at a higher pace compared to personnel costs. The decrease in personnel costs as a percentage of total revenue resulted from lower sales commissions, slower hiring and attrition. We intend to continue to make investments in our sales resources and infrastructure and marketing, which are critical to support growth, and expect sales and marketing expense to increase in absolute dollars during the remainder of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General and administrative expense decreased by $0.3 million, or 1%, in the three months ended June 30, 2017 compared to the same period last year, primarily due to lower third-party costs of $6.3 million due to the substantial completion of our enterprise resource planning (“ERP”) system implementation in 2016. The decrease in expense was partially offset by an increase in professional fees of $3.6 million, which included expense of $1.6 million due to third-party costs related to implementing the new revenue recognition standard. In addition, personnel costs increased by $2.6 million as we continued to increase headcount. As a percentage of total revenue, general and administrative costs decreased to 6% in the three months ended June 30, 2017 from 7% in the three months ended June 30, 2016. We expect general and administrative expense to increase in absolute dollars during the remainder of 2017 as we continue to implement the new revenue recognition standard.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margin</w:t>
      </w:r>
    </w:p>
    <w:p>
      <w:pPr>
        <w:spacing w:after="0" w:line="225"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We generated operating income of $28.5 million in the three months ended June 30, 2017, an increase of $32.5 million compared to operating loss of $4.0 million in the same period last year. The improvement in operating margin is primarily due to the decline in sales and marketing and general and administrative expenses as a percentage of total revenue. As a percentage of total revenue, sales and marketing expenses decreased to 46% in the three months ended June 30, 2017 from 52%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same period last year. In addition, as a percentage of total revenue, general and administrative expenses decreased to 6% in the three months ended June 30, 2017 from 7% in the same period last year. Significant changes in operating expenses are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720" w:type="dxa"/>
            <w:vAlign w:val="bottom"/>
            <w:gridSpan w:val="4"/>
          </w:tcPr>
          <w:p>
            <w:pPr>
              <w:jc w:val="right"/>
              <w:ind w:right="101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240" w:type="dxa"/>
            <w:vAlign w:val="bottom"/>
          </w:tcPr>
          <w:p>
            <w:pPr>
              <w:jc w:val="center"/>
              <w:ind w:left="457"/>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55"/>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3,163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1,458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1,243</w:t>
            </w: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(1,350)</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2,593</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(192)</w:t>
            </w:r>
          </w:p>
        </w:tc>
      </w:tr>
    </w:tbl>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Interest income increased by $1.5 million, or 86%, in the three months ended June 30, 2017 as compared to the same period last year due to higher interest earned on invested balances of cash, cash equivalents and investments. Interest income varies depending on our average investment balances during the period, types and mix of investments, and market interest rates. Other expense—net consisted primarily of foreign exchange and related hedging gains and losses. The increase in other income (expense)—net in the three months ended June 30, 2017 as compared to the same period last year was the result of foreign currency exchange gains in the three months ended June 30, 2017, compared to foreign currency exchange losses in the three months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4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240" w:type="dxa"/>
            <w:vAlign w:val="bottom"/>
          </w:tcPr>
          <w:p>
            <w:pPr>
              <w:jc w:val="center"/>
              <w:ind w:left="497"/>
              <w:spacing w:after="0"/>
              <w:rPr>
                <w:sz w:val="20"/>
                <w:szCs w:val="20"/>
                <w:color w:val="auto"/>
              </w:rPr>
            </w:pPr>
            <w:r>
              <w:rPr>
                <w:rFonts w:ascii="Arial" w:cs="Arial" w:eastAsia="Arial" w:hAnsi="Arial"/>
                <w:sz w:val="16"/>
                <w:szCs w:val="16"/>
                <w:b w:val="1"/>
                <w:bCs w:val="1"/>
                <w:color w:val="auto"/>
                <w:w w:val="90"/>
              </w:rPr>
              <w:t>June 30,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575"/>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8"/>
                <w:szCs w:val="18"/>
                <w:color w:val="auto"/>
              </w:rPr>
            </w:pPr>
          </w:p>
        </w:tc>
        <w:tc>
          <w:tcPr>
            <w:tcW w:w="182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40" w:type="dxa"/>
            <w:vAlign w:val="bottom"/>
            <w:gridSpan w:val="3"/>
          </w:tcPr>
          <w:p>
            <w:pPr>
              <w:jc w:val="right"/>
              <w:ind w:right="1013"/>
              <w:spacing w:after="0"/>
              <w:rPr>
                <w:sz w:val="20"/>
                <w:szCs w:val="20"/>
                <w:color w:val="auto"/>
              </w:rPr>
            </w:pPr>
            <w:r>
              <w:rPr>
                <w:rFonts w:ascii="Arial" w:cs="Arial" w:eastAsia="Arial" w:hAnsi="Arial"/>
                <w:sz w:val="16"/>
                <w:szCs w:val="16"/>
                <w:b w:val="1"/>
                <w:bCs w:val="1"/>
                <w:color w:val="auto"/>
              </w:rPr>
              <w:t>(in thousands, except percentages)</w:t>
            </w:r>
          </w:p>
        </w:tc>
        <w:tc>
          <w:tcPr>
            <w:tcW w:w="160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9,873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(2,302)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rPr>
              <w:t>12,175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1"/>
                <w:szCs w:val="21"/>
                <w:color w:val="auto"/>
              </w:rPr>
            </w:pPr>
          </w:p>
        </w:tc>
        <w:tc>
          <w:tcPr>
            <w:tcW w:w="1820" w:type="dxa"/>
            <w:vAlign w:val="bottom"/>
          </w:tcPr>
          <w:p>
            <w:pPr>
              <w:jc w:val="right"/>
              <w:ind w:right="253"/>
              <w:spacing w:after="0"/>
              <w:rPr>
                <w:sz w:val="20"/>
                <w:szCs w:val="20"/>
                <w:color w:val="auto"/>
              </w:rPr>
            </w:pPr>
            <w:r>
              <w:rPr>
                <w:rFonts w:ascii="Arial" w:cs="Arial" w:eastAsia="Arial" w:hAnsi="Arial"/>
                <w:sz w:val="18"/>
                <w:szCs w:val="18"/>
                <w:color w:val="auto"/>
              </w:rPr>
              <w:t>(32)%</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1"/>
        </w:trPr>
        <w:tc>
          <w:tcPr>
            <w:tcW w:w="3640" w:type="dxa"/>
            <w:vAlign w:val="bottom"/>
          </w:tcPr>
          <w:p>
            <w:pPr>
              <w:spacing w:after="0"/>
              <w:rPr>
                <w:sz w:val="20"/>
                <w:szCs w:val="20"/>
                <w:color w:val="auto"/>
              </w:rPr>
            </w:pPr>
            <w:r>
              <w:rPr>
                <w:rFonts w:ascii="Arial" w:cs="Arial" w:eastAsia="Arial" w:hAnsi="Arial"/>
                <w:sz w:val="14"/>
                <w:szCs w:val="14"/>
                <w:color w:val="auto"/>
              </w:rPr>
              <w:t>* not meaningful</w:t>
            </w: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200" w:lineRule="exact"/>
        <w:rPr>
          <w:sz w:val="20"/>
          <w:szCs w:val="20"/>
          <w:color w:val="auto"/>
        </w:rPr>
      </w:pPr>
    </w:p>
    <w:p>
      <w:pPr>
        <w:spacing w:after="0" w:line="21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effective tax rate was 30% in the three months ended June 30, 2017, compared to an effective tax rate of 62% in the same period last year. The effective tax rates in the periods presented are comprised of U.S. federal and state taxes, excess tax benefits from stock-based compensation, withholding taxes and foreign income taxes. The tax rate in the three months ended June 30, 2017 and 2016 were impacted by excess tax benefits of $4.1 million and $2.6 million, respectively, from stock-based compensation. Our effective tax rates fluctuate based on the amount of pre-tax income or loss. The impact of discrete items, such as the excess tax benefits from stock-based compensation, on our effective tax rate is greater when our pre-tax income is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and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277,958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261,213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16,745</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426,087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334,754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91,333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704,045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595,967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108,078</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307,076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252,692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54,384</w:t>
            </w: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35,935</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141,090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123,331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17,759</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704,045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595,967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108,078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Total revenue increased by $108.1 million, or 18%, in the six months ended June 30, 2017 compared to the same period last year. All three regions experienced revenue growth compared to the same period last year, with the Americas contributing the largest portion of our revenue growth on both an absolute dollar and a percentage basis. Product revenue increased by $16.7 million, or 6%, in the six months ended June 30, 2017 compared to the same period last year. The increase in product revenue was primarily driven by greater sales in our FortiGate product family, as well as growth in other product lines.</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Service revenue increased by $91.3 million, or 27%, in the six months ended June 30, 2017 compared to the same period last year due to the recognition of revenue from our growing deferred revenue balance consisting of FortiGuard security subscription and FortiCare technical support contracts sold to a larger customer base, particularly our large enterprise customers, as well as the renewals of similar contracts sold in earlier periods. Service revenue also increased due to the recognition of revenue from our growing deferred revenue balance, consisting of FortiGuard security subscription and FortiCare technical support contracts sold to a larger customer base, as well as the renewals of similar contracts sold in earlier periods. We continued to see the shift from product revenue to higher-margin, recurring service revenue, which reflected our success in driving sales of subscription bundles.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4"/>
          </w:tcPr>
          <w:p>
            <w:pPr>
              <w:ind w:left="16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116,084</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102,101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13,983</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14%</w:t>
            </w:r>
          </w:p>
        </w:tc>
      </w:tr>
      <w:tr>
        <w:trPr>
          <w:trHeight w:val="27"/>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70,132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60,046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10,086</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17</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186,216</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162,147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24,069</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15%</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gross margin increased by 0.8 percentage points in the six months ended June 30, 2017 compared to the same period last year driven by higher margin on service revenue. Service gross margin increased by 1.4 percentage points in the six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months ended June 30, 2017 as compared to the same period last year, resulting from an increased mix of higher-margin subscription bundles. Total cost of service revenue was comprised primarily of personnel costs.</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Product gross margin decreased by 2.7 percentage points in the six months ended June 30, 2017 compared to the same period last year. The decrease in product gross margin was primarily due to higher inventory reserves as we transition to newer appliances and other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102,354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90,256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12,098</w:t>
            </w:r>
          </w:p>
        </w:tc>
        <w:tc>
          <w:tcPr>
            <w:tcW w:w="14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27,940</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2,865</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483,919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441,557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42,362</w:t>
            </w: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Research and development expense increased by $12.1 million, or 13%, in the six months ended June 30, 2017 compared to the same period last year primarily due to an increase of $8.7 million in personnel costs as a result of increased headcount to support the development of new products and continued enhancements of our existing products. In addition, depreciation expense and other occupancy-related costs increased by $1.6 million and product development costs, such as third-party testing and prototypes, increased by $1.6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Sales and marketing expense increased by $27.9 million, or 9%, in the six months ended June 30, 2017 compared to the same period last year, primarily due to an increase of $23.9 million in personnel costs. In addition, depreciation expense and other occupancy-related expense increased by $4.0 million. In addition, amortization expense increased by $2.1 million related to intangible assets acquired from AccelOps, Inc. (</w:t>
      </w:r>
      <w:r>
        <w:rPr>
          <w:rFonts w:ascii="Arial" w:cs="Arial" w:eastAsia="Arial" w:hAnsi="Arial"/>
          <w:sz w:val="18"/>
          <w:szCs w:val="18"/>
          <w:i w:val="1"/>
          <w:iCs w:val="1"/>
          <w:color w:val="auto"/>
        </w:rPr>
        <w:t>“</w:t>
      </w:r>
      <w:r>
        <w:rPr>
          <w:rFonts w:ascii="Arial" w:cs="Arial" w:eastAsia="Arial" w:hAnsi="Arial"/>
          <w:sz w:val="18"/>
          <w:szCs w:val="18"/>
          <w:color w:val="auto"/>
        </w:rPr>
        <w:t>AccelOps”). These increases were partially offset by lower marketing-related expense of $2.3 million. As a percentage of total revenue, sales and marketing expense decreased as revenue grew at a higher pace compared to personnel costs. The decrease in personnel costs as a percentage of total revenue resulted from lower sales commissions, slower hiring and attrition.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General and administrative expense increased by $2.9 million, or 7%, in the six months ended June 30, 2017 compared to the same period last year, primarily due to an increase of $4.2 million in personnel costs as we continued to increase headcount. In addition, other professional fees increased by $6.5 million, which included expense of $2.7 million due to third-party costs related to implementing the new revenue recognition standard. Litigation settlement costs increased by $1.6 million. These increases were partially offset by lower third-party costs of $9.3 million primarily related to the substantial completion of our new ERP system implementation. As a percentage of total revenue, general and administrative costs decreased to 6% in the six months ended June 30, 2017 from 7% in the same period last year.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margin</w:t>
      </w:r>
    </w:p>
    <w:p>
      <w:pPr>
        <w:spacing w:after="0" w:line="225"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We generated operating income of $33.9 million in the six months ended June 30, 2017, an increase of $41.6 million, compared to operating loss of $7.7 million in the six months ended June 30, 2016, respectively. The improvement in operating margin is primarily due to the decline in sales and marketing and general and administrative expenses as a percentage of total revenue. As a percentage of total revenue, sales and marketing expenses decreased to 48% in the six months ended June 30,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2017 from 52% in the same period last year. As a percentage of total revenue, general and administrative costs decreased to 6% in the six months ended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2017 from 7% in the same period last year. Significant changes in operating expenses are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w w:val="93"/>
              </w:rPr>
              <w:t>Six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20" w:type="dxa"/>
            <w:vAlign w:val="bottom"/>
          </w:tcPr>
          <w:p>
            <w:pPr>
              <w:jc w:val="center"/>
              <w:ind w:left="476"/>
              <w:spacing w:after="0"/>
              <w:rPr>
                <w:sz w:val="20"/>
                <w:szCs w:val="20"/>
                <w:color w:val="auto"/>
              </w:rPr>
            </w:pPr>
            <w:r>
              <w:rPr>
                <w:rFonts w:ascii="Arial" w:cs="Arial" w:eastAsia="Arial" w:hAnsi="Arial"/>
                <w:sz w:val="16"/>
                <w:szCs w:val="16"/>
                <w:b w:val="1"/>
                <w:bCs w:val="1"/>
                <w:color w:val="auto"/>
                <w:w w:val="90"/>
              </w:rPr>
              <w:t>June 30,</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0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3,451</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2,104</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2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1,545</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(2,662)</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4,207</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(158)</w:t>
            </w:r>
          </w:p>
        </w:tc>
      </w:tr>
    </w:tbl>
    <w:p>
      <w:pPr>
        <w:spacing w:after="0" w:line="31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Interest income increased by $2.1 million, or 61%, in the six months ended June 30, 2017 compared to the same period last year due to higher interest earned on invested balances of cash, cash equivalents and investments. Interest income varies depending on our average investment balances during the period, types and mix of investments, and market interest rates. Other expense—net consisted primarily of foreign exchange and related hedging gains and losses. The increase in other expense—net in the six months ended June 30, 2017 when compared to the same period last year was the result of foreign currency exchange gains in the six months ended June 30, 2017, compared to foreign currency exchange losses in the six months ended June 30,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Six Months Ended</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40" w:type="dxa"/>
            <w:vAlign w:val="bottom"/>
          </w:tcPr>
          <w:p>
            <w:pPr>
              <w:jc w:val="center"/>
              <w:ind w:left="516"/>
              <w:spacing w:after="0"/>
              <w:rPr>
                <w:sz w:val="20"/>
                <w:szCs w:val="20"/>
                <w:color w:val="auto"/>
              </w:rPr>
            </w:pPr>
            <w:r>
              <w:rPr>
                <w:rFonts w:ascii="Arial" w:cs="Arial" w:eastAsia="Arial" w:hAnsi="Arial"/>
                <w:sz w:val="16"/>
                <w:szCs w:val="16"/>
                <w:b w:val="1"/>
                <w:bCs w:val="1"/>
                <w:color w:val="auto"/>
                <w:w w:val="87"/>
              </w:rPr>
              <w:t>June 30,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595"/>
              <w:spacing w:after="0"/>
              <w:rPr>
                <w:sz w:val="20"/>
                <w:szCs w:val="20"/>
                <w:color w:val="auto"/>
              </w:rPr>
            </w:pPr>
            <w:r>
              <w:rPr>
                <w:rFonts w:ascii="Arial" w:cs="Arial" w:eastAsia="Arial" w:hAnsi="Arial"/>
                <w:sz w:val="16"/>
                <w:szCs w:val="16"/>
                <w:b w:val="1"/>
                <w:bCs w:val="1"/>
                <w:color w:val="auto"/>
                <w:w w:val="87"/>
              </w:rPr>
              <w:t>June 30,</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695"/>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700" w:type="dxa"/>
            <w:vAlign w:val="bottom"/>
          </w:tcPr>
          <w:p>
            <w:pPr>
              <w:jc w:val="right"/>
              <w:ind w:right="833"/>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w w:val="90"/>
              </w:rPr>
              <w:t>(in thousands, except percentages)</w:t>
            </w:r>
          </w:p>
        </w:tc>
        <w:tc>
          <w:tcPr>
            <w:tcW w:w="16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7"/>
              </w:rPr>
              <w:t>7,260</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(7,678)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14,938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4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21"/>
                <w:szCs w:val="21"/>
                <w:color w:val="auto"/>
              </w:rPr>
            </w:pPr>
          </w:p>
        </w:tc>
        <w:tc>
          <w:tcPr>
            <w:tcW w:w="17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1"/>
        </w:trPr>
        <w:tc>
          <w:tcPr>
            <w:tcW w:w="3700" w:type="dxa"/>
            <w:vAlign w:val="bottom"/>
          </w:tcPr>
          <w:p>
            <w:pPr>
              <w:spacing w:after="0"/>
              <w:rPr>
                <w:sz w:val="20"/>
                <w:szCs w:val="20"/>
                <w:color w:val="auto"/>
              </w:rPr>
            </w:pPr>
            <w:r>
              <w:rPr>
                <w:rFonts w:ascii="Arial" w:cs="Arial" w:eastAsia="Arial" w:hAnsi="Arial"/>
                <w:sz w:val="14"/>
                <w:szCs w:val="14"/>
                <w:color w:val="auto"/>
              </w:rPr>
              <w:t>* not meaningful</w:t>
            </w: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2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effective tax rate was 18% in the six months ended June 30, 2017, compared with an effective tax rate of 111% in the same period last year. The effective tax rates in the periods presented are comprised of U.S. federal and state taxes, excess tax benefits from stock-based compensation, withholding taxes and foreign income taxes. The tax rate in the six months ended June 30, 2017 and 2016 were impacted by excess tax benefits of $9.6 million and $6.2 million, respectively, from stock-based compensation.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3"/>
          </w:tcPr>
          <w:p>
            <w:pPr>
              <w:jc w:val="center"/>
              <w:ind w:left="1234"/>
              <w:spacing w:after="0"/>
              <w:rPr>
                <w:sz w:val="20"/>
                <w:szCs w:val="20"/>
                <w:color w:val="auto"/>
              </w:rPr>
            </w:pPr>
            <w:r>
              <w:rPr>
                <w:rFonts w:ascii="Arial" w:cs="Arial" w:eastAsia="Arial" w:hAnsi="Arial"/>
                <w:sz w:val="16"/>
                <w:szCs w:val="16"/>
                <w:b w:val="1"/>
                <w:bCs w:val="1"/>
                <w:color w:val="auto"/>
                <w:w w:val="89"/>
              </w:rPr>
              <w:t>As of</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0"/>
              </w:rPr>
              <w:t>June 30,</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center"/>
              <w:ind w:right="31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4"/>
          </w:tcPr>
          <w:p>
            <w:pPr>
              <w:jc w:val="center"/>
              <w:ind w:left="894"/>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611,809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601,505</w:t>
            </w:r>
          </w:p>
        </w:tc>
      </w:tr>
      <w:tr>
        <w:trPr>
          <w:trHeight w:val="27"/>
        </w:trPr>
        <w:tc>
          <w:tcPr>
            <w:tcW w:w="7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1,464,946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1,310,508</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719,115</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709,276</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r>
      <w:tr>
        <w:trPr>
          <w:trHeight w:val="508"/>
        </w:trPr>
        <w:tc>
          <w:tcPr>
            <w:tcW w:w="7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5"/>
          </w:tcPr>
          <w:p>
            <w:pPr>
              <w:jc w:val="center"/>
              <w:ind w:right="27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0"/>
              </w:rPr>
              <w:t>June 30,</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center"/>
              <w:ind w:right="31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4"/>
          </w:tcPr>
          <w:p>
            <w:pPr>
              <w:jc w:val="center"/>
              <w:ind w:left="894"/>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274,520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(69,417)</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144,134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53,103</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Liquidity and capital resources may be impacted by our operating activities, as well as by our stock repurchases, business acquisitions, real estate and other capital expenditures, proceeds associated with stock option exercises and issuances of common stock under our employee stock purchase plan (the </w:t>
      </w:r>
      <w:r>
        <w:rPr>
          <w:rFonts w:ascii="Arial" w:cs="Arial" w:eastAsia="Arial" w:hAnsi="Arial"/>
          <w:sz w:val="16"/>
          <w:szCs w:val="16"/>
          <w:i w:val="1"/>
          <w:iCs w:val="1"/>
          <w:color w:val="auto"/>
        </w:rPr>
        <w:t>“</w:t>
      </w:r>
      <w:r>
        <w:rPr>
          <w:rFonts w:ascii="Arial" w:cs="Arial" w:eastAsia="Arial" w:hAnsi="Arial"/>
          <w:sz w:val="16"/>
          <w:szCs w:val="16"/>
          <w:color w:val="auto"/>
        </w:rPr>
        <w:t>ESPP”) and the payment of taxes in connection with the net settlement of equity awards. In recent years we have received significant capital resources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increases in our deferred revenue and the exercise of stock options. We expect proceeds from the issuance of stock options in future years to be impacted by the increased mix of restricted stock units (</w:t>
      </w:r>
      <w:r>
        <w:rPr>
          <w:rFonts w:ascii="Arial" w:cs="Arial" w:eastAsia="Arial" w:hAnsi="Arial"/>
          <w:sz w:val="16"/>
          <w:szCs w:val="16"/>
          <w:i w:val="1"/>
          <w:iCs w:val="1"/>
          <w:color w:val="auto"/>
        </w:rPr>
        <w:t>“</w:t>
      </w:r>
      <w:r>
        <w:rPr>
          <w:rFonts w:ascii="Arial" w:cs="Arial" w:eastAsia="Arial" w:hAnsi="Arial"/>
          <w:sz w:val="16"/>
          <w:szCs w:val="16"/>
          <w:color w:val="auto"/>
        </w:rPr>
        <w:t>RSUs”) granted versus stock options and also to vary based on our share price. As of June 30, 2017, $156.0 million remained available for future share repurchase under our 2016 Repurchase Program. In July 2017, our Board of Directors authorized a $300.0 million increase to the 2016 Repurchase Program, bringing the amount authorized to $600.0 million through January 31, 2019. We expect to repurchase a total of at least $150.0 million worth of stock in 2017, including the $33.2 million that we repurchased in the second quarter of 2017.</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April 2017, we purchased real estate in Burnaby, Canada for $84.8 million. For the remainder of 2017, we currently expect our capital expenditures to revert to lower levels and our free cash flows to continue to increase in the second half of 2017. The total capital expenditures for real estate purchases in 2017 is currently expected to be $120 million, including the $84.8 million we spent on the purchase of the two buildings in Burnaby, Canada. We currently expect to spend $60.0 million annually in both 2018 and 2019 to build out our headquarters in Sunnyvale, California, but the specific timing of these expenditures is yet to be determined.</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June 30, 2017, our cash, cash equivalents and investments of $1.46 billion were invested primarily in corporate debt securities, commercial paper, term deposits, U.S. government and agency securities, municipal bonds and money market funds. It is our investment policy to invest excess cash in a manner that preserves capital, provides liquidity and maximizes return without significantly increasing risk.</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of June 30, 2017, $671.9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or at all. If we are unable to raise additional capital when desired, our business, operating results and financial condition would be adversely affected.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depreciation of property and equipment and amortization of intangible assets.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operating activities during the six months ended June 30, 2017 provided $274.5 million in cash as a result of our continued growth in the sales of FortiGuard security subscriptions and FortiCare support contracts, as well as product sales, and the ability to successfully manage our working capital. The increase in sales of our FortiGuard security subscription and FortiCare technical supports to new and existing customers was reflected in the increase in our deferred revenue. We continued to see the shift from product revenue to higher-margin, recurring service revenue.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operating activities during the six months ended June 30, 2016 provided $168.5 million in cash as a result of our continued growth in billings and our ability to successfully manage our working capital. Changes in operating assets and liabilities primarily resulted from an increase in deferred revenue, which was partially offset by an increase in payments to vendors.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six months ended June 30, 2017, cash used in investing activities was primarily due to the $99.9 million we spent on capital expenditures, including the purchase of $84.8 million in real estate in Burnaby, Canada. Cash outflows due to purchases of investments, net of sales and maturities, amounted to $13.3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June 30, 2016, cash used in investing activities was primarily due to the $44.4 million we spent on capital expenditures, including our purchase of a warehouse in Union City, California for total cash of $18.5 million, and a $20.7 million payment for the acquisition of AccelOps. Cash outflows due to purchases of investments, net of sales and maturities, amounted to $4.4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changes in cash flows from financing activities primarily relate to proceeds from the issuance of common stock under our equity incentive plan and the ESPP, taxes paid related to net share settlement of equity awards, excess tax benefit from stock-based compensation and repurchase of common stock.</w:t>
      </w:r>
    </w:p>
    <w:p>
      <w:pPr>
        <w:spacing w:after="0" w:line="124"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7"/>
          <w:szCs w:val="17"/>
          <w:color w:val="auto"/>
        </w:rPr>
        <w:t>During the six months ended June 30, 2017, cash used in financing activities was $17.2 million, primarily due to $33.2 million used to repurchase our common stock. This was partially offset by $15.9 million proceeds from the issuance of common stock, net of tax withholding.</w:t>
      </w:r>
    </w:p>
    <w:p>
      <w:pPr>
        <w:spacing w:after="0" w:line="14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During the six months ended June 30, 2016, cash used in financing activities was $46.0 million, primarily due to $50.0 million used to repurchase our common stock. This was partially offset by $5.6 million of proceeds from the issuance of common stock, net of taxes paid, related to withholding upon issuance of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There were no material changes outside the ordinary course of business during the six months ended June 30, 2017 to the contractual obligations and commitments disclosed in Management’s Discussion and Analysis of Financial Condition and Results of Operations, set forth in Part II, Item 7, of the Form 10-K. See Note 9 to the notes to the condensed consolidated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financial statements included in Part I, Item 1 of this Quarterly Report on Form 10-Q for additional information regarding contractual obligations and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June 30,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2017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2017.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2017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six months ended June 30, 2017 that have materially affected, or are reasonably likely to materially affect, our internal control over financial reporting.</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1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and the time it takes for our sales personnel to reach productivity;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currently impact our ability to recognize revenue;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2" w:right="2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25"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or enhancements by us (including product development pursuant to our non-recurring engineering agreements) or our competitors, or any other change in the competitive landscape of our industry, including consolidation among our competitors, partners or end-customers;</w:t>
      </w:r>
    </w:p>
    <w:p>
      <w:pPr>
        <w:spacing w:after="0" w:line="181"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40" w:hanging="644"/>
        <w:spacing w:after="0" w:line="31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6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FortiGuard security subscription revenue and our FortiCare technical support services revenue have historically accounted for a significant percentage of our total revenue. Revenue from the sale of new, or from the renewal of existing, FortiGuard security subscription and FortiCare technical support services contracts may decline and fluctuate as a result of a number of factors, including fluctuations in purchases of FortiGate appliances, changes in the sales mix between products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United States;</w:t>
      </w:r>
    </w:p>
    <w:p>
      <w:pPr>
        <w:spacing w:after="0" w:line="170" w:lineRule="exact"/>
        <w:rPr>
          <w:rFonts w:ascii="Arial" w:cs="Arial" w:eastAsia="Arial" w:hAnsi="Arial"/>
          <w:sz w:val="18"/>
          <w:szCs w:val="18"/>
          <w:color w:val="auto"/>
        </w:rPr>
      </w:pPr>
    </w:p>
    <w:p>
      <w:pPr>
        <w:jc w:val="both"/>
        <w:ind w:left="1300" w:right="4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United Kingdom Bribery Act 2010, the General Data Protection Regulation (which will be implemented by the European Union in May 2018), import and export control laws, tariffs, trade barriers and economic sanctions;</w:t>
      </w:r>
    </w:p>
    <w:p>
      <w:pPr>
        <w:spacing w:after="0" w:line="181"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and medium-sized businesses, service providers and government organizations. While we have increased sales in recent periods to large and medium-sized enterprises, our sales volume varies by quarter. We also have experienced less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88" w:lineRule="exact"/>
        <w:rPr>
          <w:sz w:val="20"/>
          <w:szCs w:val="20"/>
          <w:color w:val="auto"/>
        </w:rPr>
      </w:pPr>
    </w:p>
    <w:p>
      <w:pPr>
        <w:ind w:left="1300" w:right="5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enterprises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Large enterprises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enterprises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enterprises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enterprises and medium-sized businesses, service providers and government organizations may require that our products and services be sold differently from how we offer our products and services, which could negatively impact our operating results. Our large enterprise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free cash flow. For example, our inventory levels increased $26.7 million, or 34%, from March 31, 2016 to March 31, 2017, impacting our free cash flow. Mismanagement of our inventory, whether due to imprecise forecasting, employee errors or malfeasance, inaccurate information or otherwise, may adversely affect our results of operations.</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sales and marketing, may seriously harm our business, financial condition and results of operations. From time to time, we experience turnover in our management-level personnel. None of our key employees has 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we realigned our sales organization in early 2016 and it has taken more time than we expected to ramp up the productivity of our realigned sales organization.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 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billings during the last two weeks have accounted for 36%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19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Exclusive Networks Group (“Exclusive”), Fine Tec Computers (“Fine Tec”) and Ingram Micro, Inc. (“Ingram Micro”), which distributed our solutions to a large group of resellers and end-customers, accounted for 20%, 12% and 10% of our total revenue, respectively, during the three months ended June 30, 2017. During the six months ended June 30, 2017, Exclusive and Fine Tec accounted for 20% and 12% of our total revenue, respectively. During the three months ended June 30, 2016, Exclusive and Ingram Micro, accounted for 20% and 10% of our total revenue, respectively. During the six months ended June 30, 2016, Exclusive accounted for 20% of our total revenue. 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For example, in July 2017, Exclusive announced the acquisition of Fine Tec. The two channel partners together accounted for 36% of our total net accounts receivable as of June 30, 2017. During the past four quarters, Exclusive and Fine Tec together accounted for 28% to 32% of our total quarterly revenue.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the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business and operations have experienced growth, and if we do not appropriately manage any future growth, including through the expansion of our real estate holdings, or are unable to improve our systems and processes, our operating results will be negatively affected.</w:t>
      </w:r>
    </w:p>
    <w:p>
      <w:pPr>
        <w:spacing w:after="0" w:line="160" w:lineRule="exact"/>
        <w:rPr>
          <w:sz w:val="20"/>
          <w:szCs w:val="20"/>
          <w:color w:val="auto"/>
        </w:rPr>
      </w:pPr>
    </w:p>
    <w:p>
      <w:pPr>
        <w:ind w:right="60" w:firstLine="648"/>
        <w:spacing w:after="0" w:line="288" w:lineRule="auto"/>
        <w:rPr>
          <w:sz w:val="20"/>
          <w:szCs w:val="20"/>
          <w:color w:val="auto"/>
        </w:rPr>
      </w:pPr>
      <w:r>
        <w:rPr>
          <w:rFonts w:ascii="Arial" w:cs="Arial" w:eastAsia="Arial" w:hAnsi="Arial"/>
          <w:sz w:val="17"/>
          <w:szCs w:val="17"/>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recently expanded our office real estate holdings to meet our projected growth need for office space. In March 2017 and April 2017, we purchased office buildings in Ottawa and Burnaby, Canada, respectively, and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system.</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In July 2016, we implemented a new ERP system.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and otherwise operate our business. The implementation and maintenance of the new ERP system has required, and will continue to require, the investment of significant financial and human resources. In addition, we may choose to upgrade or expand the functionality of our ERP system, leading to additional costs. We may also discover deficiencies in our design or implementation or maintenance of the new ERP system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are currently implementing new systems to comply with the new revenue recognition standards and the related changes accounting for commission. Our operating results may be adversely affected if these upgrades are delayed or if the upgraded systems do not function as intended or is not sufficient to meet with our revenue recognition and commissions accounting requirements.</w:t>
      </w:r>
    </w:p>
    <w:p>
      <w:pPr>
        <w:spacing w:after="0" w:line="16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outsource the manufacturing of our security appliance products to contract manufacturing partners and original design manufacturing partners including Micro-Star International Co., Ltd., Wistron Corporation, Flex Ltd., Senao Networks, Inc., ADLINK Technology, Inc. and a number of Taiwan-based manufacturers.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proprietary SPU, which is the key to the performance of our appliances, are built by contract manufacturers including Faraday Technology Corporation, Kawasaki Microelectronics America, Inc. and Renesas Electronics Corporation. These contract manufacturers use foundries operated by United Microelectronics Corporation (“UMC”) and Taiwan Semiconductor Manufacturing Company Limited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SPU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w:t>
      </w:r>
    </w:p>
    <w:p>
      <w:pPr>
        <w:spacing w:after="0" w:line="16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Corporation (“Intel”), network chips from Broadcom Corporation, Marvell Technology Group Ltd. and Intel, and memory devices from Intel, ADATA Technology Co., Ltd., Samsung Electronics Co., Ltd. and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exchange rate of the Canadian dollar may negatively impact our real estate purchase and development plans in Burnaby and Ottawa.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For example, with respect to data privacy, in April 2016, the European Parliament approved the General Data Protection Regulation (the “GDPR”), which will come into effect in May 2018 and supersede current EU data protection regulations. The GDPR will impose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support related to appliances shipped pursuant to such orders. Obtaining the necessary export license for a particular sale may be time-consuming and may result in the delay or loss of sales opportunities.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Additionally, though we have filed for an extension, it is possible that this exemption may expire in the near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our channel partners or other third parties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 In addition, we are subject to the examination of our income tax returns by the Internal Revenue Service (the “IRS”) and other tax authorities. Tax authorities in France are currently examining the inter-company relationship between Fortinet, Inc., Fortinet France and Fortinet Singapore. In April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Organisation for Economic Co-operation and Development (the “OECD”), an international association comprised of 34 countries, including the United States, has been working on a Base Erosion and Profit Sharing Project. As part of this project, the OECD issued in 2015,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Meru Networks, Inc. and AccelOps in the third quarter of 2015 and the second quarter of 2016,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Moreover, business models based on software-as-a-service (“SaaS”) and infrastructure-as-a-service (“IaaS”), both of which are hosted or cloud-based services, have become increasingly in-demand by our end-customers and adopted by other providers, including our competitors. While part of our platform is cloud-based, most of our platform is currently deployed on premise, and therefore, if customers demand that our platform be provided through a SaaS or IaaS business model, we would be required to make additional investments in our infrastructure and personnel to be able to more fully provide our platform through a SaaS or IaaS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and IaaS business models and the future demand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such models by customers. Additionally, if we are unable to meet the demand to provide our services through a SaaS or IaaS model, we may lose customers to competitors.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companies such as Check Point Software Technologies Ltd., Cisco Systems, Inc. (“Cisco”), F5 Networks, Inc. (“F5 Networks”) FireEye, Inc., Juniper Networks, Inc. (“Juniper”), Palo Alto Networks, Inc., SonicWALL, Inc., Sophos Group Plc and Symantec Corporation.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copyrights), royalties or other fees. Any of these events could seriously harm our business, financial condition and results of operations.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several ongoing patent lawsuits, several non-practicing entity patent holding companies have sent us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2016, our internal controls over financial reporting were effective, we cannot predict the outcome of our testing in 2017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(which are effective for us beginning on January 1, 2018) and accounting for leases, as well as the significant costs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2017, the closing price of our common stock ranged from $30.12 to $40.97 per share.</w:t>
      </w:r>
    </w:p>
    <w:p>
      <w:pPr>
        <w:spacing w:after="0" w:line="187"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Share repurchases under the 2016 Repurchase Program could increase the volatility of the trading price of our common stock and could diminish our cash reserves.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of Directors recently authorized a $300.0 million increase to the 2016 Repurchase Program, bringing the total amount authorized to be repurchased to $600.0 through January 31, 2019. Share repurchases under the 2016 Repurchase Program could affect the price of our common stock, increase stock price volatility and diminish our cash reserves. In addition, an announcement of the suspension or termination of the 2016 Repurchase Program could result in a decrease in the trading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122" w:right="4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Repurchase Program</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that we repurchased in the three months ended June 30, 2017 (in thousands, except number of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7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37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7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37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 or</w:t>
            </w:r>
          </w:p>
        </w:tc>
      </w:tr>
      <w:tr>
        <w:trPr>
          <w:trHeight w:val="203"/>
        </w:trPr>
        <w:tc>
          <w:tcPr>
            <w:tcW w:w="3720" w:type="dxa"/>
            <w:vAlign w:val="bottom"/>
          </w:tcPr>
          <w:p>
            <w:pPr>
              <w:spacing w:after="0"/>
              <w:rPr>
                <w:sz w:val="17"/>
                <w:szCs w:val="17"/>
                <w:color w:val="auto"/>
              </w:rPr>
            </w:pPr>
          </w:p>
        </w:tc>
        <w:tc>
          <w:tcPr>
            <w:tcW w:w="3400" w:type="dxa"/>
            <w:vAlign w:val="bottom"/>
            <w:gridSpan w:val="2"/>
          </w:tcPr>
          <w:p>
            <w:pPr>
              <w:jc w:val="center"/>
              <w:ind w:left="1674"/>
              <w:spacing w:after="0"/>
              <w:rPr>
                <w:sz w:val="20"/>
                <w:szCs w:val="20"/>
                <w:color w:val="auto"/>
              </w:rPr>
            </w:pPr>
            <w:r>
              <w:rPr>
                <w:rFonts w:ascii="Arial" w:cs="Arial" w:eastAsia="Arial" w:hAnsi="Arial"/>
                <w:sz w:val="16"/>
                <w:szCs w:val="16"/>
                <w:b w:val="1"/>
                <w:bCs w:val="1"/>
                <w:color w:val="auto"/>
                <w:w w:val="94"/>
              </w:rPr>
              <w:t>Total Number of</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Program</w:t>
            </w:r>
          </w:p>
        </w:tc>
      </w:t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400" w:type="dxa"/>
            <w:vAlign w:val="bottom"/>
            <w:gridSpan w:val="2"/>
          </w:tcPr>
          <w:p>
            <w:pPr>
              <w:jc w:val="center"/>
              <w:ind w:left="1674"/>
              <w:spacing w:after="0"/>
              <w:rPr>
                <w:sz w:val="20"/>
                <w:szCs w:val="20"/>
                <w:color w:val="auto"/>
              </w:rPr>
            </w:pPr>
            <w:r>
              <w:rPr>
                <w:rFonts w:ascii="Arial" w:cs="Arial" w:eastAsia="Arial" w:hAnsi="Arial"/>
                <w:sz w:val="16"/>
                <w:szCs w:val="16"/>
                <w:b w:val="1"/>
                <w:bCs w:val="1"/>
                <w:color w:val="auto"/>
                <w:w w:val="88"/>
              </w:rPr>
              <w:t>Shares Purchased</w:t>
            </w: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or Program</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30, 2017</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189,172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May 1 - May 31, 2017</w:t>
            </w:r>
          </w:p>
        </w:tc>
        <w:tc>
          <w:tcPr>
            <w:tcW w:w="3280" w:type="dxa"/>
            <w:vAlign w:val="bottom"/>
          </w:tcPr>
          <w:p>
            <w:pPr>
              <w:jc w:val="right"/>
              <w:ind w:right="54"/>
              <w:spacing w:after="0"/>
              <w:rPr>
                <w:sz w:val="20"/>
                <w:szCs w:val="20"/>
                <w:color w:val="auto"/>
              </w:rPr>
            </w:pPr>
            <w:r>
              <w:rPr>
                <w:rFonts w:ascii="Arial" w:cs="Arial" w:eastAsia="Arial" w:hAnsi="Arial"/>
                <w:sz w:val="18"/>
                <w:szCs w:val="18"/>
                <w:color w:val="auto"/>
              </w:rPr>
              <w:t>666,180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666,180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162,930</w:t>
            </w:r>
          </w:p>
        </w:tc>
      </w:tr>
      <w:tr>
        <w:trPr>
          <w:trHeight w:val="27"/>
        </w:trPr>
        <w:tc>
          <w:tcPr>
            <w:tcW w:w="3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1 - June 30, 2017</w:t>
            </w:r>
          </w:p>
        </w:tc>
        <w:tc>
          <w:tcPr>
            <w:tcW w:w="3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182,402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182,402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156,018</w:t>
            </w:r>
          </w:p>
        </w:tc>
      </w:tr>
      <w:tr>
        <w:trPr>
          <w:trHeight w:val="27"/>
        </w:trPr>
        <w:tc>
          <w:tcPr>
            <w:tcW w:w="37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July 2017, our Board of Directors authorized a $300.0 million increase to the 2016 Repurchase Program, bringing the total amount authorized to $600.0 million through January 31, 2019.</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122" w:right="47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60"/>
          </w:cols>
          <w:pgMar w:left="240" w:top="122" w:right="39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101.CAL*</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Certification of Chief Executive Officer pursuant to Exchange Act Rules 13a-14(a) and 15d-14(a), as adopted pursuant to 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Certification of Chief Financial Officer pursuant to Exchange Act Rules 13a-14(a) and 15d-14(a), as adopted pursuant to 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Certifications of Chief Executive Officer and Chief Financial Officer pursuant to 18 U.S.C. Section 1350, as adopted pursuant to Section 906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ectPr>
          <w:pgSz w:w="11900" w:h="16838" w:orient="portrait"/>
          <w:cols w:equalWidth="0" w:num="2">
            <w:col w:w="640" w:space="440"/>
            <w:col w:w="10180"/>
          </w:cols>
          <w:pgMar w:left="240" w:top="122" w:right="39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240" w:top="122" w:right="39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2017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1, 2017</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 ended June 30, 2017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1, 2017</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2019-12-29T05:48:38Z</dcterms:created>
  <dcterms:modified xsi:type="dcterms:W3CDTF">2019-12-29T05:48:38Z</dcterms:modified>
</cp:coreProperties>
</file>